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137795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2007</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41" w:right="239" w:bottom="0" w:gutter="0" w:footer="0" w:header="0"/>
        </w:sectPr>
      </w:pPr>
    </w:p>
    <w:p>
      <w:pPr>
        <w:spacing w:after="0" w:line="381"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320" w:space="720"/>
            <w:col w:w="3380"/>
          </w:cols>
          <w:pgMar w:left="240" w:top="941"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90" w:lineRule="exact"/>
        <w:rPr>
          <w:sz w:val="24"/>
          <w:szCs w:val="24"/>
          <w:color w:val="auto"/>
        </w:rPr>
      </w:pPr>
    </w:p>
    <w:p>
      <w:pPr>
        <w:sectPr>
          <w:pgSz w:w="11900" w:h="16838" w:orient="portrait"/>
          <w:cols w:equalWidth="0" w:num="2">
            <w:col w:w="6580" w:space="720"/>
            <w:col w:w="4120"/>
          </w:cols>
          <w:pgMar w:left="240" w:top="941" w:right="239" w:bottom="0" w:gutter="0" w:footer="0" w:header="0"/>
          <w:type w:val="continuous"/>
        </w:sectPr>
      </w:pP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22"/>
          <w:szCs w:val="22"/>
          <w:color w:val="auto"/>
        </w:rPr>
        <w:t>YES x</w:t>
        <w:tab/>
        <w:t>NO o</w:t>
      </w:r>
    </w:p>
    <w:p>
      <w:pPr>
        <w:spacing w:after="0" w:line="20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362" w:lineRule="exact"/>
        <w:rPr>
          <w:sz w:val="24"/>
          <w:szCs w:val="24"/>
          <w:color w:val="auto"/>
        </w:rPr>
      </w:pPr>
    </w:p>
    <w:p>
      <w:pPr>
        <w:ind w:left="1240"/>
        <w:spacing w:after="0"/>
        <w:tabs>
          <w:tab w:leader="none" w:pos="4800" w:val="left"/>
          <w:tab w:leader="none" w:pos="790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19"/>
          <w:szCs w:val="19"/>
          <w:color w:val="auto"/>
        </w:rPr>
        <w:t>Non-Accelerated Filer  o</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33" w:lineRule="exact"/>
        <w:rPr>
          <w:sz w:val="24"/>
          <w:szCs w:val="24"/>
          <w:color w:val="auto"/>
        </w:rPr>
      </w:pPr>
    </w:p>
    <w:p>
      <w:pPr>
        <w:ind w:left="4980"/>
        <w:spacing w:after="0"/>
        <w:tabs>
          <w:tab w:leader="none" w:pos="5900" w:val="left"/>
        </w:tabs>
        <w:rPr>
          <w:sz w:val="20"/>
          <w:szCs w:val="20"/>
          <w:color w:val="auto"/>
        </w:rPr>
      </w:pPr>
      <w:r>
        <w:rPr>
          <w:rFonts w:ascii="Arial" w:cs="Arial" w:eastAsia="Arial" w:hAnsi="Arial"/>
          <w:sz w:val="22"/>
          <w:szCs w:val="22"/>
          <w:color w:val="auto"/>
        </w:rPr>
        <w:t>YES o</w:t>
        <w:tab/>
        <w:t>NO x</w:t>
      </w:r>
    </w:p>
    <w:p>
      <w:pPr>
        <w:spacing w:after="0" w:line="17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5020" w:type="dxa"/>
            <w:vAlign w:val="bottom"/>
            <w:tcBorders>
              <w:bottom w:val="single" w:sz="8" w:color="auto"/>
            </w:tcBorders>
          </w:tcPr>
          <w:p>
            <w:pPr>
              <w:jc w:val="center"/>
              <w:ind w:right="82"/>
              <w:spacing w:after="0"/>
              <w:rPr>
                <w:sz w:val="20"/>
                <w:szCs w:val="20"/>
                <w:color w:val="auto"/>
              </w:rPr>
            </w:pPr>
            <w:r>
              <w:rPr>
                <w:rFonts w:ascii="Arial" w:cs="Arial" w:eastAsia="Arial" w:hAnsi="Arial"/>
                <w:sz w:val="18"/>
                <w:szCs w:val="18"/>
                <w:color w:val="auto"/>
                <w:w w:val="94"/>
              </w:rPr>
              <w:t>CLASS</w:t>
            </w:r>
          </w:p>
        </w:tc>
        <w:tc>
          <w:tcPr>
            <w:tcW w:w="4700" w:type="dxa"/>
            <w:vAlign w:val="bottom"/>
            <w:tcBorders>
              <w:bottom w:val="single" w:sz="8" w:color="auto"/>
            </w:tcBorders>
          </w:tcPr>
          <w:p>
            <w:pPr>
              <w:jc w:val="center"/>
              <w:ind w:right="62"/>
              <w:spacing w:after="0"/>
              <w:rPr>
                <w:sz w:val="20"/>
                <w:szCs w:val="20"/>
                <w:color w:val="auto"/>
              </w:rPr>
            </w:pPr>
            <w:r>
              <w:rPr>
                <w:rFonts w:ascii="Arial" w:cs="Arial" w:eastAsia="Arial" w:hAnsi="Arial"/>
                <w:sz w:val="18"/>
                <w:szCs w:val="18"/>
                <w:color w:val="auto"/>
                <w:w w:val="92"/>
              </w:rPr>
              <w:t>OUTSTANDING AT AUGUST 9, 2007</w:t>
            </w:r>
          </w:p>
        </w:tc>
        <w:tc>
          <w:tcPr>
            <w:tcW w:w="840" w:type="dxa"/>
            <w:vAlign w:val="bottom"/>
          </w:tcPr>
          <w:p>
            <w:pPr>
              <w:spacing w:after="0"/>
              <w:rPr>
                <w:sz w:val="19"/>
                <w:szCs w:val="19"/>
                <w:color w:val="auto"/>
              </w:rPr>
            </w:pPr>
          </w:p>
        </w:tc>
      </w:tr>
      <w:tr>
        <w:trPr>
          <w:trHeight w:val="269"/>
        </w:trPr>
        <w:tc>
          <w:tcPr>
            <w:tcW w:w="860" w:type="dxa"/>
            <w:vAlign w:val="bottom"/>
          </w:tcPr>
          <w:p>
            <w:pPr>
              <w:spacing w:after="0"/>
              <w:rPr>
                <w:sz w:val="23"/>
                <w:szCs w:val="23"/>
                <w:color w:val="auto"/>
              </w:rPr>
            </w:pPr>
          </w:p>
        </w:tc>
        <w:tc>
          <w:tcPr>
            <w:tcW w:w="5020" w:type="dxa"/>
            <w:vAlign w:val="bottom"/>
          </w:tcPr>
          <w:p>
            <w:pPr>
              <w:jc w:val="center"/>
              <w:ind w:right="82"/>
              <w:spacing w:after="0"/>
              <w:rPr>
                <w:sz w:val="20"/>
                <w:szCs w:val="20"/>
                <w:color w:val="auto"/>
              </w:rPr>
            </w:pPr>
            <w:r>
              <w:rPr>
                <w:rFonts w:ascii="Arial" w:cs="Arial" w:eastAsia="Arial" w:hAnsi="Arial"/>
                <w:sz w:val="22"/>
                <w:szCs w:val="22"/>
                <w:color w:val="auto"/>
                <w:w w:val="87"/>
              </w:rPr>
              <w:t>Common Stock, par value $.05 per share</w:t>
            </w:r>
          </w:p>
        </w:tc>
        <w:tc>
          <w:tcPr>
            <w:tcW w:w="4700" w:type="dxa"/>
            <w:vAlign w:val="bottom"/>
          </w:tcPr>
          <w:p>
            <w:pPr>
              <w:jc w:val="right"/>
              <w:ind w:right="1842"/>
              <w:spacing w:after="0"/>
              <w:rPr>
                <w:sz w:val="20"/>
                <w:szCs w:val="20"/>
                <w:color w:val="auto"/>
              </w:rPr>
            </w:pPr>
            <w:r>
              <w:rPr>
                <w:rFonts w:ascii="Arial" w:cs="Arial" w:eastAsia="Arial" w:hAnsi="Arial"/>
                <w:sz w:val="22"/>
                <w:szCs w:val="22"/>
                <w:color w:val="auto"/>
              </w:rPr>
              <w:t>10,257,084</w:t>
            </w:r>
          </w:p>
        </w:tc>
        <w:tc>
          <w:tcPr>
            <w:tcW w:w="840" w:type="dxa"/>
            <w:vAlign w:val="bottom"/>
          </w:tcPr>
          <w:p>
            <w:pPr>
              <w:spacing w:after="0"/>
              <w:rPr>
                <w:sz w:val="23"/>
                <w:szCs w:val="23"/>
                <w:color w:val="auto"/>
              </w:rPr>
            </w:pPr>
          </w:p>
        </w:tc>
      </w:tr>
      <w:tr>
        <w:trPr>
          <w:trHeight w:val="691"/>
        </w:trPr>
        <w:tc>
          <w:tcPr>
            <w:tcW w:w="8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75"/>
        </w:trPr>
        <w:tc>
          <w:tcPr>
            <w:tcW w:w="86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195" w:lineRule="exact"/>
        <w:rPr>
          <w:sz w:val="24"/>
          <w:szCs w:val="24"/>
          <w:color w:val="auto"/>
        </w:rPr>
      </w:pPr>
    </w:p>
    <w:p>
      <w:pPr>
        <w:ind w:left="10720"/>
        <w:spacing w:after="0"/>
        <w:rPr>
          <w:sz w:val="20"/>
          <w:szCs w:val="20"/>
          <w:color w:val="auto"/>
        </w:rPr>
      </w:pPr>
      <w:r>
        <w:rPr>
          <w:rFonts w:ascii="Arial" w:cs="Arial" w:eastAsia="Arial" w:hAnsi="Arial"/>
          <w:sz w:val="18"/>
          <w:szCs w:val="18"/>
          <w:b w:val="1"/>
          <w:bCs w:val="1"/>
          <w:color w:val="auto"/>
        </w:rPr>
        <w:t>Page</w:t>
      </w:r>
    </w:p>
    <w:p>
      <w:pPr>
        <w:sectPr>
          <w:pgSz w:w="11900" w:h="16838" w:orient="portrait"/>
          <w:cols w:equalWidth="0" w:num="1">
            <w:col w:w="11420"/>
          </w:cols>
          <w:pgMar w:left="240" w:top="94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920" w:type="dxa"/>
            <w:vAlign w:val="bottom"/>
            <w:gridSpan w:val="8"/>
          </w:tcPr>
          <w:p>
            <w:pPr>
              <w:spacing w:after="0"/>
              <w:rPr>
                <w:sz w:val="20"/>
                <w:szCs w:val="20"/>
                <w:color w:val="auto"/>
              </w:rPr>
            </w:pPr>
            <w:r>
              <w:rPr>
                <w:rFonts w:ascii="Arial" w:cs="Arial" w:eastAsia="Arial" w:hAnsi="Arial"/>
                <w:sz w:val="18"/>
                <w:szCs w:val="18"/>
                <w:b w:val="1"/>
                <w:bCs w:val="1"/>
                <w:color w:val="auto"/>
              </w:rPr>
              <w:t>FINANCIAL INFORMATION</w:t>
            </w:r>
          </w:p>
        </w:tc>
        <w:tc>
          <w:tcPr>
            <w:tcW w:w="1800" w:type="dxa"/>
            <w:vAlign w:val="bottom"/>
          </w:tcPr>
          <w:p>
            <w:pPr>
              <w:spacing w:after="0"/>
              <w:rPr>
                <w:sz w:val="19"/>
                <w:szCs w:val="19"/>
                <w:color w:val="auto"/>
              </w:rPr>
            </w:pPr>
          </w:p>
        </w:tc>
      </w:tr>
      <w:tr>
        <w:trPr>
          <w:trHeight w:val="729"/>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792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spacing w:after="0"/>
              <w:rPr>
                <w:sz w:val="24"/>
                <w:szCs w:val="24"/>
                <w:color w:val="auto"/>
              </w:rPr>
            </w:pPr>
          </w:p>
        </w:tc>
      </w:tr>
      <w:tr>
        <w:trPr>
          <w:trHeight w:val="677"/>
        </w:trPr>
        <w:tc>
          <w:tcPr>
            <w:tcW w:w="126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Condensed Balance Sheets – June 30, 2007 and April 1, 2007</w:t>
              </w:r>
            </w:hyperlink>
          </w:p>
        </w:tc>
        <w:tc>
          <w:tcPr>
            <w:tcW w:w="3580" w:type="dxa"/>
            <w:vAlign w:val="bottom"/>
            <w:gridSpan w:val="4"/>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3</w:t>
            </w:r>
          </w:p>
        </w:tc>
      </w:tr>
      <w:tr>
        <w:trPr>
          <w:trHeight w:val="696"/>
        </w:trPr>
        <w:tc>
          <w:tcPr>
            <w:tcW w:w="1260" w:type="dxa"/>
            <w:vAlign w:val="bottom"/>
          </w:tcPr>
          <w:p>
            <w:pPr>
              <w:spacing w:after="0"/>
              <w:rPr>
                <w:sz w:val="24"/>
                <w:szCs w:val="24"/>
                <w:color w:val="auto"/>
              </w:rPr>
            </w:pPr>
          </w:p>
        </w:tc>
        <w:tc>
          <w:tcPr>
            <w:tcW w:w="5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Statements of Income – Three Months Ended June 30, 2007 and 2006</w:t>
              </w:r>
            </w:hyperlink>
          </w:p>
        </w:tc>
        <w:tc>
          <w:tcPr>
            <w:tcW w:w="2180" w:type="dxa"/>
            <w:vAlign w:val="bottom"/>
            <w:gridSpan w:val="3"/>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4</w:t>
            </w:r>
          </w:p>
        </w:tc>
      </w:tr>
      <w:tr>
        <w:trPr>
          <w:trHeight w:val="696"/>
        </w:trPr>
        <w:tc>
          <w:tcPr>
            <w:tcW w:w="1260" w:type="dxa"/>
            <w:vAlign w:val="bottom"/>
          </w:tcPr>
          <w:p>
            <w:pPr>
              <w:spacing w:after="0"/>
              <w:rPr>
                <w:sz w:val="24"/>
                <w:szCs w:val="24"/>
                <w:color w:val="auto"/>
              </w:rPr>
            </w:pPr>
          </w:p>
        </w:tc>
        <w:tc>
          <w:tcPr>
            <w:tcW w:w="60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Statements of Cash Flows – Three Months Ended June 30, 2007 and 2006</w:t>
              </w:r>
            </w:hyperlink>
          </w:p>
        </w:tc>
        <w:tc>
          <w:tcPr>
            <w:tcW w:w="1880" w:type="dxa"/>
            <w:vAlign w:val="bottom"/>
            <w:gridSpan w:val="2"/>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5</w:t>
            </w:r>
          </w:p>
        </w:tc>
      </w:tr>
      <w:tr>
        <w:trPr>
          <w:trHeight w:val="696"/>
        </w:trPr>
        <w:tc>
          <w:tcPr>
            <w:tcW w:w="1260" w:type="dxa"/>
            <w:vAlign w:val="bottom"/>
          </w:tcPr>
          <w:p>
            <w:pPr>
              <w:spacing w:after="0"/>
              <w:rPr>
                <w:sz w:val="24"/>
                <w:szCs w:val="24"/>
                <w:color w:val="auto"/>
              </w:rPr>
            </w:pPr>
          </w:p>
        </w:tc>
        <w:tc>
          <w:tcPr>
            <w:tcW w:w="38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Notes to Condensed Financial Statements – Unaudited</w:t>
              </w:r>
            </w:hyperlink>
          </w:p>
        </w:tc>
        <w:tc>
          <w:tcPr>
            <w:tcW w:w="4080" w:type="dxa"/>
            <w:vAlign w:val="bottom"/>
            <w:gridSpan w:val="6"/>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6</w:t>
            </w:r>
          </w:p>
        </w:tc>
      </w:tr>
      <w:tr>
        <w:trPr>
          <w:trHeight w:val="696"/>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9</w:t>
            </w:r>
          </w:p>
        </w:tc>
      </w:tr>
      <w:tr>
        <w:trPr>
          <w:trHeight w:val="696"/>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1620" w:type="dxa"/>
            <w:vAlign w:val="bottom"/>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13</w:t>
            </w:r>
          </w:p>
        </w:tc>
      </w:tr>
      <w:tr>
        <w:trPr>
          <w:trHeight w:val="696"/>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2"/>
          </w:tcPr>
          <w:p>
            <w:pPr>
              <w:spacing w:after="0"/>
              <w:rPr>
                <w:sz w:val="24"/>
                <w:szCs w:val="24"/>
                <w:color w:val="auto"/>
              </w:rPr>
            </w:pPr>
          </w:p>
        </w:tc>
        <w:tc>
          <w:tcPr>
            <w:tcW w:w="3720" w:type="dxa"/>
            <w:vAlign w:val="bottom"/>
            <w:gridSpan w:val="5"/>
          </w:tcPr>
          <w:p>
            <w:pPr>
              <w:spacing w:after="0"/>
              <w:rPr>
                <w:sz w:val="24"/>
                <w:szCs w:val="24"/>
                <w:color w:val="auto"/>
              </w:rPr>
            </w:pPr>
          </w:p>
        </w:tc>
        <w:tc>
          <w:tcPr>
            <w:tcW w:w="1800" w:type="dxa"/>
            <w:vAlign w:val="bottom"/>
          </w:tcPr>
          <w:p>
            <w:pPr>
              <w:jc w:val="center"/>
              <w:ind w:left="1552"/>
              <w:spacing w:after="0"/>
              <w:rPr>
                <w:sz w:val="20"/>
                <w:szCs w:val="20"/>
                <w:color w:val="auto"/>
              </w:rPr>
            </w:pPr>
            <w:r>
              <w:rPr>
                <w:rFonts w:ascii="Arial" w:cs="Arial" w:eastAsia="Arial" w:hAnsi="Arial"/>
                <w:sz w:val="18"/>
                <w:szCs w:val="18"/>
                <w:color w:val="auto"/>
                <w:w w:val="7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7"/>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00" w:type="dxa"/>
            <w:vAlign w:val="bottom"/>
          </w:tcPr>
          <w:p>
            <w:pPr>
              <w:spacing w:after="0"/>
              <w:rPr>
                <w:sz w:val="24"/>
                <w:szCs w:val="24"/>
                <w:color w:val="auto"/>
              </w:rPr>
            </w:pPr>
          </w:p>
        </w:tc>
        <w:tc>
          <w:tcPr>
            <w:tcW w:w="2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00" w:type="dxa"/>
            <w:vAlign w:val="bottom"/>
          </w:tcPr>
          <w:p>
            <w:pPr>
              <w:spacing w:after="0"/>
              <w:rPr>
                <w:sz w:val="24"/>
                <w:szCs w:val="24"/>
                <w:color w:val="auto"/>
              </w:rPr>
            </w:pP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Exhibits</w:t>
              </w:r>
            </w:hyperlink>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6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Signatures</w:t>
              </w:r>
            </w:hyperlink>
          </w:p>
        </w:tc>
        <w:tc>
          <w:tcPr>
            <w:tcW w:w="3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Exhibit Index</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jc w:val="right"/>
              <w:ind w:right="1965"/>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6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2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rPr>
              <w:t>PART I.  FINANCIAL INFORMATION</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60" w:type="dxa"/>
            <w:vAlign w:val="bottom"/>
            <w:gridSpan w:val="2"/>
          </w:tcPr>
          <w:p>
            <w:pPr>
              <w:spacing w:after="0"/>
              <w:rPr>
                <w:sz w:val="20"/>
                <w:szCs w:val="20"/>
                <w:color w:val="auto"/>
              </w:rPr>
            </w:pPr>
            <w:r>
              <w:rPr>
                <w:rFonts w:ascii="Arial" w:cs="Arial" w:eastAsia="Arial" w:hAnsi="Arial"/>
                <w:sz w:val="22"/>
                <w:szCs w:val="22"/>
                <w:color w:val="auto"/>
              </w:rPr>
              <w:t>ITEM 1.</w:t>
            </w:r>
          </w:p>
        </w:tc>
        <w:tc>
          <w:tcPr>
            <w:tcW w:w="2720" w:type="dxa"/>
            <w:vAlign w:val="bottom"/>
            <w:gridSpan w:val="4"/>
          </w:tcPr>
          <w:p>
            <w:pPr>
              <w:spacing w:after="0"/>
              <w:rPr>
                <w:sz w:val="20"/>
                <w:szCs w:val="20"/>
                <w:color w:val="auto"/>
              </w:rPr>
            </w:pPr>
            <w:r>
              <w:rPr>
                <w:rFonts w:ascii="Arial" w:cs="Arial" w:eastAsia="Arial" w:hAnsi="Arial"/>
                <w:sz w:val="22"/>
                <w:szCs w:val="22"/>
                <w:color w:val="auto"/>
              </w:rPr>
              <w:t>FINANCIAL STATEMENTS</w:t>
            </w: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680" w:type="dxa"/>
            <w:vAlign w:val="bottom"/>
            <w:gridSpan w:val="6"/>
          </w:tcPr>
          <w:p>
            <w:pPr>
              <w:spacing w:after="0"/>
              <w:rPr>
                <w:sz w:val="20"/>
                <w:szCs w:val="20"/>
                <w:color w:val="auto"/>
              </w:rPr>
            </w:pPr>
            <w:r>
              <w:rPr>
                <w:rFonts w:ascii="Arial" w:cs="Arial" w:eastAsia="Arial" w:hAnsi="Arial"/>
                <w:sz w:val="18"/>
                <w:szCs w:val="18"/>
                <w:b w:val="1"/>
                <w:bCs w:val="1"/>
                <w:color w:val="auto"/>
              </w:rPr>
              <w:t>HAWKINS, INC.</w:t>
            </w: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80" w:type="dxa"/>
            <w:vAlign w:val="bottom"/>
            <w:gridSpan w:val="6"/>
          </w:tcPr>
          <w:p>
            <w:pPr>
              <w:spacing w:after="0"/>
              <w:rPr>
                <w:sz w:val="20"/>
                <w:szCs w:val="20"/>
                <w:color w:val="auto"/>
              </w:rPr>
            </w:pPr>
            <w:r>
              <w:rPr>
                <w:rFonts w:ascii="Arial" w:cs="Arial" w:eastAsia="Arial" w:hAnsi="Arial"/>
                <w:sz w:val="18"/>
                <w:szCs w:val="18"/>
                <w:b w:val="1"/>
                <w:bCs w:val="1"/>
                <w:color w:val="auto"/>
              </w:rPr>
              <w:t>CONDENSED BALANCE SHEETS</w:t>
            </w: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3"/>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APRIL 1, 2007</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(DERIVED FROM</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AUDITED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JUNE 30, 2007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STATEMENTS)</w:t>
            </w:r>
          </w:p>
        </w:tc>
        <w:tc>
          <w:tcPr>
            <w:tcW w:w="0" w:type="dxa"/>
            <w:vAlign w:val="bottom"/>
          </w:tcPr>
          <w:p>
            <w:pPr>
              <w:spacing w:after="0"/>
              <w:rPr>
                <w:sz w:val="1"/>
                <w:szCs w:val="1"/>
                <w:color w:val="auto"/>
              </w:rPr>
            </w:pPr>
          </w:p>
        </w:tc>
      </w:tr>
      <w:tr>
        <w:trPr>
          <w:trHeight w:val="194"/>
        </w:trPr>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368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80" w:type="dxa"/>
            <w:vAlign w:val="bottom"/>
            <w:gridSpan w:val="6"/>
            <w:shd w:val="clear" w:color="auto" w:fill="D6F3E8"/>
          </w:tcPr>
          <w:p>
            <w:pPr>
              <w:ind w:left="200"/>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10,894,291</w:t>
            </w:r>
          </w:p>
        </w:tc>
        <w:tc>
          <w:tcPr>
            <w:tcW w:w="3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11,592,939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6"/>
          </w:tcPr>
          <w:p>
            <w:pPr>
              <w:ind w:left="200"/>
              <w:spacing w:after="0"/>
              <w:rPr>
                <w:sz w:val="20"/>
                <w:szCs w:val="20"/>
                <w:color w:val="auto"/>
              </w:rPr>
            </w:pPr>
            <w:r>
              <w:rPr>
                <w:rFonts w:ascii="Arial" w:cs="Arial" w:eastAsia="Arial" w:hAnsi="Arial"/>
                <w:sz w:val="18"/>
                <w:szCs w:val="18"/>
                <w:color w:val="auto"/>
              </w:rPr>
              <w:t>Investments available-for-sale</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9,929,617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13,712,540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6"/>
            <w:shd w:val="clear" w:color="auto" w:fill="D6F3E8"/>
          </w:tcPr>
          <w:p>
            <w:pPr>
              <w:ind w:left="200"/>
              <w:spacing w:after="0"/>
              <w:rPr>
                <w:sz w:val="20"/>
                <w:szCs w:val="20"/>
                <w:color w:val="auto"/>
              </w:rPr>
            </w:pPr>
            <w:r>
              <w:rPr>
                <w:rFonts w:ascii="Arial" w:cs="Arial" w:eastAsia="Arial" w:hAnsi="Arial"/>
                <w:sz w:val="18"/>
                <w:szCs w:val="18"/>
                <w:color w:val="auto"/>
              </w:rPr>
              <w:t>Trade receivables – net</w:t>
            </w:r>
          </w:p>
        </w:tc>
        <w:tc>
          <w:tcPr>
            <w:tcW w:w="4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22,048,711</w:t>
            </w: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19,663,169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6"/>
          </w:tcPr>
          <w:p>
            <w:pPr>
              <w:ind w:left="200"/>
              <w:spacing w:after="0"/>
              <w:rPr>
                <w:sz w:val="20"/>
                <w:szCs w:val="20"/>
                <w:color w:val="auto"/>
              </w:rPr>
            </w:pPr>
            <w:r>
              <w:rPr>
                <w:rFonts w:ascii="Arial" w:cs="Arial" w:eastAsia="Arial" w:hAnsi="Arial"/>
                <w:sz w:val="18"/>
                <w:szCs w:val="18"/>
                <w:color w:val="auto"/>
              </w:rPr>
              <w:t>Inventories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13,028,846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12,786,348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6"/>
            <w:shd w:val="clear" w:color="auto" w:fill="D6F3E8"/>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1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5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1,639,358</w:t>
            </w:r>
          </w:p>
        </w:tc>
        <w:tc>
          <w:tcPr>
            <w:tcW w:w="24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3,214,254</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6"/>
          </w:tcPr>
          <w:p>
            <w:pPr>
              <w:ind w:left="420"/>
              <w:spacing w:after="0" w:line="202" w:lineRule="exact"/>
              <w:rPr>
                <w:sz w:val="20"/>
                <w:szCs w:val="20"/>
                <w:color w:val="auto"/>
              </w:rPr>
            </w:pPr>
            <w:r>
              <w:rPr>
                <w:rFonts w:ascii="Arial" w:cs="Arial" w:eastAsia="Arial" w:hAnsi="Arial"/>
                <w:sz w:val="18"/>
                <w:szCs w:val="18"/>
                <w:color w:val="auto"/>
              </w:rPr>
              <w:t>Total current assets</w:t>
            </w:r>
          </w:p>
        </w:tc>
        <w:tc>
          <w:tcPr>
            <w:tcW w:w="4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57,540,823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60,969,250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-3213100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300" w:type="dxa"/>
            <w:vAlign w:val="bottom"/>
            <w:shd w:val="clear" w:color="auto" w:fill="D6F3E8"/>
          </w:tcPr>
          <w:p>
            <w:pPr>
              <w:spacing w:after="0"/>
              <w:rPr>
                <w:sz w:val="18"/>
                <w:szCs w:val="18"/>
                <w:color w:val="auto"/>
              </w:rPr>
            </w:pPr>
          </w:p>
        </w:tc>
        <w:tc>
          <w:tcPr>
            <w:tcW w:w="1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35,604,110</w:t>
            </w:r>
          </w:p>
        </w:tc>
        <w:tc>
          <w:tcPr>
            <w:tcW w:w="240" w:type="dxa"/>
            <w:vAlign w:val="bottom"/>
            <w:shd w:val="clear" w:color="auto" w:fill="D6F3E8"/>
          </w:tcPr>
          <w:p>
            <w:pPr>
              <w:spacing w:after="0"/>
              <w:rPr>
                <w:sz w:val="18"/>
                <w:szCs w:val="18"/>
                <w:color w:val="auto"/>
              </w:rPr>
            </w:pPr>
          </w:p>
        </w:tc>
        <w:tc>
          <w:tcPr>
            <w:tcW w:w="220" w:type="dxa"/>
            <w:vAlign w:val="bottom"/>
            <w:tcBorders>
              <w:right w:val="single" w:sz="8" w:color="D6F3E8"/>
            </w:tcBorders>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34,720,460</w:t>
            </w: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7520" w:type="dxa"/>
            <w:vAlign w:val="bottom"/>
            <w:gridSpan w:val="3"/>
          </w:tcPr>
          <w:p>
            <w:pPr>
              <w:spacing w:after="0"/>
              <w:rPr>
                <w:sz w:val="20"/>
                <w:szCs w:val="20"/>
                <w:color w:val="auto"/>
              </w:rPr>
            </w:pPr>
            <w:r>
              <w:rPr>
                <w:rFonts w:ascii="Arial" w:cs="Arial" w:eastAsia="Arial" w:hAnsi="Arial"/>
                <w:sz w:val="18"/>
                <w:szCs w:val="18"/>
                <w:color w:val="auto"/>
                <w:w w:val="94"/>
              </w:rPr>
              <w:t>INTANGIBLE ASSETS – less accumulated amortization of $1,716,279 and $1,643,308, respectively</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7,263,107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1,839,725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D6F3E8"/>
          </w:tcPr>
          <w:p>
            <w:pPr>
              <w:spacing w:after="0"/>
              <w:rPr>
                <w:sz w:val="18"/>
                <w:szCs w:val="18"/>
                <w:color w:val="auto"/>
              </w:rPr>
            </w:pPr>
          </w:p>
        </w:tc>
        <w:tc>
          <w:tcPr>
            <w:tcW w:w="1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2,432,020</w:t>
            </w:r>
          </w:p>
        </w:tc>
        <w:tc>
          <w:tcPr>
            <w:tcW w:w="240" w:type="dxa"/>
            <w:vAlign w:val="bottom"/>
            <w:shd w:val="clear" w:color="auto" w:fill="D6F3E8"/>
          </w:tcPr>
          <w:p>
            <w:pPr>
              <w:spacing w:after="0"/>
              <w:rPr>
                <w:sz w:val="18"/>
                <w:szCs w:val="18"/>
                <w:color w:val="auto"/>
              </w:rPr>
            </w:pPr>
          </w:p>
        </w:tc>
        <w:tc>
          <w:tcPr>
            <w:tcW w:w="220" w:type="dxa"/>
            <w:vAlign w:val="bottom"/>
            <w:tcBorders>
              <w:right w:val="single" w:sz="8" w:color="D6F3E8"/>
            </w:tcBorders>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3,013,888</w:t>
            </w: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5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604,939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725,271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tcBorders>
              <w:top w:val="single" w:sz="8" w:color="D6F3E8"/>
              <w:bottom w:val="single" w:sz="8" w:color="D6F3E8"/>
            </w:tcBorders>
            <w:shd w:val="clear" w:color="auto" w:fill="D6F3E8"/>
          </w:tcPr>
          <w:p>
            <w:pPr>
              <w:spacing w:after="0"/>
              <w:rPr>
                <w:sz w:val="18"/>
                <w:szCs w:val="18"/>
                <w:color w:val="auto"/>
              </w:rPr>
            </w:pPr>
          </w:p>
        </w:tc>
        <w:tc>
          <w:tcPr>
            <w:tcW w:w="626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D6F3E8"/>
          </w:tcPr>
          <w:p>
            <w:pPr>
              <w:spacing w:after="0"/>
              <w:rPr>
                <w:sz w:val="18"/>
                <w:szCs w:val="18"/>
                <w:color w:val="auto"/>
              </w:rPr>
            </w:pPr>
          </w:p>
        </w:tc>
        <w:tc>
          <w:tcPr>
            <w:tcW w:w="108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103,444,999</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101,268,594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5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75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12,974,620</w:t>
            </w:r>
          </w:p>
        </w:tc>
        <w:tc>
          <w:tcPr>
            <w:tcW w:w="240" w:type="dxa"/>
            <w:vAlign w:val="bottom"/>
          </w:tcPr>
          <w:p>
            <w:pPr>
              <w:spacing w:after="0"/>
              <w:rPr>
                <w:sz w:val="19"/>
                <w:szCs w:val="19"/>
                <w:color w:val="auto"/>
              </w:rPr>
            </w:pPr>
          </w:p>
        </w:tc>
        <w:tc>
          <w:tcPr>
            <w:tcW w:w="6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10,891,162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D6F3E8"/>
          </w:tcPr>
          <w:p>
            <w:pPr>
              <w:spacing w:after="0"/>
              <w:rPr>
                <w:sz w:val="18"/>
                <w:szCs w:val="18"/>
                <w:color w:val="auto"/>
              </w:rPr>
            </w:pPr>
          </w:p>
        </w:tc>
        <w:tc>
          <w:tcPr>
            <w:tcW w:w="1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D6F3E8"/>
            </w:tcBorders>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2,247,686</w:t>
            </w: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180"/>
              <w:spacing w:after="0"/>
              <w:rPr>
                <w:sz w:val="20"/>
                <w:szCs w:val="20"/>
                <w:color w:val="auto"/>
              </w:rPr>
            </w:pPr>
            <w:r>
              <w:rPr>
                <w:rFonts w:ascii="Arial" w:cs="Arial" w:eastAsia="Arial" w:hAnsi="Arial"/>
                <w:sz w:val="18"/>
                <w:szCs w:val="18"/>
                <w:color w:val="auto"/>
              </w:rPr>
              <w:t>Accrued payroll and employee benefits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2,974,174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5,221,005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D6F3E8"/>
          </w:tcPr>
          <w:p>
            <w:pPr>
              <w:spacing w:after="0"/>
              <w:rPr>
                <w:sz w:val="19"/>
                <w:szCs w:val="19"/>
                <w:color w:val="auto"/>
              </w:rPr>
            </w:pPr>
          </w:p>
        </w:tc>
        <w:tc>
          <w:tcPr>
            <w:tcW w:w="140" w:type="dxa"/>
            <w:vAlign w:val="bottom"/>
            <w:tcBorders>
              <w:right w:val="single" w:sz="8" w:color="D6F3E8"/>
            </w:tcBorders>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3,298,111</w:t>
            </w:r>
          </w:p>
        </w:tc>
        <w:tc>
          <w:tcPr>
            <w:tcW w:w="240" w:type="dxa"/>
            <w:vAlign w:val="bottom"/>
            <w:shd w:val="clear" w:color="auto" w:fill="D6F3E8"/>
          </w:tcPr>
          <w:p>
            <w:pPr>
              <w:spacing w:after="0"/>
              <w:rPr>
                <w:sz w:val="19"/>
                <w:szCs w:val="19"/>
                <w:color w:val="auto"/>
              </w:rPr>
            </w:pPr>
          </w:p>
        </w:tc>
        <w:tc>
          <w:tcPr>
            <w:tcW w:w="220" w:type="dxa"/>
            <w:vAlign w:val="bottom"/>
            <w:tcBorders>
              <w:right w:val="single" w:sz="8" w:color="D6F3E8"/>
            </w:tcBorders>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2,371,904</w:t>
            </w:r>
          </w:p>
        </w:tc>
        <w:tc>
          <w:tcPr>
            <w:tcW w:w="10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19,246,905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20,731,757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D6F3E8"/>
          </w:tcPr>
          <w:p>
            <w:pPr>
              <w:spacing w:after="0"/>
              <w:rPr>
                <w:sz w:val="18"/>
                <w:szCs w:val="18"/>
                <w:color w:val="auto"/>
              </w:rPr>
            </w:pPr>
          </w:p>
        </w:tc>
        <w:tc>
          <w:tcPr>
            <w:tcW w:w="1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135,324</w:t>
            </w:r>
          </w:p>
        </w:tc>
        <w:tc>
          <w:tcPr>
            <w:tcW w:w="240" w:type="dxa"/>
            <w:vAlign w:val="bottom"/>
            <w:shd w:val="clear" w:color="auto" w:fill="D6F3E8"/>
          </w:tcPr>
          <w:p>
            <w:pPr>
              <w:spacing w:after="0"/>
              <w:rPr>
                <w:sz w:val="18"/>
                <w:szCs w:val="18"/>
                <w:color w:val="auto"/>
              </w:rPr>
            </w:pPr>
          </w:p>
        </w:tc>
        <w:tc>
          <w:tcPr>
            <w:tcW w:w="220" w:type="dxa"/>
            <w:vAlign w:val="bottom"/>
            <w:tcBorders>
              <w:right w:val="single" w:sz="8" w:color="D6F3E8"/>
            </w:tcBorders>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138,673</w:t>
            </w: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75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407,221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420,521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5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0"/>
              </w:rPr>
              <w:t>Common stock, par value $.05 per share; 10,211,827 and 10,171,496 shares issued and outstanding,</w:t>
            </w:r>
          </w:p>
        </w:tc>
        <w:tc>
          <w:tcPr>
            <w:tcW w:w="300" w:type="dxa"/>
            <w:vAlign w:val="bottom"/>
            <w:shd w:val="clear" w:color="auto" w:fill="D6F3E8"/>
          </w:tcPr>
          <w:p>
            <w:pPr>
              <w:spacing w:after="0"/>
              <w:rPr>
                <w:sz w:val="18"/>
                <w:szCs w:val="18"/>
                <w:color w:val="auto"/>
              </w:rPr>
            </w:pPr>
          </w:p>
        </w:tc>
        <w:tc>
          <w:tcPr>
            <w:tcW w:w="1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tcBorders>
              <w:right w:val="single" w:sz="8" w:color="D6F3E8"/>
            </w:tcBorders>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20" w:type="dxa"/>
            <w:vAlign w:val="bottom"/>
            <w:tcBorders>
              <w:right w:val="single" w:sz="8" w:color="D6F3E8"/>
            </w:tcBorders>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gridSpan w:val="2"/>
            <w:shd w:val="clear" w:color="auto" w:fill="D6F3E8"/>
          </w:tcPr>
          <w:p>
            <w:pPr>
              <w:ind w:left="5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D6F3E8"/>
          </w:tcPr>
          <w:p>
            <w:pPr>
              <w:spacing w:after="0"/>
              <w:rPr>
                <w:sz w:val="19"/>
                <w:szCs w:val="19"/>
                <w:color w:val="auto"/>
              </w:rPr>
            </w:pPr>
          </w:p>
        </w:tc>
        <w:tc>
          <w:tcPr>
            <w:tcW w:w="140" w:type="dxa"/>
            <w:vAlign w:val="bottom"/>
            <w:tcBorders>
              <w:right w:val="single" w:sz="8" w:color="D6F3E8"/>
            </w:tcBorders>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510,591</w:t>
            </w:r>
          </w:p>
        </w:tc>
        <w:tc>
          <w:tcPr>
            <w:tcW w:w="240" w:type="dxa"/>
            <w:vAlign w:val="bottom"/>
            <w:shd w:val="clear" w:color="auto" w:fill="D6F3E8"/>
          </w:tcPr>
          <w:p>
            <w:pPr>
              <w:spacing w:after="0"/>
              <w:rPr>
                <w:sz w:val="19"/>
                <w:szCs w:val="19"/>
                <w:color w:val="auto"/>
              </w:rPr>
            </w:pPr>
          </w:p>
        </w:tc>
        <w:tc>
          <w:tcPr>
            <w:tcW w:w="220" w:type="dxa"/>
            <w:vAlign w:val="bottom"/>
            <w:tcBorders>
              <w:right w:val="single" w:sz="8" w:color="D6F3E8"/>
            </w:tcBorders>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508,575</w:t>
            </w:r>
          </w:p>
        </w:tc>
        <w:tc>
          <w:tcPr>
            <w:tcW w:w="10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37,987,491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37,242,090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(34,186)</w:t>
            </w:r>
          </w:p>
        </w:tc>
        <w:tc>
          <w:tcPr>
            <w:tcW w:w="220" w:type="dxa"/>
            <w:vAlign w:val="bottom"/>
            <w:tcBorders>
              <w:right w:val="single" w:sz="8" w:color="D6F3E8"/>
            </w:tcBorders>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11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(13,605)</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45,191,653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42,240,583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tcBorders>
              <w:top w:val="single" w:sz="8" w:color="D6F3E8"/>
            </w:tcBorders>
            <w:gridSpan w:val="2"/>
            <w:shd w:val="clear" w:color="auto" w:fill="D6F3E8"/>
          </w:tcPr>
          <w:p>
            <w:pPr>
              <w:ind w:left="6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right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spacing w:after="0"/>
              <w:rPr>
                <w:sz w:val="18"/>
                <w:szCs w:val="18"/>
                <w:color w:val="auto"/>
              </w:rPr>
            </w:pPr>
          </w:p>
        </w:tc>
        <w:tc>
          <w:tcPr>
            <w:tcW w:w="108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83,655,549</w:t>
            </w:r>
          </w:p>
        </w:tc>
        <w:tc>
          <w:tcPr>
            <w:tcW w:w="2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D6F3E8"/>
              <w:right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79,977,643</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103,444,999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101,268,594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condensed financial statements – unaudited.</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7520" w:type="dxa"/>
            <w:vAlign w:val="bottom"/>
            <w:gridSpan w:val="3"/>
          </w:tcPr>
          <w:p>
            <w:pPr>
              <w:ind w:left="56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1260" w:type="dxa"/>
            <w:vAlign w:val="bottom"/>
            <w:tcBorders>
              <w:bottom w:val="single" w:sz="8" w:color="808080"/>
            </w:tcBorders>
            <w:gridSpan w:val="2"/>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CONDENSED STATEMENTS OF INCOME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48,622,725</w:t>
            </w:r>
          </w:p>
        </w:tc>
        <w:tc>
          <w:tcPr>
            <w:tcW w:w="240" w:type="dxa"/>
            <w:vAlign w:val="bottom"/>
            <w:shd w:val="clear" w:color="auto" w:fill="D6F3E8"/>
          </w:tcPr>
          <w:p>
            <w:pPr>
              <w:spacing w:after="0"/>
              <w:rPr>
                <w:sz w:val="22"/>
                <w:szCs w:val="22"/>
                <w:color w:val="auto"/>
              </w:rPr>
            </w:pPr>
          </w:p>
        </w:tc>
        <w:tc>
          <w:tcPr>
            <w:tcW w:w="6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41,460,663</w:t>
            </w: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752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36,792,174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30,637,578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11,830,551</w:t>
            </w:r>
          </w:p>
        </w:tc>
        <w:tc>
          <w:tcPr>
            <w:tcW w:w="24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10,823,085</w:t>
            </w: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752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7,495,284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6,636,865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4,335,267</w:t>
            </w:r>
          </w:p>
        </w:tc>
        <w:tc>
          <w:tcPr>
            <w:tcW w:w="24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4,186,220</w:t>
            </w: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7520" w:type="dxa"/>
            <w:vAlign w:val="bottom"/>
            <w:gridSpan w:val="3"/>
          </w:tcPr>
          <w:p>
            <w:pPr>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302,303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4,637,570</w:t>
            </w:r>
          </w:p>
        </w:tc>
        <w:tc>
          <w:tcPr>
            <w:tcW w:w="24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4,487,467</w:t>
            </w: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75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1,686,500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spacing w:after="0"/>
              <w:rPr>
                <w:sz w:val="22"/>
                <w:szCs w:val="22"/>
                <w:color w:val="auto"/>
              </w:rPr>
            </w:pPr>
          </w:p>
        </w:tc>
        <w:tc>
          <w:tcPr>
            <w:tcW w:w="140" w:type="dxa"/>
            <w:vAlign w:val="bottom"/>
            <w:tcBorders>
              <w:right w:val="single" w:sz="8" w:color="D6F3E8"/>
            </w:tcBorders>
            <w:shd w:val="clear" w:color="auto" w:fill="D6F3E8"/>
          </w:tcPr>
          <w:p>
            <w:pPr>
              <w:spacing w:after="0"/>
              <w:rPr>
                <w:sz w:val="22"/>
                <w:szCs w:val="22"/>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2,951,070</w:t>
            </w:r>
          </w:p>
        </w:tc>
        <w:tc>
          <w:tcPr>
            <w:tcW w:w="240" w:type="dxa"/>
            <w:vAlign w:val="bottom"/>
            <w:shd w:val="clear" w:color="auto" w:fill="D6F3E8"/>
          </w:tcPr>
          <w:p>
            <w:pPr>
              <w:spacing w:after="0"/>
              <w:rPr>
                <w:sz w:val="22"/>
                <w:szCs w:val="22"/>
                <w:color w:val="auto"/>
              </w:rPr>
            </w:pPr>
          </w:p>
        </w:tc>
        <w:tc>
          <w:tcPr>
            <w:tcW w:w="6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2,799,967</w:t>
            </w: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D6F3E8"/>
          </w:tcPr>
          <w:p>
            <w:pPr>
              <w:spacing w:after="0" w:line="20" w:lineRule="exact"/>
              <w:rPr>
                <w:sz w:val="1"/>
                <w:szCs w:val="1"/>
                <w:color w:val="auto"/>
              </w:rPr>
            </w:pPr>
          </w:p>
        </w:tc>
        <w:tc>
          <w:tcPr>
            <w:tcW w:w="6260" w:type="dxa"/>
            <w:vAlign w:val="bottom"/>
            <w:shd w:val="clear" w:color="auto" w:fill="D6F3E8"/>
          </w:tcPr>
          <w:p>
            <w:pPr>
              <w:spacing w:after="0" w:line="20" w:lineRule="exact"/>
              <w:rPr>
                <w:sz w:val="1"/>
                <w:szCs w:val="1"/>
                <w:color w:val="auto"/>
              </w:rPr>
            </w:pPr>
          </w:p>
        </w:tc>
        <w:tc>
          <w:tcPr>
            <w:tcW w:w="300" w:type="dxa"/>
            <w:vAlign w:val="bottom"/>
            <w:shd w:val="clear" w:color="auto" w:fill="D6F3E8"/>
          </w:tcPr>
          <w:p>
            <w:pPr>
              <w:spacing w:after="0" w:line="20" w:lineRule="exact"/>
              <w:rPr>
                <w:sz w:val="1"/>
                <w:szCs w:val="1"/>
                <w:color w:val="auto"/>
              </w:rPr>
            </w:pPr>
          </w:p>
        </w:tc>
        <w:tc>
          <w:tcPr>
            <w:tcW w:w="140" w:type="dxa"/>
            <w:vAlign w:val="bottom"/>
            <w:tcBorders>
              <w:right w:val="single" w:sz="8" w:color="D6F3E8"/>
            </w:tcBorders>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20" w:type="dxa"/>
            <w:vAlign w:val="bottom"/>
            <w:tcBorders>
              <w:right w:val="single" w:sz="8" w:color="D6F3E8"/>
            </w:tcBorders>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5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10,184,940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10,171,496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Borders>
              <w:bottom w:val="single" w:sz="8" w:color="D6F3E8"/>
            </w:tcBorders>
            <w:shd w:val="clear" w:color="auto" w:fill="D6F3E8"/>
          </w:tcPr>
          <w:p>
            <w:pPr>
              <w:spacing w:after="0"/>
              <w:rPr>
                <w:sz w:val="22"/>
                <w:szCs w:val="22"/>
                <w:color w:val="auto"/>
              </w:rPr>
            </w:pPr>
          </w:p>
        </w:tc>
        <w:tc>
          <w:tcPr>
            <w:tcW w:w="140" w:type="dxa"/>
            <w:vAlign w:val="bottom"/>
            <w:tcBorders>
              <w:bottom w:val="single" w:sz="8" w:color="D6F3E8"/>
              <w:right w:val="single" w:sz="8" w:color="D6F3E8"/>
            </w:tcBorders>
            <w:shd w:val="clear" w:color="auto" w:fill="D6F3E8"/>
          </w:tcPr>
          <w:p>
            <w:pPr>
              <w:spacing w:after="0"/>
              <w:rPr>
                <w:sz w:val="22"/>
                <w:szCs w:val="22"/>
                <w:color w:val="auto"/>
              </w:rPr>
            </w:pPr>
          </w:p>
        </w:tc>
        <w:tc>
          <w:tcPr>
            <w:tcW w:w="26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10,204,262</w:t>
            </w:r>
          </w:p>
        </w:tc>
        <w:tc>
          <w:tcPr>
            <w:tcW w:w="240" w:type="dxa"/>
            <w:vAlign w:val="bottom"/>
            <w:tcBorders>
              <w:bottom w:val="single" w:sz="8" w:color="D6F3E8"/>
            </w:tcBorders>
            <w:shd w:val="clear" w:color="auto" w:fill="D6F3E8"/>
          </w:tcPr>
          <w:p>
            <w:pPr>
              <w:spacing w:after="0"/>
              <w:rPr>
                <w:sz w:val="22"/>
                <w:szCs w:val="22"/>
                <w:color w:val="auto"/>
              </w:rPr>
            </w:pPr>
          </w:p>
        </w:tc>
        <w:tc>
          <w:tcPr>
            <w:tcW w:w="220" w:type="dxa"/>
            <w:vAlign w:val="bottom"/>
            <w:tcBorders>
              <w:bottom w:val="single" w:sz="8" w:color="D6F3E8"/>
              <w:right w:val="single" w:sz="8" w:color="D6F3E8"/>
            </w:tcBorders>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9"/>
              </w:rPr>
              <w:t>10,171,496</w:t>
            </w:r>
          </w:p>
        </w:tc>
        <w:tc>
          <w:tcPr>
            <w:tcW w:w="12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D6F3E8"/>
            </w:tcBorders>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basic and diluted</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-5001260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-5001260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3" w:name="page4"/>
    <w:bookmarkEnd w:id="3"/>
    <w:p>
      <w:pPr>
        <w:spacing w:after="0"/>
        <w:tabs>
          <w:tab w:leader="none" w:pos="7940" w:val="left"/>
          <w:tab w:leader="none" w:pos="9100" w:val="left"/>
          <w:tab w:leader="none" w:pos="9720" w:val="left"/>
          <w:tab w:leader="none" w:pos="10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1691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t>Cash dividends declared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36830</wp:posOffset>
            </wp:positionV>
            <wp:extent cx="1981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9"/>
        </w:trPr>
        <w:tc>
          <w:tcPr>
            <w:tcW w:w="78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2007</w:t>
            </w:r>
          </w:p>
        </w:tc>
        <w:tc>
          <w:tcPr>
            <w:tcW w:w="4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5"/>
                <w:szCs w:val="15"/>
                <w:color w:val="auto"/>
              </w:rPr>
            </w:pPr>
          </w:p>
        </w:tc>
        <w:tc>
          <w:tcPr>
            <w:tcW w:w="202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D6F3E8"/>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2,951,070</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2,799,967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0" w:type="dxa"/>
            <w:vAlign w:val="bottom"/>
          </w:tcPr>
          <w:p>
            <w:pPr>
              <w:ind w:left="260"/>
              <w:spacing w:after="0"/>
              <w:rPr>
                <w:sz w:val="20"/>
                <w:szCs w:val="20"/>
                <w:color w:val="auto"/>
              </w:rPr>
            </w:pPr>
            <w:r>
              <w:rPr>
                <w:rFonts w:ascii="Arial" w:cs="Arial" w:eastAsia="Arial" w:hAnsi="Arial"/>
                <w:sz w:val="18"/>
                <w:szCs w:val="18"/>
                <w:color w:val="auto"/>
              </w:rPr>
              <w:t>Reconciliation to cash flows: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1,227,262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927,682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D6F3E8"/>
          </w:tcPr>
          <w:p>
            <w:pPr>
              <w:ind w:left="520"/>
              <w:spacing w:after="0"/>
              <w:rPr>
                <w:sz w:val="20"/>
                <w:szCs w:val="20"/>
                <w:color w:val="auto"/>
              </w:rPr>
            </w:pPr>
            <w:r>
              <w:rPr>
                <w:rFonts w:ascii="Arial" w:cs="Arial" w:eastAsia="Arial" w:hAnsi="Arial"/>
                <w:sz w:val="18"/>
                <w:szCs w:val="18"/>
                <w:color w:val="auto"/>
              </w:rPr>
              <w:t>Restricted stock compensation expense</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159,417</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520"/>
              <w:spacing w:after="0"/>
              <w:rPr>
                <w:sz w:val="20"/>
                <w:szCs w:val="20"/>
                <w:color w:val="auto"/>
              </w:rPr>
            </w:pPr>
            <w:r>
              <w:rPr>
                <w:rFonts w:ascii="Arial" w:cs="Arial" w:eastAsia="Arial" w:hAnsi="Arial"/>
                <w:sz w:val="18"/>
                <w:szCs w:val="18"/>
                <w:color w:val="auto"/>
              </w:rPr>
              <w:t>Impairment of investments</w:t>
            </w:r>
          </w:p>
        </w:tc>
        <w:tc>
          <w:tcPr>
            <w:tcW w:w="36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560"/>
              <w:spacing w:after="0"/>
              <w:rPr>
                <w:sz w:val="20"/>
                <w:szCs w:val="20"/>
                <w:color w:val="auto"/>
              </w:rPr>
            </w:pPr>
            <w:r>
              <w:rPr>
                <w:rFonts w:ascii="Arial" w:cs="Arial" w:eastAsia="Arial" w:hAnsi="Arial"/>
                <w:sz w:val="18"/>
                <w:szCs w:val="18"/>
                <w:color w:val="auto"/>
              </w:rPr>
              <w:t>(Gain) loss from property disposals</w:t>
            </w:r>
          </w:p>
        </w:tc>
        <w:tc>
          <w:tcPr>
            <w:tcW w:w="360" w:type="dxa"/>
            <w:vAlign w:val="bottom"/>
            <w:shd w:val="clear" w:color="auto" w:fill="D6F3E8"/>
          </w:tcPr>
          <w:p>
            <w:pPr>
              <w:spacing w:after="0"/>
              <w:rPr>
                <w:sz w:val="22"/>
                <w:szCs w:val="22"/>
                <w:color w:val="auto"/>
              </w:rPr>
            </w:pPr>
          </w:p>
        </w:tc>
        <w:tc>
          <w:tcPr>
            <w:tcW w:w="17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(6,736)</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26,969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800" w:type="dxa"/>
            <w:vAlign w:val="bottom"/>
          </w:tcPr>
          <w:p>
            <w:pPr>
              <w:ind w:left="520"/>
              <w:spacing w:after="0"/>
              <w:rPr>
                <w:sz w:val="20"/>
                <w:szCs w:val="20"/>
                <w:color w:val="auto"/>
              </w:rPr>
            </w:pPr>
            <w:r>
              <w:rPr>
                <w:rFonts w:ascii="Arial" w:cs="Arial" w:eastAsia="Arial" w:hAnsi="Arial"/>
                <w:sz w:val="18"/>
                <w:szCs w:val="18"/>
                <w:color w:val="auto"/>
              </w:rPr>
              <w:t>Changes in operating accounts (using) providing cash:</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00" w:type="dxa"/>
            <w:vAlign w:val="bottom"/>
          </w:tcPr>
          <w:p>
            <w:pPr>
              <w:ind w:left="780"/>
              <w:spacing w:after="0"/>
              <w:rPr>
                <w:sz w:val="20"/>
                <w:szCs w:val="20"/>
                <w:color w:val="auto"/>
              </w:rPr>
            </w:pPr>
            <w:r>
              <w:rPr>
                <w:rFonts w:ascii="Arial" w:cs="Arial" w:eastAsia="Arial" w:hAnsi="Arial"/>
                <w:sz w:val="18"/>
                <w:szCs w:val="18"/>
                <w:color w:val="auto"/>
              </w:rPr>
              <w:t>Trade receivables</w:t>
            </w:r>
          </w:p>
        </w:tc>
        <w:tc>
          <w:tcPr>
            <w:tcW w:w="360" w:type="dxa"/>
            <w:vAlign w:val="bottom"/>
          </w:tcPr>
          <w:p>
            <w:pPr>
              <w:spacing w:after="0"/>
              <w:rPr>
                <w:sz w:val="22"/>
                <w:szCs w:val="22"/>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(1,270,802)</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(2,896,819)</w:t>
            </w:r>
          </w:p>
        </w:tc>
        <w:tc>
          <w:tcPr>
            <w:tcW w:w="0" w:type="dxa"/>
            <w:vAlign w:val="bottom"/>
          </w:tcPr>
          <w:p>
            <w:pPr>
              <w:spacing w:after="0"/>
              <w:rPr>
                <w:sz w:val="1"/>
                <w:szCs w:val="1"/>
                <w:color w:val="auto"/>
              </w:rPr>
            </w:pPr>
          </w:p>
        </w:tc>
      </w:tr>
      <w:tr>
        <w:trPr>
          <w:trHeight w:val="258"/>
        </w:trPr>
        <w:tc>
          <w:tcPr>
            <w:tcW w:w="7800" w:type="dxa"/>
            <w:vAlign w:val="bottom"/>
            <w:shd w:val="clear" w:color="auto" w:fill="D6F3E8"/>
          </w:tcPr>
          <w:p>
            <w:pPr>
              <w:ind w:left="78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D6F3E8"/>
          </w:tcPr>
          <w:p>
            <w:pPr>
              <w:spacing w:after="0"/>
              <w:rPr>
                <w:sz w:val="22"/>
                <w:szCs w:val="22"/>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22,817</w:t>
            </w:r>
          </w:p>
        </w:tc>
        <w:tc>
          <w:tcPr>
            <w:tcW w:w="4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(4,240,461)</w:t>
            </w:r>
          </w:p>
        </w:tc>
        <w:tc>
          <w:tcPr>
            <w:tcW w:w="0" w:type="dxa"/>
            <w:vAlign w:val="bottom"/>
          </w:tcPr>
          <w:p>
            <w:pPr>
              <w:spacing w:after="0"/>
              <w:rPr>
                <w:sz w:val="1"/>
                <w:szCs w:val="1"/>
                <w:color w:val="auto"/>
              </w:rPr>
            </w:pPr>
          </w:p>
        </w:tc>
      </w:tr>
      <w:tr>
        <w:trPr>
          <w:trHeight w:val="216"/>
        </w:trPr>
        <w:tc>
          <w:tcPr>
            <w:tcW w:w="780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774,149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3,311,896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7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D6F3E8"/>
          </w:tcPr>
          <w:p>
            <w:pPr>
              <w:spacing w:after="0"/>
              <w:rPr>
                <w:sz w:val="22"/>
                <w:szCs w:val="22"/>
                <w:color w:val="auto"/>
              </w:rPr>
            </w:pPr>
          </w:p>
        </w:tc>
        <w:tc>
          <w:tcPr>
            <w:tcW w:w="17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(2,027,054)</w:t>
            </w:r>
          </w:p>
        </w:tc>
        <w:tc>
          <w:tcPr>
            <w:tcW w:w="3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(413,374)</w:t>
            </w:r>
          </w:p>
        </w:tc>
        <w:tc>
          <w:tcPr>
            <w:tcW w:w="0" w:type="dxa"/>
            <w:vAlign w:val="bottom"/>
          </w:tcPr>
          <w:p>
            <w:pPr>
              <w:spacing w:after="0"/>
              <w:rPr>
                <w:sz w:val="1"/>
                <w:szCs w:val="1"/>
                <w:color w:val="auto"/>
              </w:rPr>
            </w:pPr>
          </w:p>
        </w:tc>
      </w:tr>
      <w:tr>
        <w:trPr>
          <w:trHeight w:val="229"/>
        </w:trPr>
        <w:tc>
          <w:tcPr>
            <w:tcW w:w="7800" w:type="dxa"/>
            <w:vAlign w:val="bottom"/>
          </w:tcPr>
          <w:p>
            <w:pPr>
              <w:ind w:left="7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1,699,187</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5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D6F3E8"/>
          </w:tcPr>
          <w:p>
            <w:pPr>
              <w:spacing w:after="0"/>
              <w:rPr>
                <w:sz w:val="22"/>
                <w:szCs w:val="22"/>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3,529,310</w:t>
            </w:r>
          </w:p>
        </w:tc>
        <w:tc>
          <w:tcPr>
            <w:tcW w:w="4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(49,552)</w:t>
            </w:r>
          </w:p>
        </w:tc>
        <w:tc>
          <w:tcPr>
            <w:tcW w:w="0" w:type="dxa"/>
            <w:vAlign w:val="bottom"/>
          </w:tcPr>
          <w:p>
            <w:pPr>
              <w:spacing w:after="0"/>
              <w:rPr>
                <w:sz w:val="1"/>
                <w:szCs w:val="1"/>
                <w:color w:val="auto"/>
              </w:rPr>
            </w:pPr>
          </w:p>
        </w:tc>
      </w:tr>
      <w:tr>
        <w:trPr>
          <w:trHeight w:val="397"/>
        </w:trPr>
        <w:tc>
          <w:tcPr>
            <w:tcW w:w="7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0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2"/>
                <w:szCs w:val="22"/>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(1,081,182)</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(746,145)</w:t>
            </w:r>
          </w:p>
        </w:tc>
        <w:tc>
          <w:tcPr>
            <w:tcW w:w="0" w:type="dxa"/>
            <w:vAlign w:val="bottom"/>
          </w:tcPr>
          <w:p>
            <w:pPr>
              <w:spacing w:after="0"/>
              <w:rPr>
                <w:sz w:val="1"/>
                <w:szCs w:val="1"/>
                <w:color w:val="auto"/>
              </w:rPr>
            </w:pPr>
          </w:p>
        </w:tc>
      </w:tr>
      <w:tr>
        <w:trPr>
          <w:trHeight w:val="217"/>
        </w:trPr>
        <w:tc>
          <w:tcPr>
            <w:tcW w:w="7800" w:type="dxa"/>
            <w:vAlign w:val="bottom"/>
            <w:shd w:val="clear" w:color="auto" w:fill="D6F3E8"/>
          </w:tcPr>
          <w:p>
            <w:pPr>
              <w:ind w:left="260"/>
              <w:spacing w:after="0"/>
              <w:rPr>
                <w:sz w:val="20"/>
                <w:szCs w:val="20"/>
                <w:color w:val="auto"/>
              </w:rPr>
            </w:pPr>
            <w:r>
              <w:rPr>
                <w:rFonts w:ascii="Arial" w:cs="Arial" w:eastAsia="Arial" w:hAnsi="Arial"/>
                <w:sz w:val="18"/>
                <w:szCs w:val="18"/>
                <w:color w:val="auto"/>
              </w:rPr>
              <w:t>Sale and maturities of investments</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4,323,406</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953,135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60"/>
              <w:spacing w:after="0"/>
              <w:rPr>
                <w:sz w:val="20"/>
                <w:szCs w:val="20"/>
                <w:color w:val="auto"/>
              </w:rPr>
            </w:pPr>
            <w:r>
              <w:rPr>
                <w:rFonts w:ascii="Arial" w:cs="Arial" w:eastAsia="Arial" w:hAnsi="Arial"/>
                <w:sz w:val="18"/>
                <w:szCs w:val="18"/>
                <w:color w:val="auto"/>
              </w:rPr>
              <w:t>Proceeds from property disposals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40,105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260"/>
              <w:spacing w:after="0"/>
              <w:rPr>
                <w:sz w:val="20"/>
                <w:szCs w:val="20"/>
                <w:color w:val="auto"/>
              </w:rPr>
            </w:pPr>
            <w:r>
              <w:rPr>
                <w:rFonts w:ascii="Arial" w:cs="Arial" w:eastAsia="Arial" w:hAnsi="Arial"/>
                <w:sz w:val="18"/>
                <w:szCs w:val="18"/>
                <w:color w:val="auto"/>
              </w:rPr>
              <w:t>Acquisition of Trumark, Inc.</w:t>
            </w:r>
          </w:p>
        </w:tc>
        <w:tc>
          <w:tcPr>
            <w:tcW w:w="360" w:type="dxa"/>
            <w:vAlign w:val="bottom"/>
            <w:shd w:val="clear" w:color="auto" w:fill="D6F3E8"/>
          </w:tcPr>
          <w:p>
            <w:pPr>
              <w:spacing w:after="0"/>
              <w:rPr>
                <w:sz w:val="22"/>
                <w:szCs w:val="22"/>
                <w:color w:val="auto"/>
              </w:rPr>
            </w:pPr>
          </w:p>
        </w:tc>
        <w:tc>
          <w:tcPr>
            <w:tcW w:w="17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(5,262,601)</w:t>
            </w:r>
          </w:p>
        </w:tc>
        <w:tc>
          <w:tcPr>
            <w:tcW w:w="3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60"/>
              <w:spacing w:after="0"/>
              <w:rPr>
                <w:sz w:val="20"/>
                <w:szCs w:val="20"/>
                <w:color w:val="auto"/>
              </w:rPr>
            </w:pPr>
            <w:r>
              <w:rPr>
                <w:rFonts w:ascii="Arial" w:cs="Arial" w:eastAsia="Arial" w:hAnsi="Arial"/>
                <w:sz w:val="18"/>
                <w:szCs w:val="18"/>
                <w:color w:val="auto"/>
              </w:rPr>
              <w:t>Payments received on notes receivable</w:t>
            </w:r>
          </w:p>
        </w:tc>
        <w:tc>
          <w:tcPr>
            <w:tcW w:w="360" w:type="dxa"/>
            <w:vAlign w:val="bottom"/>
          </w:tcPr>
          <w:p>
            <w:pPr>
              <w:spacing w:after="0"/>
              <w:rPr>
                <w:sz w:val="19"/>
                <w:szCs w:val="19"/>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8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5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shd w:val="clear" w:color="auto" w:fill="D6F3E8"/>
          </w:tcPr>
          <w:p>
            <w:pPr>
              <w:spacing w:after="0"/>
              <w:rPr>
                <w:sz w:val="22"/>
                <w:szCs w:val="22"/>
                <w:color w:val="auto"/>
              </w:rPr>
            </w:pPr>
          </w:p>
        </w:tc>
        <w:tc>
          <w:tcPr>
            <w:tcW w:w="17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(1,980,272)</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292,916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7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800" w:type="dxa"/>
            <w:vAlign w:val="bottom"/>
          </w:tcPr>
          <w:p>
            <w:pPr>
              <w:ind w:left="26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2"/>
                <w:szCs w:val="22"/>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(2,247,686)</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(2,034,299)</w:t>
            </w:r>
          </w:p>
        </w:tc>
        <w:tc>
          <w:tcPr>
            <w:tcW w:w="0" w:type="dxa"/>
            <w:vAlign w:val="bottom"/>
          </w:tcPr>
          <w:p>
            <w:pPr>
              <w:spacing w:after="0"/>
              <w:rPr>
                <w:sz w:val="1"/>
                <w:szCs w:val="1"/>
                <w:color w:val="auto"/>
              </w:rPr>
            </w:pPr>
          </w:p>
        </w:tc>
      </w:tr>
      <w:tr>
        <w:trPr>
          <w:trHeight w:val="184"/>
        </w:trPr>
        <w:tc>
          <w:tcPr>
            <w:tcW w:w="78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0" w:type="dxa"/>
            <w:vAlign w:val="bottom"/>
            <w:shd w:val="clear" w:color="auto" w:fill="D6F3E8"/>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D6F3E8"/>
          </w:tcPr>
          <w:p>
            <w:pPr>
              <w:spacing w:after="0"/>
              <w:rPr>
                <w:sz w:val="22"/>
                <w:szCs w:val="22"/>
                <w:color w:val="auto"/>
              </w:rPr>
            </w:pPr>
          </w:p>
        </w:tc>
        <w:tc>
          <w:tcPr>
            <w:tcW w:w="17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(2,247,686)</w:t>
            </w:r>
          </w:p>
        </w:tc>
        <w:tc>
          <w:tcPr>
            <w:tcW w:w="3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(2,034,299)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(698,648)</w:t>
            </w:r>
          </w:p>
        </w:tc>
        <w:tc>
          <w:tcPr>
            <w:tcW w:w="3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(1,790,935)</w:t>
            </w:r>
          </w:p>
        </w:tc>
        <w:tc>
          <w:tcPr>
            <w:tcW w:w="0" w:type="dxa"/>
            <w:vAlign w:val="bottom"/>
          </w:tcPr>
          <w:p>
            <w:pPr>
              <w:spacing w:after="0"/>
              <w:rPr>
                <w:sz w:val="1"/>
                <w:szCs w:val="1"/>
                <w:color w:val="auto"/>
              </w:rPr>
            </w:pPr>
          </w:p>
        </w:tc>
      </w:tr>
      <w:tr>
        <w:trPr>
          <w:trHeight w:val="191"/>
        </w:trPr>
        <w:tc>
          <w:tcPr>
            <w:tcW w:w="7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D6F3E8"/>
          </w:tcPr>
          <w:p>
            <w:pPr>
              <w:spacing w:after="0"/>
              <w:rPr>
                <w:sz w:val="19"/>
                <w:szCs w:val="19"/>
                <w:color w:val="auto"/>
              </w:rPr>
            </w:pPr>
          </w:p>
        </w:tc>
        <w:tc>
          <w:tcPr>
            <w:tcW w:w="17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11,592,939</w:t>
            </w:r>
          </w:p>
        </w:tc>
        <w:tc>
          <w:tcPr>
            <w:tcW w:w="3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6,330,004</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10,894,291</w:t>
            </w:r>
          </w:p>
        </w:tc>
        <w:tc>
          <w:tcPr>
            <w:tcW w:w="46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4,539,069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7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D6F3E8"/>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386,000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D6F3E8"/>
              <w:bottom w:val="single" w:sz="8" w:color="D6F3E8"/>
            </w:tcBorders>
            <w:vMerge w:val="restart"/>
          </w:tcPr>
          <w:p>
            <w:pPr>
              <w:ind w:left="260"/>
              <w:spacing w:after="0"/>
              <w:rPr>
                <w:sz w:val="20"/>
                <w:szCs w:val="20"/>
                <w:color w:val="auto"/>
              </w:rPr>
            </w:pPr>
            <w:r>
              <w:rPr>
                <w:rFonts w:ascii="Arial" w:cs="Arial" w:eastAsia="Arial" w:hAnsi="Arial"/>
                <w:sz w:val="18"/>
                <w:szCs w:val="18"/>
                <w:color w:val="auto"/>
              </w:rPr>
              <w:t>Noncash investing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2" w:right="239" w:bottom="0" w:gutter="0" w:footer="0" w:header="0"/>
        </w:sectPr>
      </w:pPr>
    </w:p>
    <w:bookmarkStart w:id="4" w:name="page5"/>
    <w:bookmarkEnd w:id="4"/>
    <w:p>
      <w:pPr>
        <w:spacing w:after="0" w:line="55" w:lineRule="exact"/>
        <w:rPr>
          <w:sz w:val="20"/>
          <w:szCs w:val="20"/>
          <w:color w:val="auto"/>
        </w:rPr>
      </w:pPr>
    </w:p>
    <w:p>
      <w:pPr>
        <w:ind w:left="520"/>
        <w:spacing w:after="0"/>
        <w:tabs>
          <w:tab w:leader="none" w:pos="7780" w:val="left"/>
          <w:tab w:leader="none" w:pos="8820" w:val="left"/>
          <w:tab w:leader="none" w:pos="9840" w:val="left"/>
          <w:tab w:leader="none" w:pos="10620" w:val="left"/>
        </w:tabs>
        <w:rPr>
          <w:sz w:val="20"/>
          <w:szCs w:val="20"/>
          <w:color w:val="auto"/>
        </w:rPr>
      </w:pPr>
      <w:r>
        <w:rPr>
          <w:rFonts w:ascii="Arial" w:cs="Arial" w:eastAsia="Arial" w:hAnsi="Arial"/>
          <w:sz w:val="18"/>
          <w:szCs w:val="18"/>
          <w:color w:val="auto"/>
        </w:rPr>
        <w:t>Capital expenditures in 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697,828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459,679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10795</wp:posOffset>
            </wp:positionV>
            <wp:extent cx="21609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260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178" w:lineRule="exact"/>
        <w:rPr>
          <w:sz w:val="20"/>
          <w:szCs w:val="20"/>
          <w:color w:val="auto"/>
        </w:rPr>
      </w:pPr>
    </w:p>
    <w:p>
      <w:pPr>
        <w:ind w:left="580" w:hanging="572"/>
        <w:spacing w:after="0" w:line="314"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1, 2007,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91" w:lineRule="exact"/>
        <w:rPr>
          <w:rFonts w:ascii="Arial" w:cs="Arial" w:eastAsia="Arial" w:hAnsi="Arial"/>
          <w:sz w:val="15"/>
          <w:szCs w:val="15"/>
          <w:color w:val="auto"/>
        </w:rPr>
      </w:pPr>
    </w:p>
    <w:p>
      <w:pPr>
        <w:ind w:left="580" w:right="380"/>
        <w:spacing w:after="0" w:line="268" w:lineRule="auto"/>
        <w:rPr>
          <w:rFonts w:ascii="Arial" w:cs="Arial" w:eastAsia="Arial" w:hAnsi="Arial"/>
          <w:sz w:val="15"/>
          <w:szCs w:val="15"/>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1, 2007 filed with the Commission on June 15, 2007.</w:t>
      </w:r>
    </w:p>
    <w:p>
      <w:pPr>
        <w:spacing w:after="0" w:line="118" w:lineRule="exact"/>
        <w:rPr>
          <w:rFonts w:ascii="Arial" w:cs="Arial" w:eastAsia="Arial" w:hAnsi="Arial"/>
          <w:sz w:val="15"/>
          <w:szCs w:val="15"/>
          <w:color w:val="auto"/>
        </w:rPr>
      </w:pPr>
    </w:p>
    <w:p>
      <w:pPr>
        <w:ind w:left="580"/>
        <w:spacing w:after="0" w:line="318" w:lineRule="auto"/>
        <w:rPr>
          <w:rFonts w:ascii="Arial" w:cs="Arial" w:eastAsia="Arial" w:hAnsi="Arial"/>
          <w:sz w:val="15"/>
          <w:szCs w:val="15"/>
          <w:color w:val="auto"/>
        </w:rPr>
      </w:pPr>
      <w:r>
        <w:rPr>
          <w:rFonts w:ascii="Arial" w:cs="Arial" w:eastAsia="Arial" w:hAnsi="Arial"/>
          <w:sz w:val="15"/>
          <w:szCs w:val="15"/>
          <w:color w:val="auto"/>
        </w:rPr>
        <w:t>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pacing w:after="0" w:line="153" w:lineRule="exact"/>
        <w:rPr>
          <w:rFonts w:ascii="Arial" w:cs="Arial" w:eastAsia="Arial" w:hAnsi="Arial"/>
          <w:sz w:val="15"/>
          <w:szCs w:val="15"/>
          <w:color w:val="auto"/>
        </w:rPr>
      </w:pPr>
    </w:p>
    <w:p>
      <w:pPr>
        <w:jc w:val="both"/>
        <w:ind w:left="580" w:right="120"/>
        <w:spacing w:after="0" w:line="259" w:lineRule="auto"/>
        <w:rPr>
          <w:rFonts w:ascii="Arial" w:cs="Arial" w:eastAsia="Arial" w:hAnsi="Arial"/>
          <w:sz w:val="15"/>
          <w:szCs w:val="15"/>
          <w:color w:val="auto"/>
        </w:rPr>
      </w:pPr>
      <w:r>
        <w:rPr>
          <w:rFonts w:ascii="Arial" w:cs="Arial" w:eastAsia="Arial" w:hAnsi="Arial"/>
          <w:sz w:val="18"/>
          <w:szCs w:val="18"/>
          <w:color w:val="auto"/>
        </w:rPr>
        <w:t>The Company is subject to U.S. federal income tax as well as income tax of multiple state jurisdictions. The tax years beginning with 2003 remain open to examination by the Internal Revenue Service. The sufficient state jurisdictions of Minnesota, Iowa, North Dakota, South Dakota, and Wisconsin have tax years beginning with 2003 open to examination.</w:t>
      </w:r>
    </w:p>
    <w:p>
      <w:pPr>
        <w:spacing w:after="0" w:line="126" w:lineRule="exact"/>
        <w:rPr>
          <w:rFonts w:ascii="Arial" w:cs="Arial" w:eastAsia="Arial" w:hAnsi="Arial"/>
          <w:sz w:val="15"/>
          <w:szCs w:val="15"/>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 ended June 30, 2007 are not necessarily indicative of the results that may be expected for the full year.</w:t>
      </w:r>
    </w:p>
    <w:p>
      <w:pPr>
        <w:spacing w:after="0" w:line="180" w:lineRule="exact"/>
        <w:rPr>
          <w:rFonts w:ascii="Arial" w:cs="Arial" w:eastAsia="Arial" w:hAnsi="Arial"/>
          <w:sz w:val="16"/>
          <w:szCs w:val="16"/>
          <w:color w:val="auto"/>
        </w:rPr>
      </w:pPr>
    </w:p>
    <w:p>
      <w:pPr>
        <w:ind w:left="580" w:right="2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$3,095,090 and $3,170,090 at June 30, 2007 and April 1, 2007, respectively. Inventory consists principally of finished goods.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summary of our intangible assets and goodwill is as follows:</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Amortizable</w:t>
            </w:r>
          </w:p>
        </w:tc>
      </w:t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Intangible Assets</w:t>
            </w:r>
          </w:p>
        </w:tc>
      </w:tr>
      <w:tr>
        <w:trPr>
          <w:trHeight w:val="438"/>
        </w:trPr>
        <w:tc>
          <w:tcPr>
            <w:tcW w:w="7340" w:type="dxa"/>
            <w:vAlign w:val="bottom"/>
          </w:tcPr>
          <w:p>
            <w:pPr>
              <w:spacing w:after="0"/>
              <w:rPr>
                <w:sz w:val="20"/>
                <w:szCs w:val="20"/>
                <w:color w:val="auto"/>
              </w:rPr>
            </w:pPr>
            <w:r>
              <w:rPr>
                <w:rFonts w:ascii="Arial" w:cs="Arial" w:eastAsia="Arial" w:hAnsi="Arial"/>
                <w:sz w:val="18"/>
                <w:szCs w:val="18"/>
                <w:color w:val="auto"/>
              </w:rPr>
              <w:t>April 1, 2007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734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120" w:type="dxa"/>
            <w:vAlign w:val="bottom"/>
            <w:shd w:val="clear" w:color="auto" w:fill="D6F3E8"/>
          </w:tcPr>
          <w:p>
            <w:pPr>
              <w:spacing w:after="0"/>
              <w:rPr>
                <w:sz w:val="22"/>
                <w:szCs w:val="22"/>
                <w:color w:val="auto"/>
              </w:rPr>
            </w:pPr>
          </w:p>
        </w:tc>
        <w:tc>
          <w:tcPr>
            <w:tcW w:w="1040" w:type="dxa"/>
            <w:vAlign w:val="bottom"/>
            <w:shd w:val="clear" w:color="auto" w:fill="D6F3E8"/>
          </w:tcPr>
          <w:p>
            <w:pPr>
              <w:spacing w:after="0"/>
              <w:rPr>
                <w:sz w:val="22"/>
                <w:szCs w:val="22"/>
                <w:color w:val="auto"/>
              </w:rPr>
            </w:pP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3,483,033</w:t>
            </w:r>
          </w:p>
        </w:tc>
      </w:tr>
      <w:tr>
        <w:trPr>
          <w:trHeight w:val="256"/>
        </w:trPr>
        <w:tc>
          <w:tcPr>
            <w:tcW w:w="73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(1,643,308)</w:t>
            </w:r>
          </w:p>
        </w:tc>
      </w:tr>
      <w:tr>
        <w:trPr>
          <w:trHeight w:val="250"/>
        </w:trPr>
        <w:tc>
          <w:tcPr>
            <w:tcW w:w="73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D6F3E8"/>
              <w:bottom w:val="single" w:sz="8" w:color="D6F3E8"/>
            </w:tcBorders>
            <w:shd w:val="clear" w:color="auto" w:fill="D6F3E8"/>
          </w:tcPr>
          <w:p>
            <w:pPr>
              <w:spacing w:after="0"/>
              <w:rPr>
                <w:sz w:val="21"/>
                <w:szCs w:val="21"/>
                <w:color w:val="auto"/>
              </w:rPr>
            </w:pPr>
          </w:p>
        </w:tc>
        <w:tc>
          <w:tcPr>
            <w:tcW w:w="1040" w:type="dxa"/>
            <w:vAlign w:val="bottom"/>
            <w:tcBorders>
              <w:top w:val="single" w:sz="8" w:color="D6F3E8"/>
              <w:bottom w:val="single" w:sz="8" w:color="D6F3E8"/>
            </w:tcBorders>
            <w:shd w:val="clear" w:color="auto" w:fill="D6F3E8"/>
          </w:tcPr>
          <w:p>
            <w:pPr>
              <w:spacing w:after="0"/>
              <w:rPr>
                <w:sz w:val="21"/>
                <w:szCs w:val="21"/>
                <w:color w:val="auto"/>
              </w:rPr>
            </w:pPr>
          </w:p>
        </w:tc>
        <w:tc>
          <w:tcPr>
            <w:tcW w:w="420" w:type="dxa"/>
            <w:vAlign w:val="bottom"/>
            <w:tcBorders>
              <w:top w:val="single" w:sz="8" w:color="D6F3E8"/>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1,839,725</w:t>
            </w:r>
          </w:p>
        </w:tc>
        <w:tc>
          <w:tcPr>
            <w:tcW w:w="180" w:type="dxa"/>
            <w:vAlign w:val="bottom"/>
            <w:tcBorders>
              <w:top w:val="single" w:sz="8" w:color="D6F3E8"/>
              <w:bottom w:val="single" w:sz="8" w:color="D6F3E8"/>
            </w:tcBorders>
            <w:shd w:val="clear" w:color="auto" w:fill="D6F3E8"/>
          </w:tcPr>
          <w:p>
            <w:pPr>
              <w:spacing w:after="0"/>
              <w:rPr>
                <w:sz w:val="21"/>
                <w:szCs w:val="2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4"/>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Unamortizable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Amortizable</w:t>
            </w:r>
          </w:p>
        </w:tc>
      </w:tr>
      <w:tr>
        <w:trPr>
          <w:trHeight w:val="161"/>
        </w:trPr>
        <w:tc>
          <w:tcPr>
            <w:tcW w:w="7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Intangible Assets</w:t>
            </w:r>
          </w:p>
        </w:tc>
        <w:tc>
          <w:tcPr>
            <w:tcW w:w="42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Intangible Assets</w:t>
            </w:r>
          </w:p>
        </w:tc>
      </w:tr>
      <w:tr>
        <w:trPr>
          <w:trHeight w:val="438"/>
        </w:trPr>
        <w:tc>
          <w:tcPr>
            <w:tcW w:w="7340" w:type="dxa"/>
            <w:vAlign w:val="bottom"/>
          </w:tcPr>
          <w:p>
            <w:pPr>
              <w:spacing w:after="0"/>
              <w:rPr>
                <w:sz w:val="20"/>
                <w:szCs w:val="20"/>
                <w:color w:val="auto"/>
              </w:rPr>
            </w:pPr>
            <w:r>
              <w:rPr>
                <w:rFonts w:ascii="Arial" w:cs="Arial" w:eastAsia="Arial" w:hAnsi="Arial"/>
                <w:sz w:val="18"/>
                <w:szCs w:val="18"/>
                <w:color w:val="auto"/>
              </w:rPr>
              <w:t>June 30, 2007</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7340" w:type="dxa"/>
            <w:vAlign w:val="bottom"/>
            <w:shd w:val="clear" w:color="auto" w:fill="D6F3E8"/>
          </w:tcPr>
          <w:p>
            <w:pPr>
              <w:spacing w:after="0"/>
              <w:rPr>
                <w:sz w:val="20"/>
                <w:szCs w:val="20"/>
                <w:color w:val="auto"/>
              </w:rPr>
            </w:pPr>
            <w:r>
              <w:rPr>
                <w:rFonts w:ascii="Arial" w:cs="Arial" w:eastAsia="Arial" w:hAnsi="Arial"/>
                <w:sz w:val="18"/>
                <w:szCs w:val="18"/>
                <w:color w:val="auto"/>
              </w:rPr>
              <w:t>Gross</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1,228,000</w:t>
            </w:r>
          </w:p>
        </w:tc>
        <w:tc>
          <w:tcPr>
            <w:tcW w:w="5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6,214,032</w:t>
            </w:r>
          </w:p>
        </w:tc>
      </w:tr>
      <w:tr>
        <w:trPr>
          <w:trHeight w:val="256"/>
        </w:trPr>
        <w:tc>
          <w:tcPr>
            <w:tcW w:w="73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(1,716,279)</w:t>
            </w:r>
          </w:p>
        </w:tc>
      </w:tr>
      <w:tr>
        <w:trPr>
          <w:trHeight w:val="250"/>
        </w:trPr>
        <w:tc>
          <w:tcPr>
            <w:tcW w:w="73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1,228,000</w:t>
            </w:r>
          </w:p>
        </w:tc>
        <w:tc>
          <w:tcPr>
            <w:tcW w:w="420" w:type="dxa"/>
            <w:vAlign w:val="bottom"/>
            <w:tcBorders>
              <w:top w:val="single" w:sz="8" w:color="D6F3E8"/>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4,497,753</w:t>
            </w:r>
          </w:p>
        </w:tc>
        <w:tc>
          <w:tcPr>
            <w:tcW w:w="180" w:type="dxa"/>
            <w:vAlign w:val="bottom"/>
            <w:tcBorders>
              <w:top w:val="single" w:sz="8" w:color="D6F3E8"/>
              <w:bottom w:val="single" w:sz="8" w:color="D6F3E8"/>
            </w:tcBorders>
            <w:shd w:val="clear" w:color="auto" w:fill="D6F3E8"/>
          </w:tcPr>
          <w:p>
            <w:pPr>
              <w:spacing w:after="0"/>
              <w:rPr>
                <w:sz w:val="21"/>
                <w:szCs w:val="2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-1362710</wp:posOffset>
            </wp:positionV>
            <wp:extent cx="120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-196850</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Amortizable assets consist primarily of customer lists, trademarks, and trade names in previous business acquisitions.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 change in the carrying amount of goodwill (included in Intangible Assets on the statement of financial condition) for the period ended June 30, 2007 is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8420" w:type="dxa"/>
            <w:vAlign w:val="bottom"/>
            <w:shd w:val="clear" w:color="auto" w:fill="D6F3E8"/>
          </w:tcPr>
          <w:p>
            <w:pPr>
              <w:spacing w:after="0"/>
              <w:rPr>
                <w:sz w:val="20"/>
                <w:szCs w:val="20"/>
                <w:color w:val="auto"/>
              </w:rPr>
            </w:pPr>
            <w:r>
              <w:rPr>
                <w:rFonts w:ascii="Arial" w:cs="Arial" w:eastAsia="Arial" w:hAnsi="Arial"/>
                <w:sz w:val="18"/>
                <w:szCs w:val="18"/>
                <w:color w:val="auto"/>
              </w:rPr>
              <w:t>Balance April 1, 2007</w:t>
            </w:r>
          </w:p>
        </w:tc>
        <w:tc>
          <w:tcPr>
            <w:tcW w:w="520" w:type="dxa"/>
            <w:vAlign w:val="bottom"/>
            <w:shd w:val="clear" w:color="auto" w:fill="D6F3E8"/>
          </w:tcPr>
          <w:p>
            <w:pPr>
              <w:jc w:val="right"/>
              <w:ind w:right="3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842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Goodwill associated with acquisition</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1,537,354</w:t>
            </w:r>
          </w:p>
        </w:tc>
        <w:tc>
          <w:tcPr>
            <w:tcW w:w="200" w:type="dxa"/>
            <w:vAlign w:val="bottom"/>
            <w:tcBorders>
              <w:bottom w:val="single" w:sz="8" w:color="D6F3E8"/>
            </w:tcBorders>
          </w:tcPr>
          <w:p>
            <w:pPr>
              <w:spacing w:after="0"/>
              <w:rPr>
                <w:sz w:val="22"/>
                <w:szCs w:val="22"/>
                <w:color w:val="auto"/>
              </w:rPr>
            </w:pPr>
          </w:p>
        </w:tc>
      </w:tr>
      <w:tr>
        <w:trPr>
          <w:trHeight w:val="250"/>
        </w:trPr>
        <w:tc>
          <w:tcPr>
            <w:tcW w:w="84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Balance June 30, 2007</w:t>
            </w:r>
          </w:p>
        </w:tc>
        <w:tc>
          <w:tcPr>
            <w:tcW w:w="520" w:type="dxa"/>
            <w:vAlign w:val="bottom"/>
            <w:tcBorders>
              <w:bottom w:val="single" w:sz="8" w:color="auto"/>
            </w:tcBorders>
            <w:shd w:val="clear" w:color="auto" w:fill="D6F3E8"/>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1,537,354</w:t>
            </w:r>
          </w:p>
        </w:tc>
        <w:tc>
          <w:tcPr>
            <w:tcW w:w="200" w:type="dxa"/>
            <w:vAlign w:val="bottom"/>
            <w:tcBorders>
              <w:bottom w:val="single" w:sz="8" w:color="D6F3E8"/>
            </w:tcBorders>
            <w:shd w:val="clear" w:color="auto" w:fill="D6F3E8"/>
          </w:tcPr>
          <w:p>
            <w:pPr>
              <w:spacing w:after="0"/>
              <w:rPr>
                <w:sz w:val="21"/>
                <w:szCs w:val="21"/>
                <w:color w:val="auto"/>
              </w:rPr>
            </w:pPr>
          </w:p>
        </w:tc>
      </w:tr>
      <w:tr>
        <w:trPr>
          <w:trHeight w:val="20"/>
        </w:trPr>
        <w:tc>
          <w:tcPr>
            <w:tcW w:w="8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ectPr>
          <w:pgSz w:w="11900" w:h="16893" w:orient="portrait"/>
          <w:cols w:equalWidth="0" w:num="1">
            <w:col w:w="11400"/>
          </w:cols>
          <w:pgMar w:left="240" w:top="158" w:right="259" w:bottom="0" w:gutter="0" w:footer="0" w:header="0"/>
        </w:sectPr>
      </w:pPr>
    </w:p>
    <w:bookmarkStart w:id="5" w:name="page6"/>
    <w:bookmarkEnd w:id="5"/>
    <w:tbl>
      <w:tblPr>
        <w:tblLayout w:type="fixed"/>
        <w:tblInd w:w="66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2,951,070</w:t>
            </w:r>
          </w:p>
        </w:tc>
        <w:tc>
          <w:tcPr>
            <w:tcW w:w="44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2,799,967</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0"/>
                <w:szCs w:val="20"/>
                <w:color w:val="auto"/>
              </w:rPr>
            </w:pPr>
            <w:r>
              <w:rPr>
                <w:rFonts w:ascii="Arial" w:cs="Arial" w:eastAsia="Arial" w:hAnsi="Arial"/>
                <w:sz w:val="18"/>
                <w:szCs w:val="18"/>
                <w:color w:val="auto"/>
              </w:rPr>
              <w:t>Available-for-sale investments unrealized loss</w:t>
            </w:r>
          </w:p>
        </w:tc>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(20,581)</w:t>
            </w:r>
          </w:p>
        </w:tc>
        <w:tc>
          <w:tcPr>
            <w:tcW w:w="2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Comprehensive income</w:t>
            </w:r>
          </w:p>
        </w:tc>
        <w:tc>
          <w:tcPr>
            <w:tcW w:w="216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vMerge w:val="continue"/>
            <w:shd w:val="clear" w:color="auto" w:fill="D6F3E8"/>
          </w:tcPr>
          <w:p>
            <w:pPr>
              <w:spacing w:after="0"/>
              <w:rPr>
                <w:sz w:val="21"/>
                <w:szCs w:val="21"/>
                <w:color w:val="auto"/>
              </w:rPr>
            </w:pPr>
          </w:p>
        </w:tc>
        <w:tc>
          <w:tcPr>
            <w:tcW w:w="23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2,930,489</w:t>
            </w:r>
          </w:p>
        </w:tc>
        <w:tc>
          <w:tcPr>
            <w:tcW w:w="440" w:type="dxa"/>
            <w:vAlign w:val="bottom"/>
            <w:shd w:val="clear" w:color="auto" w:fill="D6F3E8"/>
          </w:tcPr>
          <w:p>
            <w:pPr>
              <w:spacing w:after="0"/>
              <w:rPr>
                <w:sz w:val="21"/>
                <w:szCs w:val="21"/>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2,799,155</w:t>
            </w:r>
          </w:p>
        </w:tc>
        <w:tc>
          <w:tcPr>
            <w:tcW w:w="0" w:type="dxa"/>
            <w:vAlign w:val="bottom"/>
          </w:tcPr>
          <w:p>
            <w:pPr>
              <w:spacing w:after="0"/>
              <w:rPr>
                <w:sz w:val="1"/>
                <w:szCs w:val="1"/>
                <w:color w:val="auto"/>
              </w:rPr>
            </w:pPr>
          </w:p>
        </w:tc>
      </w:tr>
      <w:tr>
        <w:trPr>
          <w:trHeight w:val="20"/>
        </w:trPr>
        <w:tc>
          <w:tcPr>
            <w:tcW w:w="5380" w:type="dxa"/>
            <w:vAlign w:val="bottom"/>
            <w:tcBorders>
              <w:top w:val="single" w:sz="8" w:color="D6F3E8"/>
            </w:tcBorders>
          </w:tcPr>
          <w:p>
            <w:pPr>
              <w:spacing w:after="0" w:line="20" w:lineRule="exact"/>
              <w:rPr>
                <w:sz w:val="1"/>
                <w:szCs w:val="1"/>
                <w:color w:val="auto"/>
              </w:rPr>
            </w:pPr>
          </w:p>
        </w:tc>
        <w:tc>
          <w:tcPr>
            <w:tcW w:w="216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-196850</wp:posOffset>
            </wp:positionV>
            <wp:extent cx="120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-196850</wp:posOffset>
            </wp:positionV>
            <wp:extent cx="274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June 2006, the Financial Accounting Standards Board (FASB) issued FASB Interpretation (FIN) No. 48, “Accounting for Uncertainty in Income Taxes</w:t>
      </w:r>
    </w:p>
    <w:p>
      <w:pPr>
        <w:spacing w:after="0" w:line="38" w:lineRule="exact"/>
        <w:rPr>
          <w:rFonts w:ascii="Arial" w:cs="Arial" w:eastAsia="Arial" w:hAnsi="Arial"/>
          <w:sz w:val="16"/>
          <w:szCs w:val="16"/>
          <w:color w:val="auto"/>
        </w:rPr>
      </w:pPr>
    </w:p>
    <w:p>
      <w:pPr>
        <w:ind w:left="580" w:right="100"/>
        <w:spacing w:after="0" w:line="290" w:lineRule="auto"/>
        <w:rPr>
          <w:rFonts w:ascii="Arial" w:cs="Arial" w:eastAsia="Arial" w:hAnsi="Arial"/>
          <w:sz w:val="16"/>
          <w:szCs w:val="16"/>
          <w:color w:val="auto"/>
        </w:rPr>
      </w:pPr>
      <w:r>
        <w:rPr>
          <w:rFonts w:ascii="Arial" w:cs="Arial" w:eastAsia="Arial" w:hAnsi="Arial"/>
          <w:sz w:val="16"/>
          <w:szCs w:val="16"/>
          <w:color w:val="auto"/>
        </w:rPr>
        <w:t>– an interpretation of FASB Statement No. 109.” FIN No. 48 clarifies the accounting for uncertain tax positions in accordance with Statement of Financial Accounting Standards (SFAS) No. 109, “Accounting for Income Taxes.” The Company is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FIN 48 also provides guidance on new disclosure requirements, reporting and accrual of interest and penalties, accounting in interim periods and transition. Only tax positions that meet the "more-likely-than-not" threshold may be recognized. We adopted FIN 48 on April 2, 2007, which had no impact on our results of operations and financial condition.</w:t>
      </w:r>
    </w:p>
    <w:p>
      <w:pPr>
        <w:spacing w:after="0" w:line="132" w:lineRule="exact"/>
        <w:rPr>
          <w:sz w:val="20"/>
          <w:szCs w:val="20"/>
          <w:color w:val="auto"/>
        </w:rPr>
      </w:pPr>
    </w:p>
    <w:p>
      <w:pPr>
        <w:jc w:val="both"/>
        <w:ind w:left="580" w:right="180"/>
        <w:spacing w:after="0" w:line="259" w:lineRule="auto"/>
        <w:rPr>
          <w:sz w:val="20"/>
          <w:szCs w:val="20"/>
          <w:color w:val="auto"/>
        </w:rPr>
      </w:pPr>
      <w:r>
        <w:rPr>
          <w:rFonts w:ascii="Arial" w:cs="Arial" w:eastAsia="Arial" w:hAnsi="Arial"/>
          <w:sz w:val="18"/>
          <w:szCs w:val="18"/>
          <w:color w:val="auto"/>
        </w:rPr>
        <w:t>In September 2006, the FASB issued SFAS No. 157, “Fair Value Measurements.” This statement establishes a consistent framework for measuring fair value and expands disclosures on fair value measurements. SFAS 157 is effective for the Company starting in fiscal 2009. We have not determined the impact, if any, the adoption of this statement will have on our financial statements.</w:t>
      </w:r>
    </w:p>
    <w:p>
      <w:pPr>
        <w:spacing w:after="0" w:line="167" w:lineRule="exact"/>
        <w:rPr>
          <w:sz w:val="20"/>
          <w:szCs w:val="20"/>
          <w:color w:val="auto"/>
        </w:rPr>
      </w:pPr>
    </w:p>
    <w:p>
      <w:pPr>
        <w:jc w:val="both"/>
        <w:ind w:left="580"/>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 159 is effective for fiscal years beginning after November 15, 2007. We are currently evaluating the impact of adopting SFAS 159 on our results of operations and financial condition.</w:t>
      </w:r>
    </w:p>
    <w:p>
      <w:pPr>
        <w:spacing w:after="0" w:line="157" w:lineRule="exact"/>
        <w:rPr>
          <w:sz w:val="20"/>
          <w:szCs w:val="20"/>
          <w:color w:val="auto"/>
        </w:rPr>
      </w:pPr>
    </w:p>
    <w:p>
      <w:pPr>
        <w:ind w:left="580" w:right="220"/>
        <w:spacing w:after="0" w:line="294" w:lineRule="auto"/>
        <w:rPr>
          <w:sz w:val="20"/>
          <w:szCs w:val="20"/>
          <w:color w:val="auto"/>
        </w:rPr>
      </w:pPr>
      <w:r>
        <w:rPr>
          <w:rFonts w:ascii="Arial" w:cs="Arial" w:eastAsia="Arial" w:hAnsi="Arial"/>
          <w:sz w:val="16"/>
          <w:szCs w:val="16"/>
          <w:color w:val="auto"/>
        </w:rPr>
        <w:t>In June 2007, the FASB ratified the Emerging Issues Task Force (EITF) Issue No. 06-11, “Accounting for Income Tax Benefits of Dividends on Share 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 capital. EITF 06-11 is effective for fiscal years beginning after September 15, 2007. We are currently evaluating the impact of adopting EITF 06-11 on our results of operations and financial condition.</w:t>
      </w:r>
    </w:p>
    <w:p>
      <w:pPr>
        <w:spacing w:after="0" w:line="129"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color w:val="auto"/>
        </w:rPr>
        <w:t>In June 2007, the FASB ratified EITF Issue No. 07-03, “Accounting for Nonrefundable Advance Payments for Goods and Services Received for Use in Future Research and Development Activities.” EITF 07-03 requires companies to defer nonrefundable advance payments for goods and services and to expense that advance payment as the goods are delivered or services are rendered. If the company does not expect to have the goods delivered or services performed, the advance should be expensed. EITF 07-03 is effective for fiscal years beginning after December 15, 2007. We are currently evaluating the impact of adopting EITF 07-03 on our results of operations and financial condition.</w:t>
      </w:r>
    </w:p>
    <w:p>
      <w:pPr>
        <w:spacing w:after="0" w:line="129" w:lineRule="exact"/>
        <w:rPr>
          <w:sz w:val="20"/>
          <w:szCs w:val="20"/>
          <w:color w:val="auto"/>
        </w:rPr>
      </w:pPr>
    </w:p>
    <w:p>
      <w:pPr>
        <w:ind w:left="580" w:right="8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line="286" w:lineRule="auto"/>
        <w:rPr>
          <w:sz w:val="20"/>
          <w:szCs w:val="20"/>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Fin 47, “Accounting for Conditional Asset Retirement Obligations- an interpretation of FASB Statement No. 143,” the Company has not recorded an asset retirement obligation as of June 30, 2007.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14" w:lineRule="exact"/>
        <w:rPr>
          <w:sz w:val="20"/>
          <w:szCs w:val="20"/>
          <w:color w:val="auto"/>
        </w:rPr>
      </w:pPr>
    </w:p>
    <w:p>
      <w:pPr>
        <w:ind w:left="580" w:right="180" w:hanging="572"/>
        <w:spacing w:after="0" w:line="25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15, 2006, the Company issued 45,257 shares of restricted stock to certain employees of the Company. The restricted stock awards are recorded as compensation cost over the requisite vesting period, which is one year of service, based on the market value on the date of grant. The grant date fair value on December 15, 2006 was $14.09. As of June 30, 2007, there was approximately $292,000 of total unrecognized compensation cost related to nonvested share-based compensation.</w:t>
      </w:r>
    </w:p>
    <w:p>
      <w:pPr>
        <w:spacing w:after="0" w:line="129" w:lineRule="exact"/>
        <w:rPr>
          <w:rFonts w:ascii="Arial" w:cs="Arial" w:eastAsia="Arial" w:hAnsi="Arial"/>
          <w:sz w:val="18"/>
          <w:szCs w:val="18"/>
          <w:color w:val="auto"/>
        </w:rPr>
      </w:pPr>
    </w:p>
    <w:p>
      <w:pPr>
        <w:ind w:left="580" w:right="300" w:hanging="572"/>
        <w:spacing w:after="0" w:line="29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approximately $6,000,000 in cash and stock consideration. On May 31, 2007, the acquisition was completed. The acquired business is a producer of antimicrobial products for the food industry. The acquired business is included in the Company’s Industrial operating segment.</w:t>
      </w:r>
    </w:p>
    <w:p>
      <w:pPr>
        <w:spacing w:after="0" w:line="193" w:lineRule="exact"/>
        <w:rPr>
          <w:rFonts w:ascii="Arial" w:cs="Arial" w:eastAsia="Arial" w:hAnsi="Arial"/>
          <w:sz w:val="16"/>
          <w:szCs w:val="16"/>
          <w:color w:val="auto"/>
        </w:rPr>
      </w:pPr>
    </w:p>
    <w:p>
      <w:pPr>
        <w:ind w:left="580" w:right="60"/>
        <w:spacing w:after="0" w:line="256" w:lineRule="auto"/>
        <w:rPr>
          <w:rFonts w:ascii="Arial" w:cs="Arial" w:eastAsia="Arial" w:hAnsi="Arial"/>
          <w:sz w:val="16"/>
          <w:szCs w:val="16"/>
          <w:color w:val="auto"/>
        </w:rPr>
      </w:pPr>
      <w:r>
        <w:rPr>
          <w:rFonts w:ascii="Arial" w:cs="Arial" w:eastAsia="Arial" w:hAnsi="Arial"/>
          <w:sz w:val="18"/>
          <w:szCs w:val="18"/>
          <w:color w:val="auto"/>
        </w:rPr>
        <w:t>The assets acquired consist of assets used by Trumark to operate its business, including intellectual property, manufacturing equipment and inventory. The purchase price consisted of cash and shares of the Company’s stock. The Company funded the cash portion of the transaction with existing cash and issued new shares of common stock. The Company is continuing to identify and quantify assets acquired and liabilities assumed to complete the allocation of the purchase price.</w:t>
      </w:r>
    </w:p>
    <w:p>
      <w:pPr>
        <w:sectPr>
          <w:pgSz w:w="11900" w:h="16838" w:orient="portrait"/>
          <w:cols w:equalWidth="0" w:num="1">
            <w:col w:w="11380"/>
          </w:cols>
          <w:pgMar w:left="240" w:top="316" w:right="279" w:bottom="0" w:gutter="0" w:footer="0" w:header="0"/>
        </w:sectPr>
      </w:pPr>
    </w:p>
    <w:bookmarkStart w:id="6" w:name="page7"/>
    <w:bookmarkEnd w:id="6"/>
    <w:p>
      <w:pPr>
        <w:ind w:left="580" w:right="340"/>
        <w:spacing w:after="0" w:line="268" w:lineRule="auto"/>
        <w:rPr>
          <w:sz w:val="20"/>
          <w:szCs w:val="20"/>
          <w:color w:val="auto"/>
        </w:rPr>
      </w:pPr>
      <w:r>
        <w:rPr>
          <w:rFonts w:ascii="Arial" w:cs="Arial" w:eastAsia="Arial" w:hAnsi="Arial"/>
          <w:sz w:val="18"/>
          <w:szCs w:val="18"/>
          <w:color w:val="auto"/>
        </w:rPr>
        <w:t>The operations of Trumark are included in the Company’s statement of income beginning on June 1, 2007. The proforma effect of this acquisition on prior period sales, operating income, and earnings per share was not significant.</w:t>
      </w:r>
    </w:p>
    <w:p>
      <w:pPr>
        <w:spacing w:after="0" w:line="159" w:lineRule="exact"/>
        <w:rPr>
          <w:sz w:val="20"/>
          <w:szCs w:val="20"/>
          <w:color w:val="auto"/>
        </w:rPr>
      </w:pPr>
    </w:p>
    <w:p>
      <w:pPr>
        <w:ind w:left="580" w:right="80" w:hanging="572"/>
        <w:spacing w:after="0" w:line="290"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Industrial</w:t>
            </w:r>
          </w:p>
        </w:tc>
        <w:tc>
          <w:tcPr>
            <w:tcW w:w="13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Water Treatment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Pharmaceutical</w:t>
            </w:r>
          </w:p>
        </w:tc>
        <w:tc>
          <w:tcPr>
            <w:tcW w:w="2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398"/>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June 30, 2007:</w:t>
            </w: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58"/>
        </w:trPr>
        <w:tc>
          <w:tcPr>
            <w:tcW w:w="3960" w:type="dxa"/>
            <w:vAlign w:val="bottom"/>
            <w:shd w:val="clear" w:color="auto" w:fill="D6F3E8"/>
          </w:tcPr>
          <w:p>
            <w:pPr>
              <w:ind w:left="620"/>
              <w:spacing w:after="0"/>
              <w:rPr>
                <w:sz w:val="20"/>
                <w:szCs w:val="20"/>
                <w:color w:val="auto"/>
              </w:rPr>
            </w:pPr>
            <w:r>
              <w:rPr>
                <w:rFonts w:ascii="Arial" w:cs="Arial" w:eastAsia="Arial" w:hAnsi="Arial"/>
                <w:sz w:val="18"/>
                <w:szCs w:val="18"/>
                <w:color w:val="auto"/>
              </w:rPr>
              <w:t>Sales</w:t>
            </w:r>
          </w:p>
        </w:tc>
        <w:tc>
          <w:tcPr>
            <w:tcW w:w="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29,284,625</w:t>
            </w:r>
          </w:p>
        </w:tc>
        <w:tc>
          <w:tcPr>
            <w:tcW w:w="40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7"/>
              </w:rPr>
              <w:t>16,923,049</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2,415,051</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48,622,725</w:t>
            </w:r>
          </w:p>
        </w:tc>
        <w:tc>
          <w:tcPr>
            <w:tcW w:w="200" w:type="dxa"/>
            <w:vAlign w:val="bottom"/>
            <w:shd w:val="clear" w:color="auto" w:fill="D6F3E8"/>
          </w:tcPr>
          <w:p>
            <w:pPr>
              <w:spacing w:after="0"/>
              <w:rPr>
                <w:sz w:val="22"/>
                <w:szCs w:val="22"/>
                <w:color w:val="auto"/>
              </w:rPr>
            </w:pPr>
          </w:p>
        </w:tc>
      </w:tr>
      <w:tr>
        <w:trPr>
          <w:trHeight w:val="256"/>
        </w:trPr>
        <w:tc>
          <w:tcPr>
            <w:tcW w:w="3960" w:type="dxa"/>
            <w:vAlign w:val="bottom"/>
          </w:tcPr>
          <w:p>
            <w:pPr>
              <w:ind w:left="62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23,784,772</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11,370,087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1,637,315</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36,792,174</w:t>
            </w:r>
          </w:p>
        </w:tc>
        <w:tc>
          <w:tcPr>
            <w:tcW w:w="200" w:type="dxa"/>
            <w:vAlign w:val="bottom"/>
          </w:tcPr>
          <w:p>
            <w:pPr>
              <w:spacing w:after="0"/>
              <w:rPr>
                <w:sz w:val="22"/>
                <w:szCs w:val="22"/>
                <w:color w:val="auto"/>
              </w:rPr>
            </w:pPr>
          </w:p>
        </w:tc>
      </w:tr>
      <w:tr>
        <w:trPr>
          <w:trHeight w:val="258"/>
        </w:trPr>
        <w:tc>
          <w:tcPr>
            <w:tcW w:w="3960" w:type="dxa"/>
            <w:vAlign w:val="bottom"/>
            <w:shd w:val="clear" w:color="auto" w:fill="D6F3E8"/>
          </w:tcPr>
          <w:p>
            <w:pPr>
              <w:ind w:left="620"/>
              <w:spacing w:after="0"/>
              <w:rPr>
                <w:sz w:val="20"/>
                <w:szCs w:val="20"/>
                <w:color w:val="auto"/>
              </w:rPr>
            </w:pPr>
            <w:r>
              <w:rPr>
                <w:rFonts w:ascii="Arial" w:cs="Arial" w:eastAsia="Arial" w:hAnsi="Arial"/>
                <w:sz w:val="18"/>
                <w:szCs w:val="18"/>
                <w:color w:val="auto"/>
              </w:rPr>
              <w:t>Income from operations</w:t>
            </w:r>
          </w:p>
        </w:tc>
        <w:tc>
          <w:tcPr>
            <w:tcW w:w="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963,539</w:t>
            </w:r>
          </w:p>
        </w:tc>
        <w:tc>
          <w:tcPr>
            <w:tcW w:w="40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3,213,112</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158,616</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4,335,267</w:t>
            </w:r>
          </w:p>
        </w:tc>
        <w:tc>
          <w:tcPr>
            <w:tcW w:w="200" w:type="dxa"/>
            <w:vAlign w:val="bottom"/>
            <w:shd w:val="clear" w:color="auto" w:fill="D6F3E8"/>
          </w:tcPr>
          <w:p>
            <w:pPr>
              <w:spacing w:after="0"/>
              <w:rPr>
                <w:sz w:val="22"/>
                <w:szCs w:val="22"/>
                <w:color w:val="auto"/>
              </w:rPr>
            </w:pPr>
          </w:p>
        </w:tc>
      </w:tr>
      <w:tr>
        <w:trPr>
          <w:trHeight w:val="397"/>
        </w:trPr>
        <w:tc>
          <w:tcPr>
            <w:tcW w:w="396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4"/>
        </w:trPr>
        <w:tc>
          <w:tcPr>
            <w:tcW w:w="3960" w:type="dxa"/>
            <w:vAlign w:val="bottom"/>
          </w:tcPr>
          <w:p>
            <w:pPr>
              <w:ind w:left="620"/>
              <w:spacing w:after="0"/>
              <w:rPr>
                <w:sz w:val="20"/>
                <w:szCs w:val="20"/>
                <w:color w:val="auto"/>
              </w:rPr>
            </w:pPr>
            <w:r>
              <w:rPr>
                <w:rFonts w:ascii="Arial" w:cs="Arial" w:eastAsia="Arial" w:hAnsi="Arial"/>
                <w:sz w:val="18"/>
                <w:szCs w:val="18"/>
                <w:color w:val="auto"/>
              </w:rPr>
              <w:t>Sales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23,399,342</w:t>
            </w:r>
          </w:p>
        </w:tc>
        <w:tc>
          <w:tcPr>
            <w:tcW w:w="4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15,668,717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2,392,604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41,460,663</w:t>
            </w:r>
          </w:p>
        </w:tc>
        <w:tc>
          <w:tcPr>
            <w:tcW w:w="200" w:type="dxa"/>
            <w:vAlign w:val="bottom"/>
          </w:tcPr>
          <w:p>
            <w:pPr>
              <w:spacing w:after="0"/>
              <w:rPr>
                <w:sz w:val="22"/>
                <w:szCs w:val="22"/>
                <w:color w:val="auto"/>
              </w:rPr>
            </w:pPr>
          </w:p>
        </w:tc>
      </w:tr>
      <w:tr>
        <w:trPr>
          <w:trHeight w:val="258"/>
        </w:trPr>
        <w:tc>
          <w:tcPr>
            <w:tcW w:w="3960" w:type="dxa"/>
            <w:vAlign w:val="bottom"/>
            <w:shd w:val="clear" w:color="auto" w:fill="D6F3E8"/>
          </w:tcPr>
          <w:p>
            <w:pPr>
              <w:ind w:left="62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18,296,038</w:t>
            </w:r>
          </w:p>
        </w:tc>
        <w:tc>
          <w:tcPr>
            <w:tcW w:w="4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7"/>
              </w:rPr>
              <w:t>10,670,697</w:t>
            </w:r>
          </w:p>
        </w:tc>
        <w:tc>
          <w:tcPr>
            <w:tcW w:w="2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1,670,843</w:t>
            </w:r>
          </w:p>
        </w:tc>
        <w:tc>
          <w:tcPr>
            <w:tcW w:w="2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30,637,578</w:t>
            </w:r>
          </w:p>
        </w:tc>
        <w:tc>
          <w:tcPr>
            <w:tcW w:w="200" w:type="dxa"/>
            <w:vAlign w:val="bottom"/>
            <w:shd w:val="clear" w:color="auto" w:fill="D6F3E8"/>
          </w:tcPr>
          <w:p>
            <w:pPr>
              <w:spacing w:after="0"/>
              <w:rPr>
                <w:sz w:val="22"/>
                <w:szCs w:val="22"/>
                <w:color w:val="auto"/>
              </w:rPr>
            </w:pPr>
          </w:p>
        </w:tc>
      </w:tr>
      <w:tr>
        <w:trPr>
          <w:trHeight w:val="255"/>
        </w:trPr>
        <w:tc>
          <w:tcPr>
            <w:tcW w:w="3960" w:type="dxa"/>
            <w:vAlign w:val="bottom"/>
          </w:tcPr>
          <w:p>
            <w:pPr>
              <w:ind w:left="620"/>
              <w:spacing w:after="0"/>
              <w:rPr>
                <w:sz w:val="20"/>
                <w:szCs w:val="20"/>
                <w:color w:val="auto"/>
              </w:rPr>
            </w:pPr>
            <w:r>
              <w:rPr>
                <w:rFonts w:ascii="Arial" w:cs="Arial" w:eastAsia="Arial" w:hAnsi="Arial"/>
                <w:sz w:val="18"/>
                <w:szCs w:val="18"/>
                <w:color w:val="auto"/>
              </w:rPr>
              <w:t>Income from operations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1,288,754</w:t>
            </w:r>
          </w:p>
        </w:tc>
        <w:tc>
          <w:tcPr>
            <w:tcW w:w="4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2,872,200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25,266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4,186,220</w:t>
            </w:r>
          </w:p>
        </w:tc>
        <w:tc>
          <w:tcPr>
            <w:tcW w:w="2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100"/>
        <w:spacing w:after="0" w:line="251"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June 30, 2007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Borders>
              <w:bottom w:val="single" w:sz="8" w:color="D6F3E8"/>
            </w:tcBorders>
          </w:tcPr>
          <w:p>
            <w:pPr>
              <w:spacing w:after="0"/>
              <w:rPr>
                <w:sz w:val="14"/>
                <w:szCs w:val="14"/>
                <w:color w:val="auto"/>
              </w:rPr>
            </w:pPr>
          </w:p>
        </w:tc>
        <w:tc>
          <w:tcPr>
            <w:tcW w:w="110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4"/>
                <w:szCs w:val="14"/>
                <w:b w:val="1"/>
                <w:bCs w:val="1"/>
                <w:color w:val="auto"/>
                <w:w w:val="85"/>
              </w:rPr>
              <w:t>June 30, 2007</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D6F3E8"/>
            </w:tcBorders>
          </w:tcPr>
          <w:p>
            <w:pPr>
              <w:spacing w:after="0"/>
              <w:rPr>
                <w:sz w:val="14"/>
                <w:szCs w:val="14"/>
                <w:color w:val="auto"/>
              </w:rPr>
            </w:pPr>
          </w:p>
        </w:tc>
        <w:tc>
          <w:tcPr>
            <w:tcW w:w="12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4"/>
                <w:szCs w:val="14"/>
                <w:b w:val="1"/>
                <w:bCs w:val="1"/>
                <w:color w:val="auto"/>
                <w:w w:val="85"/>
              </w:rPr>
              <w:t>June 30, 2006</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2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48,623</w:t>
            </w:r>
          </w:p>
        </w:tc>
        <w:tc>
          <w:tcPr>
            <w:tcW w:w="400" w:type="dxa"/>
            <w:vAlign w:val="bottom"/>
            <w:tcBorders>
              <w:right w:val="single" w:sz="8" w:color="D6F3E8"/>
            </w:tcBorders>
            <w:shd w:val="clear" w:color="auto" w:fill="D6F3E8"/>
          </w:tcPr>
          <w:p>
            <w:pPr>
              <w:spacing w:after="0"/>
              <w:rPr>
                <w:sz w:val="21"/>
                <w:szCs w:val="21"/>
                <w:color w:val="auto"/>
              </w:rPr>
            </w:pPr>
          </w:p>
        </w:tc>
        <w:tc>
          <w:tcPr>
            <w:tcW w:w="6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8"/>
              </w:rPr>
              <w:t>100.0%</w:t>
            </w:r>
          </w:p>
        </w:tc>
        <w:tc>
          <w:tcPr>
            <w:tcW w:w="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41,461</w:t>
            </w:r>
          </w:p>
        </w:tc>
        <w:tc>
          <w:tcPr>
            <w:tcW w:w="400" w:type="dxa"/>
            <w:vAlign w:val="bottom"/>
            <w:tcBorders>
              <w:right w:val="single" w:sz="8" w:color="D6F3E8"/>
            </w:tcBorders>
            <w:shd w:val="clear" w:color="auto" w:fill="D6F3E8"/>
          </w:tcPr>
          <w:p>
            <w:pPr>
              <w:spacing w:after="0"/>
              <w:rPr>
                <w:sz w:val="21"/>
                <w:szCs w:val="21"/>
                <w:color w:val="auto"/>
              </w:rPr>
            </w:pP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36,792</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30,638</w:t>
            </w:r>
          </w:p>
        </w:tc>
        <w:tc>
          <w:tcPr>
            <w:tcW w:w="4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2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margin</w:t>
            </w:r>
          </w:p>
        </w:tc>
        <w:tc>
          <w:tcPr>
            <w:tcW w:w="110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11,831</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top w:val="single" w:sz="8" w:color="D6F3E8"/>
            </w:tcBorders>
            <w:shd w:val="clear" w:color="auto" w:fill="D6F3E8"/>
          </w:tcPr>
          <w:p>
            <w:pPr>
              <w:spacing w:after="0"/>
              <w:rPr>
                <w:sz w:val="21"/>
                <w:szCs w:val="21"/>
                <w:color w:val="auto"/>
              </w:rPr>
            </w:pPr>
          </w:p>
        </w:tc>
        <w:tc>
          <w:tcPr>
            <w:tcW w:w="12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10,823</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7,495</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2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10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4,335</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D6F3E8"/>
            </w:tcBorders>
            <w:shd w:val="clear" w:color="auto" w:fill="D6F3E8"/>
          </w:tcPr>
          <w:p>
            <w:pPr>
              <w:spacing w:after="0"/>
              <w:rPr>
                <w:sz w:val="21"/>
                <w:szCs w:val="21"/>
                <w:color w:val="auto"/>
              </w:rPr>
            </w:pPr>
          </w:p>
        </w:tc>
        <w:tc>
          <w:tcPr>
            <w:tcW w:w="12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4,186</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top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2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4,638</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D6F3E8"/>
            </w:tcBorders>
            <w:shd w:val="clear" w:color="auto" w:fill="D6F3E8"/>
          </w:tcPr>
          <w:p>
            <w:pPr>
              <w:spacing w:after="0"/>
              <w:rPr>
                <w:sz w:val="21"/>
                <w:szCs w:val="21"/>
                <w:color w:val="auto"/>
              </w:rPr>
            </w:pPr>
          </w:p>
        </w:tc>
        <w:tc>
          <w:tcPr>
            <w:tcW w:w="120" w:type="dxa"/>
            <w:vAlign w:val="bottom"/>
            <w:tcBorders>
              <w:top w:val="single" w:sz="8" w:color="D6F3E8"/>
            </w:tcBorders>
            <w:shd w:val="clear" w:color="auto" w:fill="D6F3E8"/>
          </w:tcPr>
          <w:p>
            <w:pPr>
              <w:spacing w:after="0"/>
              <w:rPr>
                <w:sz w:val="21"/>
                <w:szCs w:val="21"/>
                <w:color w:val="auto"/>
              </w:rPr>
            </w:pPr>
          </w:p>
        </w:tc>
        <w:tc>
          <w:tcPr>
            <w:tcW w:w="140" w:type="dxa"/>
            <w:vAlign w:val="bottom"/>
            <w:tcBorders>
              <w:top w:val="single" w:sz="8" w:color="auto"/>
            </w:tcBorders>
            <w:shd w:val="clear" w:color="auto" w:fill="D6F3E8"/>
          </w:tcPr>
          <w:p>
            <w:pPr>
              <w:spacing w:after="0"/>
              <w:rPr>
                <w:sz w:val="21"/>
                <w:szCs w:val="21"/>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4,487</w:t>
            </w:r>
          </w:p>
        </w:tc>
        <w:tc>
          <w:tcPr>
            <w:tcW w:w="400" w:type="dxa"/>
            <w:vAlign w:val="bottom"/>
            <w:tcBorders>
              <w:top w:val="single" w:sz="8" w:color="D6F3E8"/>
              <w:right w:val="single" w:sz="8" w:color="D6F3E8"/>
            </w:tcBorders>
            <w:shd w:val="clear" w:color="auto" w:fill="D6F3E8"/>
          </w:tcPr>
          <w:p>
            <w:pPr>
              <w:spacing w:after="0"/>
              <w:rPr>
                <w:sz w:val="21"/>
                <w:szCs w:val="21"/>
                <w:color w:val="auto"/>
              </w:rPr>
            </w:pPr>
          </w:p>
        </w:tc>
        <w:tc>
          <w:tcPr>
            <w:tcW w:w="4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1,687</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1,687</w:t>
            </w:r>
          </w:p>
        </w:tc>
        <w:tc>
          <w:tcPr>
            <w:tcW w:w="4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vMerge w:val="continue"/>
            <w:shd w:val="clear" w:color="auto" w:fill="D6F3E8"/>
          </w:tcPr>
          <w:p>
            <w:pPr>
              <w:spacing w:after="0"/>
              <w:rPr>
                <w:sz w:val="21"/>
                <w:szCs w:val="21"/>
                <w:color w:val="auto"/>
              </w:rPr>
            </w:pPr>
          </w:p>
        </w:tc>
        <w:tc>
          <w:tcPr>
            <w:tcW w:w="12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2,951</w:t>
            </w:r>
          </w:p>
        </w:tc>
        <w:tc>
          <w:tcPr>
            <w:tcW w:w="400" w:type="dxa"/>
            <w:vAlign w:val="bottom"/>
            <w:tcBorders>
              <w:right w:val="single" w:sz="8" w:color="D6F3E8"/>
            </w:tcBorders>
            <w:shd w:val="clear" w:color="auto" w:fill="D6F3E8"/>
          </w:tcPr>
          <w:p>
            <w:pPr>
              <w:spacing w:after="0"/>
              <w:rPr>
                <w:sz w:val="21"/>
                <w:szCs w:val="21"/>
                <w:color w:val="auto"/>
              </w:rPr>
            </w:pPr>
          </w:p>
        </w:tc>
        <w:tc>
          <w:tcPr>
            <w:tcW w:w="6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6.1%</w:t>
            </w:r>
          </w:p>
        </w:tc>
        <w:tc>
          <w:tcPr>
            <w:tcW w:w="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w:t>
            </w:r>
          </w:p>
        </w:tc>
        <w:tc>
          <w:tcPr>
            <w:tcW w:w="400" w:type="dxa"/>
            <w:vAlign w:val="bottom"/>
            <w:tcBorders>
              <w:right w:val="single" w:sz="8" w:color="D6F3E8"/>
            </w:tcBorders>
            <w:shd w:val="clear" w:color="auto" w:fill="D6F3E8"/>
          </w:tcPr>
          <w:p>
            <w:pPr>
              <w:spacing w:after="0"/>
              <w:rPr>
                <w:sz w:val="21"/>
                <w:szCs w:val="21"/>
                <w:color w:val="auto"/>
              </w:rPr>
            </w:pP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D6F3E8"/>
            </w:tcBorders>
          </w:tcPr>
          <w:p>
            <w:pPr>
              <w:spacing w:after="0" w:line="20" w:lineRule="exact"/>
              <w:rPr>
                <w:sz w:val="1"/>
                <w:szCs w:val="1"/>
                <w:color w:val="auto"/>
              </w:rPr>
            </w:pPr>
          </w:p>
        </w:tc>
        <w:tc>
          <w:tcPr>
            <w:tcW w:w="11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bottom w:val="single" w:sz="8" w:color="D6F3E8"/>
            </w:tcBorders>
          </w:tcPr>
          <w:p>
            <w:pPr>
              <w:spacing w:after="0" w:line="20" w:lineRule="exact"/>
              <w:rPr>
                <w:sz w:val="1"/>
                <w:szCs w:val="1"/>
                <w:color w:val="auto"/>
              </w:rPr>
            </w:pPr>
          </w:p>
        </w:tc>
        <w:tc>
          <w:tcPr>
            <w:tcW w:w="120" w:type="dxa"/>
            <w:vAlign w:val="bottom"/>
            <w:tcBorders>
              <w:top w:val="single" w:sz="8" w:color="D6F3E8"/>
              <w:bottom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Sales increased $7,162,062, or 17.3%, in the three months ended June 30, 2007 as compared to the same period a year ago. Sales of bulk chemicals, including caustic soda, were approximately 32.1% of sales compared to 33.8% in the comparable period a year ago. The increase in sales was primarily driven by the Industrial and Water Treatment segments, as sales in these segments increased by $5,885,283 or 25.2% and $1,254,332 or 8%, respectively, in the three months ended June 30, 2007 over the comparable period last year. The increase in the Industrial segment was primarily attributable to increased sales volumes along</w:t>
      </w:r>
    </w:p>
    <w:p>
      <w:pPr>
        <w:sectPr>
          <w:pgSz w:w="11900" w:h="16838" w:orient="portrait"/>
          <w:cols w:equalWidth="0" w:num="1">
            <w:col w:w="11400"/>
          </w:cols>
          <w:pgMar w:left="240" w:top="131" w:right="259" w:bottom="0" w:gutter="0" w:footer="0" w:header="0"/>
        </w:sectPr>
      </w:pPr>
    </w:p>
    <w:bookmarkStart w:id="7" w:name="page8"/>
    <w:bookmarkEnd w:id="7"/>
    <w:p>
      <w:pPr>
        <w:spacing w:after="0" w:line="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existing product lines, including caustic soda volumes, in comparison to the prior year. The increase in Water Treatment segment sales resulted from volume increases related to favorable weather conditions and successful expansion of existing product lines to new and existing customers. The Pharmaceutical segment sales increased 1% during the three months ended June 30, 2007 as compared to the same period in the prior year. The Pharmaceutical segment is still under restrictions for the ability to sell certain products by the Minneapolis District Office of the Food and Drug Administration (the “FDA”). The FDA matter is described in more detail below.</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2006, the Company received a warning letter from the FDA. The Company responded to this letter and subsequently received a letter from the FDA in November 2006 requesting that the Company cease shipments of certain products until it resolved certain issues with the FDA with respect to the validation of packaging configurations and expiration dating for those products. The Company is working to resolve this matter as promptly as possible and suspended shipment of the affected products to customers until the matter is resolved. The Company has received clearance from the FDA to sell some of the products initially affected, however sales for the second half of fiscal 2007 were negatively impacted. The Company currently has approximately $60,000, or approximately 4%, of Pharmaceutical products in inventory that it is not permitted to sell as a result of this matter. At this time, the Company is unable to determine the impact of the FDA letter on future results of operations for the Pharmaceutical segment, however the Company does not expect a material impact to the Company’s results of operations or cash flows.</w:t>
      </w:r>
    </w:p>
    <w:p>
      <w:pPr>
        <w:spacing w:after="0" w:line="14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Gross margin, as a percentage of sales, for the three months ended June 30, 2007 was 24.3%, compared to 26.1% for the comparable period a year ago. Gross margin, as a percentage of sales, for the Water Treatment segment was 32.8% for the three months ended June 30, 2007 compared to 31.9% in the comparable period of last year. The increase is related primarily to an increase in sales volumes and to a lesser extent, changes in product mix. Industrial segment gross margin, as a percentage of sales, was 18.8% for the three months ended June 30, 2007 compared to 21.8% in the comparable period last year. The decrease is partially due to a portion of the sales increases relating to high-volume, lower margin products. The Company attempts to maintain relatively constant dollar margins as product costs increase or decrease. Many of the Company’s products are commodity based and therefore are subject to fluctuations, which is expected to continue in future periods. By attempting to maintain relatively stable dollar margins, the gross margin percentage will decrease when the product costs are increasing and will increase when product costs are decreasing. Gross margin, as a percentage of sales, for the Pharmaceutical segment was 32.2% for the three months ended June 30, 2007 compared to 30.2% in the comparable period last year. The increase is primarily related to a decrease in operating expenses due to a decrease in personnel.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as a percentage of sales, for the three months ended June 30, 2007 were 15.4% ($7,495,284) compared to 16.0%</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($6,636,865) for the same period one year ago. A significant portion of the increase during the three months ended June 30, 2007 was due to costs associated with the Company’s implementation of an Enterprise Resource Planning (ERP) system, including consultants and contractors, depreciation, and employee overtime. Consulting and contractor fees were approximately $537,000 during the quarter ended June 30, 2007, which are expected to gradually decrease in fiscal 2008. Additionally, the Company incurred approximately $300,000 of expenses associated with the Trumark acquisition during the three months ended June 30, 2007. Excluding the costs associated with the implementation of the ERP system and the Trumark acquisition, employee compensation and benefits comprise the majority of the selling, general and administrative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of $302,303 for the three months ended June 30, 2007 was comparable to $301,247 earned during the same period one year ago.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36.4% for the three months ended June 30, 2007, compared to 37.6% for the fiscal year ended April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three-month period ended June 30, 2007, cash provided by operations was $3,529,310 compared to cash used in operations of $49,552 for the same period one year ago. The increase in cash provided by operating activities was due primarily to fluctuations in working capital balances including the timing of inventory purchases and income tax payments. Historically, the Company’s cash requirements increase during the period from April through September as caustic soda inventory levels increase as the majority of barges are received during this period. Additionally, due to the seasonality of the water treatment business, the Company’s accounts receivable balance generally increases during this period. Cash used in investing activities increased by $2,273,188 for the three months ended June 30, 2007 compared to the same period one year ago, primarily due to the acquisition of Trumark. Capital expenditures during the quarter ended June 30, 2007 consisted primarily of facilities improvement projects. Capital expenditures for the remainder of this fiscal year are expected to be comparable with the three previous years and they will primarily relate to facilities improvement projects and new route sales trucks.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Cash, cash equivalents and investments available-for-sale decreased by $5,070,023 from April 1, 2007 to $22,884,344 as of June 30, 2007 due primarily to the Trumark acquisition payment of $5,262,601 and semi-annual dividend payments of $2,247,686, offset by cash generated from operating activities. Cash equivalents consist of money market accounts and certificates of deposit with an original maturity of three months or less. Investments available-for-sale consist of marketable securities consisting of corporate and municipal bonds; U.S. Government agency securities and a mutual fund carried at fair value. The Company’s</w:t>
      </w:r>
    </w:p>
    <w:p>
      <w:pPr>
        <w:sectPr>
          <w:pgSz w:w="11900" w:h="16845" w:orient="portrait"/>
          <w:cols w:equalWidth="0" w:num="1">
            <w:col w:w="11400"/>
          </w:cols>
          <w:pgMar w:left="240" w:top="131" w:right="259" w:bottom="0" w:gutter="0" w:footer="0" w:header="0"/>
        </w:sectPr>
      </w:pPr>
    </w:p>
    <w:bookmarkStart w:id="8" w:name="page9"/>
    <w:bookmarkEnd w:id="8"/>
    <w:p>
      <w:pPr>
        <w:ind w:right="40"/>
        <w:spacing w:after="0" w:line="310" w:lineRule="auto"/>
        <w:rPr>
          <w:sz w:val="20"/>
          <w:szCs w:val="20"/>
          <w:color w:val="auto"/>
        </w:rPr>
      </w:pPr>
      <w:r>
        <w:rPr>
          <w:rFonts w:ascii="Arial" w:cs="Arial" w:eastAsia="Arial" w:hAnsi="Arial"/>
          <w:sz w:val="15"/>
          <w:szCs w:val="15"/>
          <w:color w:val="auto"/>
        </w:rPr>
        <w:t>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June 30, 2007, $2,060,437 of available-for-sale investments were classified as non-current assets as they were determined to be temporarily impaired with an aggregate carrying value exceeding market value by approximately $59,000, with maturity dates of one year or longer, and the Company intends to hold the investments for at least one more year.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June 30, 2007, the Company had an investment portfolio of fixed income securities of $4,827,501, a mutual fund of $7,534,136, and $10,894,291 classified as cash and cash equivalents.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like all mutual funds, may increase or decrease due to market volatility. The mutual fund held by the Company as of June 30, 2007 is a short-term bond fund that invests primarily in investment grade securities.</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June 30, 2007 puts it in a position to obtain debt financing on favorable terms although there can be no assurance of this.</w:t>
      </w:r>
    </w:p>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1, 2007. The accounting policies used in preparing the Company’s interim fiscal 2008 financial statements are the same as those described in the Company’s Annual Report.</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Estimates </w:t>
      </w:r>
      <w:r>
        <w:rPr>
          <w:rFonts w:ascii="Arial" w:cs="Arial" w:eastAsia="Arial" w:hAnsi="Arial"/>
          <w:sz w:val="18"/>
          <w:szCs w:val="18"/>
          <w:color w:val="auto"/>
        </w:rPr>
        <w:t>– In preparing the financial statements, the Company follows accounting principles generally accepted in the United States. The preparation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title passes to our customers, which occurs primarily when product has been shipped,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that the customer has agreed to purchase the products, performance has occurred, the price and terms of sale are fixed, and collection of the receivable is reasonably assured.</w:t>
      </w:r>
    </w:p>
    <w:p>
      <w:pPr>
        <w:spacing w:after="0" w:line="1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Standards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Accounts receivable are reduced by an allowance for amounts that may become uncollectible in the future.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 There can be no assurance that our estimates will match actual amounts ultimately written off.</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w:t>
      </w:r>
      <w:r>
        <w:rPr>
          <w:rFonts w:ascii="Arial" w:cs="Arial" w:eastAsia="Arial" w:hAnsi="Arial"/>
          <w:sz w:val="16"/>
          <w:szCs w:val="16"/>
          <w:color w:val="auto"/>
        </w:rPr>
        <w:t>– 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i w:val="1"/>
          <w:iCs w:val="1"/>
          <w:color w:val="auto"/>
        </w:rPr>
        <w:t xml:space="preserve">Impairment of Long-Lived Assets </w:t>
      </w:r>
      <w:r>
        <w:rPr>
          <w:rFonts w:ascii="Arial" w:cs="Arial" w:eastAsia="Arial" w:hAnsi="Arial"/>
          <w:sz w:val="15"/>
          <w:szCs w:val="15"/>
          <w:color w:val="auto"/>
        </w:rPr>
        <w:t>– We evaluate the carrying value of long-lived assets, including intangible assets subject to amortization and property, plant, and</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w:t>
      </w:r>
    </w:p>
    <w:p>
      <w:pPr>
        <w:sectPr>
          <w:pgSz w:w="11900" w:h="16838" w:orient="portrait"/>
          <w:cols w:equalWidth="0" w:num="1">
            <w:col w:w="11420"/>
          </w:cols>
          <w:pgMar w:left="240" w:top="131" w:right="239" w:bottom="0" w:gutter="0" w:footer="0" w:header="0"/>
        </w:sectPr>
      </w:pPr>
    </w:p>
    <w:bookmarkStart w:id="9" w:name="page10"/>
    <w:bookmarkEnd w:id="9"/>
    <w:p>
      <w:pPr>
        <w:jc w:val="both"/>
        <w:ind w:right="340"/>
        <w:spacing w:after="0" w:line="259" w:lineRule="auto"/>
        <w:rPr>
          <w:sz w:val="20"/>
          <w:szCs w:val="20"/>
          <w:color w:val="auto"/>
        </w:rPr>
      </w:pPr>
      <w:r>
        <w:rPr>
          <w:rFonts w:ascii="Arial" w:cs="Arial" w:eastAsia="Arial" w:hAnsi="Arial"/>
          <w:sz w:val="18"/>
          <w:szCs w:val="18"/>
          <w:color w:val="auto"/>
        </w:rPr>
        <w:t>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purchases insurance for employee medical benefits.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the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June 30, 2007, the Company had an investment portfolio of fixed income securities of $4,827,501, mutual funds of $7,534,136, and cash and cash equivalents of $10,894,291.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Company adjusts the carrying value of its investments down if an impairment occurs that is other than temporary.</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2007 pursuant to Rule 13a-15(b) of the Securities Exchange Act of 1934 (the “Exchange Act”). Based upon their evaluation, our Chief Executive Officer and our Chief Financial Officer concluded that our disclosure controls and procedures were effective as of the end of the quarter ended June 30, 2007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0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the quarter, there was no change in the Company’s internal control over financial reporting that has materially affected, or is reasonably likely to materially affect, the Company’s internal control over financial reporting.</w:t>
      </w:r>
    </w:p>
    <w:p>
      <w:pPr>
        <w:sectPr>
          <w:pgSz w:w="11900" w:h="16838" w:orient="portrait"/>
          <w:cols w:equalWidth="0" w:num="1">
            <w:col w:w="11380"/>
          </w:cols>
          <w:pgMar w:left="240" w:top="131" w:right="279" w:bottom="1440" w:gutter="0" w:footer="0" w:header="0"/>
        </w:sectPr>
      </w:pPr>
    </w:p>
    <w:bookmarkStart w:id="10" w:name="page11"/>
    <w:bookmarkEnd w:id="10"/>
    <w:p>
      <w:pPr>
        <w:spacing w:after="0" w:line="356" w:lineRule="auto"/>
        <w:framePr w:w="1340" w:h="616" w:wrap="auto" w:vAnchor="page" w:hAnchor="page" w:x="6040" w:y="12827"/>
        <w:rPr>
          <w:rFonts w:ascii="Arial" w:cs="Arial" w:eastAsia="Arial" w:hAnsi="Arial"/>
          <w:sz w:val="18"/>
          <w:szCs w:val="18"/>
          <w:color w:val="auto"/>
        </w:rPr>
      </w:pPr>
      <w:r>
        <w:rPr>
          <w:rFonts w:ascii="Arial" w:cs="Arial" w:eastAsia="Arial" w:hAnsi="Arial"/>
          <w:sz w:val="18"/>
          <w:szCs w:val="18"/>
          <w:color w:val="auto"/>
        </w:rPr>
        <w:t>HAWKINS, INC. By:</w:t>
      </w:r>
    </w:p>
    <w:p>
      <w:pPr>
        <w:spacing w:after="0" w:line="2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22"/>
          <w:szCs w:val="22"/>
          <w:b w:val="1"/>
          <w:bCs w:val="1"/>
          <w:color w:val="auto"/>
        </w:rPr>
        <w:t>PART II.  OTHER INFORMATION</w:t>
      </w:r>
    </w:p>
    <w:p>
      <w:pPr>
        <w:spacing w:after="0" w:line="185" w:lineRule="exact"/>
        <w:rPr>
          <w:rFonts w:ascii="Arial" w:cs="Arial" w:eastAsia="Arial" w:hAnsi="Arial"/>
          <w:sz w:val="18"/>
          <w:szCs w:val="18"/>
          <w:color w:val="auto"/>
        </w:rPr>
      </w:pPr>
    </w:p>
    <w:p>
      <w:pPr>
        <w:spacing w:after="0"/>
        <w:tabs>
          <w:tab w:leader="none" w:pos="110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179" w:lineRule="exact"/>
        <w:rPr>
          <w:rFonts w:ascii="Arial" w:cs="Arial" w:eastAsia="Arial" w:hAnsi="Arial"/>
          <w:sz w:val="18"/>
          <w:szCs w:val="18"/>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April 1, 2007.</w:t>
      </w:r>
    </w:p>
    <w:p>
      <w:pPr>
        <w:spacing w:after="0" w:line="132" w:lineRule="exact"/>
        <w:rPr>
          <w:rFonts w:ascii="Arial" w:cs="Arial" w:eastAsia="Arial" w:hAnsi="Arial"/>
          <w:sz w:val="18"/>
          <w:szCs w:val="18"/>
          <w:color w:val="auto"/>
        </w:rPr>
      </w:pPr>
    </w:p>
    <w:p>
      <w:pPr>
        <w:spacing w:after="0"/>
        <w:tabs>
          <w:tab w:leader="none" w:pos="112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EXHIBITS</w:t>
      </w:r>
    </w:p>
    <w:p>
      <w:pPr>
        <w:spacing w:after="0" w:line="368" w:lineRule="exact"/>
        <w:rPr>
          <w:rFonts w:ascii="Arial" w:cs="Arial" w:eastAsia="Arial" w:hAnsi="Arial"/>
          <w:sz w:val="18"/>
          <w:szCs w:val="18"/>
          <w:color w:val="auto"/>
        </w:rPr>
      </w:pPr>
    </w:p>
    <w:tbl>
      <w:tblPr>
        <w:tblLayout w:type="fixed"/>
        <w:tblInd w:w="16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70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Exhibit Index</w:t>
            </w: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677"/>
        </w:trPr>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0" w:type="dxa"/>
            <w:vAlign w:val="bottom"/>
            <w:gridSpan w:val="2"/>
          </w:tcPr>
          <w:p>
            <w:pPr>
              <w:jc w:val="center"/>
              <w:ind w:right="3380"/>
              <w:spacing w:after="0"/>
              <w:rPr>
                <w:sz w:val="20"/>
                <w:szCs w:val="20"/>
                <w:color w:val="auto"/>
              </w:rPr>
            </w:pPr>
            <w:r>
              <w:rPr>
                <w:rFonts w:ascii="Arial" w:cs="Arial" w:eastAsia="Arial" w:hAnsi="Arial"/>
                <w:sz w:val="18"/>
                <w:szCs w:val="18"/>
                <w:color w:val="auto"/>
                <w:w w:val="91"/>
              </w:rPr>
              <w:t>Description</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w w:val="94"/>
              </w:rPr>
              <w:t>Amended and Second Restated Articles of Incorporation as amended through February 27, 2001. (1)</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bl>
    <w:p>
      <w:pPr>
        <w:spacing w:after="0" w:line="318"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85" w:lineRule="exact"/>
        <w:rPr>
          <w:rFonts w:ascii="Arial" w:cs="Arial" w:eastAsia="Arial" w:hAnsi="Arial"/>
          <w:sz w:val="18"/>
          <w:szCs w:val="18"/>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center"/>
        <w:ind w:left="6420"/>
        <w:spacing w:after="0"/>
        <w:rPr>
          <w:sz w:val="20"/>
          <w:szCs w:val="20"/>
          <w:color w:val="auto"/>
        </w:rPr>
      </w:pPr>
      <w:r>
        <w:rPr>
          <w:rFonts w:ascii="Arial" w:cs="Arial" w:eastAsia="Arial" w:hAnsi="Arial"/>
          <w:sz w:val="18"/>
          <w:szCs w:val="18"/>
          <w:color w:val="auto"/>
        </w:rPr>
        <w:t>/s/  Marvin E. Dee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81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rFonts w:ascii="Arial" w:cs="Arial" w:eastAsia="Arial" w:hAnsi="Arial"/>
          <w:sz w:val="18"/>
          <w:szCs w:val="18"/>
          <w:color w:val="auto"/>
        </w:rPr>
      </w:pPr>
    </w:p>
    <w:p>
      <w:pPr>
        <w:jc w:val="center"/>
        <w:ind w:left="6420"/>
        <w:spacing w:after="0"/>
        <w:rPr>
          <w:sz w:val="20"/>
          <w:szCs w:val="20"/>
          <w:color w:val="auto"/>
        </w:rPr>
      </w:pPr>
      <w:r>
        <w:rPr>
          <w:rFonts w:ascii="Arial" w:cs="Arial" w:eastAsia="Arial" w:hAnsi="Arial"/>
          <w:sz w:val="18"/>
          <w:szCs w:val="18"/>
          <w:color w:val="auto"/>
        </w:rPr>
        <w:t>Marvin E. Dee</w:t>
      </w:r>
    </w:p>
    <w:p>
      <w:pPr>
        <w:spacing w:after="0" w:line="252" w:lineRule="exact"/>
        <w:rPr>
          <w:rFonts w:ascii="Arial" w:cs="Arial" w:eastAsia="Arial" w:hAnsi="Arial"/>
          <w:sz w:val="18"/>
          <w:szCs w:val="18"/>
          <w:color w:val="auto"/>
        </w:rPr>
      </w:pPr>
    </w:p>
    <w:p>
      <w:pPr>
        <w:jc w:val="center"/>
        <w:ind w:left="6420"/>
        <w:spacing w:after="0"/>
        <w:rPr>
          <w:sz w:val="20"/>
          <w:szCs w:val="20"/>
          <w:color w:val="auto"/>
        </w:rPr>
      </w:pPr>
      <w:r>
        <w:rPr>
          <w:rFonts w:ascii="Arial" w:cs="Arial" w:eastAsia="Arial" w:hAnsi="Arial"/>
          <w:sz w:val="16"/>
          <w:szCs w:val="16"/>
          <w:color w:val="auto"/>
        </w:rPr>
        <w:t>Vice President, Chief Financial Officer, Secretary and Treasurer</w:t>
      </w:r>
    </w:p>
    <w:p>
      <w:pPr>
        <w:spacing w:after="0" w:line="38" w:lineRule="exact"/>
        <w:rPr>
          <w:rFonts w:ascii="Arial" w:cs="Arial" w:eastAsia="Arial" w:hAnsi="Arial"/>
          <w:sz w:val="18"/>
          <w:szCs w:val="18"/>
          <w:color w:val="auto"/>
        </w:rPr>
      </w:pPr>
    </w:p>
    <w:p>
      <w:pPr>
        <w:jc w:val="center"/>
        <w:ind w:left="642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7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Dated:  August 9, 2007</w:t>
      </w:r>
    </w:p>
    <w:p>
      <w:pPr>
        <w:sectPr>
          <w:pgSz w:w="11900" w:h="16838" w:orient="portrait"/>
          <w:cols w:equalWidth="0" w:num="1">
            <w:col w:w="11380"/>
          </w:cols>
          <w:pgMar w:left="240" w:top="1440" w:right="279" w:bottom="1440" w:gutter="0" w:footer="0" w:header="0"/>
        </w:sectPr>
      </w:pPr>
    </w:p>
    <w:bookmarkStart w:id="11" w:name="page12"/>
    <w:bookmarkEnd w:id="11"/>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Exhibit Index</w:t>
      </w: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w w:val="94"/>
              </w:rPr>
              <w:t>Amended and Second Restated Articles of Incorporation as amended through February 27, 2001. (1)</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bl>
    <w:p>
      <w:pPr>
        <w:spacing w:after="0" w:line="304" w:lineRule="exact"/>
        <w:rPr>
          <w:sz w:val="20"/>
          <w:szCs w:val="20"/>
          <w:color w:val="auto"/>
        </w:rPr>
      </w:pPr>
    </w:p>
    <w:p>
      <w:pPr>
        <w:ind w:left="560" w:hanging="336"/>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1440" w:right="639" w:bottom="1440" w:gutter="0" w:footer="0" w:header="0"/>
        </w:sectPr>
      </w:pPr>
    </w:p>
    <w:bookmarkStart w:id="12" w:name="page13"/>
    <w:bookmarkEnd w:id="12"/>
    <w:p>
      <w:pPr>
        <w:ind w:left="10060"/>
        <w:spacing w:after="0"/>
        <w:rPr>
          <w:sz w:val="20"/>
          <w:szCs w:val="20"/>
          <w:color w:val="auto"/>
        </w:rPr>
      </w:pPr>
      <w:r>
        <w:rPr>
          <w:rFonts w:ascii="Arial" w:cs="Arial" w:eastAsia="Arial" w:hAnsi="Arial"/>
          <w:sz w:val="22"/>
          <w:szCs w:val="22"/>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920" w:hanging="345"/>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20" w:hanging="345"/>
        <w:spacing w:after="0" w:line="259"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920" w:hanging="345"/>
        <w:spacing w:after="0" w:line="259"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260" w:hanging="347"/>
        <w:spacing w:after="0" w:line="332" w:lineRule="auto"/>
        <w:tabs>
          <w:tab w:leader="none" w:pos="1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260" w:hanging="347"/>
        <w:spacing w:after="0" w:line="259"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260" w:right="20" w:hanging="347"/>
        <w:spacing w:after="0" w:line="332" w:lineRule="auto"/>
        <w:tabs>
          <w:tab w:leader="none" w:pos="1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260" w:hanging="347"/>
        <w:spacing w:after="0" w:line="268"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00" w:lineRule="exact"/>
        <w:rPr>
          <w:sz w:val="20"/>
          <w:szCs w:val="20"/>
          <w:color w:val="auto"/>
        </w:rPr>
      </w:pPr>
    </w:p>
    <w:p>
      <w:pPr>
        <w:spacing w:after="0" w:line="20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10795</wp:posOffset>
            </wp:positionV>
            <wp:extent cx="2280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3" w:name="page14"/>
    <w:bookmarkEnd w:id="13"/>
    <w:p>
      <w:pPr>
        <w:ind w:left="10060"/>
        <w:spacing w:after="0"/>
        <w:rPr>
          <w:sz w:val="20"/>
          <w:szCs w:val="20"/>
          <w:color w:val="auto"/>
        </w:rPr>
      </w:pPr>
      <w:r>
        <w:rPr>
          <w:rFonts w:ascii="Arial" w:cs="Arial" w:eastAsia="Arial" w:hAnsi="Arial"/>
          <w:sz w:val="22"/>
          <w:szCs w:val="22"/>
          <w:b w:val="1"/>
          <w:bCs w:val="1"/>
          <w:color w:val="auto"/>
        </w:rPr>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920" w:hanging="34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20" w:hanging="345"/>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920" w:hanging="345"/>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260" w:hanging="347"/>
        <w:spacing w:after="0" w:line="332"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260" w:right="20" w:hanging="347"/>
        <w:spacing w:after="0" w:line="332"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260" w:hanging="347"/>
        <w:spacing w:after="0" w:line="268"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00" w:lineRule="exact"/>
        <w:rPr>
          <w:sz w:val="20"/>
          <w:szCs w:val="20"/>
          <w:color w:val="auto"/>
        </w:rPr>
      </w:pPr>
    </w:p>
    <w:p>
      <w:pPr>
        <w:spacing w:after="0" w:line="214"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10795</wp:posOffset>
            </wp:positionV>
            <wp:extent cx="22809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2007 as filed with the Securities and Exchange Commission on the date hereof (the “Report”), I, John R. Hawkins, Chief Executive Officer of the Company, certify, pursuant to 18 U.S.C. § 1350, as adopted pursuant to § 906 of the Sarbanes-Oxley Act of 2002, that:</w:t>
      </w:r>
    </w:p>
    <w:p>
      <w:pPr>
        <w:spacing w:after="0" w:line="59" w:lineRule="exact"/>
        <w:rPr>
          <w:sz w:val="20"/>
          <w:szCs w:val="20"/>
          <w:color w:val="auto"/>
        </w:rPr>
      </w:pPr>
    </w:p>
    <w:p>
      <w:pPr>
        <w:ind w:left="1180" w:hanging="618"/>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7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2007 as filed with the Securities and Exchange Commission on the date hereof (the “Report”), I, Marvin E. Dee, Chief Financial Officer of the Company, certify, pursuant to 18 U.S.C. § 1350, as adopted pursuant to § 906 of the Sarbanes-Oxley Act of 2002, that:</w:t>
      </w:r>
    </w:p>
    <w:p>
      <w:pPr>
        <w:spacing w:after="0" w:line="194" w:lineRule="exact"/>
        <w:rPr>
          <w:sz w:val="20"/>
          <w:szCs w:val="20"/>
          <w:color w:val="auto"/>
        </w:rPr>
      </w:pPr>
    </w:p>
    <w:p>
      <w:pPr>
        <w:ind w:left="1180" w:hanging="618"/>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1814195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5"/>
    </w:lvl>
  </w:abstractNum>
  <w:abstractNum w:abstractNumId="2">
    <w:nsid w:val="79E2A9E3"/>
    <w:multiLevelType w:val="hybridMultilevel"/>
    <w:lvl w:ilvl="0">
      <w:lvlJc w:val="left"/>
      <w:lvlText w:val="%1."/>
      <w:numFmt w:val="decimal"/>
      <w:start w:val="6"/>
    </w:lvl>
  </w:abstractNum>
  <w:abstractNum w:abstractNumId="3">
    <w:nsid w:val="7545E146"/>
    <w:multiLevelType w:val="hybridMultilevel"/>
    <w:lvl w:ilvl="0">
      <w:lvlJc w:val="left"/>
      <w:lvlText w:val="%1."/>
      <w:numFmt w:val="decimal"/>
      <w:start w:val="7"/>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2019-12-13T01:37:38Z</dcterms:created>
  <dcterms:modified xsi:type="dcterms:W3CDTF">2019-12-13T01:37:38Z</dcterms:modified>
</cp:coreProperties>
</file>