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165735</wp:posOffset>
            </wp:positionV>
            <wp:extent cx="72472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254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200025</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2896235</wp:posOffset>
            </wp:positionH>
            <wp:positionV relativeFrom="paragraph">
              <wp:posOffset>144145</wp:posOffset>
            </wp:positionV>
            <wp:extent cx="146367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3675" cy="20955"/>
                    </a:xfrm>
                    <a:prstGeom prst="rect">
                      <a:avLst/>
                    </a:prstGeom>
                    <a:noFill/>
                  </pic:spPr>
                </pic:pic>
              </a:graphicData>
            </a:graphic>
          </wp:anchor>
        </w:drawing>
      </w:r>
    </w:p>
    <w:p>
      <w:pPr>
        <w:spacing w:after="0" w:line="30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2896235</wp:posOffset>
            </wp:positionH>
            <wp:positionV relativeFrom="paragraph">
              <wp:posOffset>95885</wp:posOffset>
            </wp:positionV>
            <wp:extent cx="146367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3675" cy="20955"/>
                    </a:xfrm>
                    <a:prstGeom prst="rect">
                      <a:avLst/>
                    </a:prstGeom>
                    <a:noFill/>
                  </pic:spPr>
                </pic:pic>
              </a:graphicData>
            </a:graphic>
          </wp:anchor>
        </w:drawing>
      </w:r>
    </w:p>
    <w:p>
      <w:pPr>
        <w:spacing w:after="0" w:line="2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ANNUAL REPORT PURSUANT TO SECTION 13 OR 15(d) OF THE</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 the Fiscal Year Ended April 1, 2007</w:t>
      </w:r>
    </w:p>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Commission File Number 0-7647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2896235</wp:posOffset>
            </wp:positionH>
            <wp:positionV relativeFrom="paragraph">
              <wp:posOffset>213360</wp:posOffset>
            </wp:positionV>
            <wp:extent cx="146367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3675" cy="209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HAWKINS, INC.</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(Exact Name of Registrant as specified in its Charter)</w:t>
      </w:r>
    </w:p>
    <w:p>
      <w:pPr>
        <w:spacing w:after="0" w:line="384" w:lineRule="exact"/>
        <w:rPr>
          <w:sz w:val="24"/>
          <w:szCs w:val="24"/>
          <w:color w:val="auto"/>
        </w:rPr>
      </w:pPr>
    </w:p>
    <w:tbl>
      <w:tblPr>
        <w:tblLayout w:type="fixed"/>
        <w:tblInd w:w="420" w:type="dxa"/>
        <w:tblCellMar>
          <w:top w:w="0" w:type="dxa"/>
          <w:left w:w="0" w:type="dxa"/>
          <w:bottom w:w="0" w:type="dxa"/>
          <w:right w:w="0" w:type="dxa"/>
        </w:tblCellMar>
      </w:tblPr>
      <w:tr>
        <w:trPr>
          <w:trHeight w:val="253"/>
        </w:trPr>
        <w:tc>
          <w:tcPr>
            <w:tcW w:w="6420" w:type="dxa"/>
            <w:vAlign w:val="bottom"/>
          </w:tcPr>
          <w:p>
            <w:pPr>
              <w:jc w:val="center"/>
              <w:ind w:right="1441"/>
              <w:spacing w:after="0"/>
              <w:rPr>
                <w:sz w:val="20"/>
                <w:szCs w:val="20"/>
                <w:color w:val="auto"/>
              </w:rPr>
            </w:pPr>
            <w:r>
              <w:rPr>
                <w:rFonts w:ascii="Arial" w:cs="Arial" w:eastAsia="Arial" w:hAnsi="Arial"/>
                <w:sz w:val="22"/>
                <w:szCs w:val="22"/>
                <w:b w:val="1"/>
                <w:bCs w:val="1"/>
                <w:color w:val="auto"/>
                <w:w w:val="99"/>
              </w:rPr>
              <w:t>MINNESOTA</w:t>
            </w:r>
          </w:p>
        </w:tc>
        <w:tc>
          <w:tcPr>
            <w:tcW w:w="3000" w:type="dxa"/>
            <w:vAlign w:val="bottom"/>
          </w:tcPr>
          <w:p>
            <w:pPr>
              <w:jc w:val="right"/>
              <w:ind w:right="643"/>
              <w:spacing w:after="0"/>
              <w:rPr>
                <w:sz w:val="20"/>
                <w:szCs w:val="20"/>
                <w:color w:val="auto"/>
              </w:rPr>
            </w:pPr>
            <w:r>
              <w:rPr>
                <w:rFonts w:ascii="Arial" w:cs="Arial" w:eastAsia="Arial" w:hAnsi="Arial"/>
                <w:sz w:val="22"/>
                <w:szCs w:val="22"/>
                <w:b w:val="1"/>
                <w:bCs w:val="1"/>
                <w:color w:val="auto"/>
              </w:rPr>
              <w:t>41-0771293</w:t>
            </w:r>
          </w:p>
        </w:tc>
      </w:tr>
      <w:tr>
        <w:trPr>
          <w:trHeight w:val="222"/>
        </w:trPr>
        <w:tc>
          <w:tcPr>
            <w:tcW w:w="6420" w:type="dxa"/>
            <w:vAlign w:val="bottom"/>
          </w:tcPr>
          <w:p>
            <w:pPr>
              <w:jc w:val="center"/>
              <w:ind w:right="1441"/>
              <w:spacing w:after="0"/>
              <w:rPr>
                <w:sz w:val="20"/>
                <w:szCs w:val="20"/>
                <w:color w:val="auto"/>
              </w:rPr>
            </w:pPr>
            <w:r>
              <w:rPr>
                <w:rFonts w:ascii="Arial" w:cs="Arial" w:eastAsia="Arial" w:hAnsi="Arial"/>
                <w:sz w:val="17"/>
                <w:szCs w:val="17"/>
                <w:color w:val="auto"/>
                <w:w w:val="94"/>
              </w:rPr>
              <w:t>(State of Incorporation)</w:t>
            </w:r>
          </w:p>
        </w:tc>
        <w:tc>
          <w:tcPr>
            <w:tcW w:w="3000" w:type="dxa"/>
            <w:vAlign w:val="bottom"/>
          </w:tcPr>
          <w:p>
            <w:pPr>
              <w:jc w:val="center"/>
              <w:ind w:left="363"/>
              <w:spacing w:after="0"/>
              <w:rPr>
                <w:sz w:val="20"/>
                <w:szCs w:val="20"/>
                <w:color w:val="auto"/>
              </w:rPr>
            </w:pPr>
            <w:r>
              <w:rPr>
                <w:rFonts w:ascii="Arial" w:cs="Arial" w:eastAsia="Arial" w:hAnsi="Arial"/>
                <w:sz w:val="17"/>
                <w:szCs w:val="17"/>
                <w:color w:val="auto"/>
                <w:w w:val="97"/>
              </w:rPr>
              <w:t>(I.R.S. Employer Identification No.)</w:t>
            </w:r>
          </w:p>
        </w:tc>
      </w:tr>
      <w:tr>
        <w:trPr>
          <w:trHeight w:val="652"/>
        </w:trPr>
        <w:tc>
          <w:tcPr>
            <w:tcW w:w="6420" w:type="dxa"/>
            <w:vAlign w:val="bottom"/>
          </w:tcPr>
          <w:p>
            <w:pPr>
              <w:jc w:val="center"/>
              <w:ind w:right="1441"/>
              <w:spacing w:after="0"/>
              <w:rPr>
                <w:sz w:val="20"/>
                <w:szCs w:val="20"/>
                <w:color w:val="auto"/>
              </w:rPr>
            </w:pPr>
            <w:r>
              <w:rPr>
                <w:rFonts w:ascii="Arial" w:cs="Arial" w:eastAsia="Arial" w:hAnsi="Arial"/>
                <w:sz w:val="22"/>
                <w:szCs w:val="22"/>
                <w:b w:val="1"/>
                <w:bCs w:val="1"/>
                <w:color w:val="auto"/>
                <w:w w:val="88"/>
              </w:rPr>
              <w:t>3100 East Hennepin Avenue, Minneapolis, Minnesota</w:t>
            </w:r>
          </w:p>
        </w:tc>
        <w:tc>
          <w:tcPr>
            <w:tcW w:w="3000" w:type="dxa"/>
            <w:vAlign w:val="bottom"/>
          </w:tcPr>
          <w:p>
            <w:pPr>
              <w:jc w:val="right"/>
              <w:ind w:right="903"/>
              <w:spacing w:after="0"/>
              <w:rPr>
                <w:sz w:val="20"/>
                <w:szCs w:val="20"/>
                <w:color w:val="auto"/>
              </w:rPr>
            </w:pPr>
            <w:r>
              <w:rPr>
                <w:rFonts w:ascii="Arial" w:cs="Arial" w:eastAsia="Arial" w:hAnsi="Arial"/>
                <w:sz w:val="22"/>
                <w:szCs w:val="22"/>
                <w:b w:val="1"/>
                <w:bCs w:val="1"/>
                <w:color w:val="auto"/>
              </w:rPr>
              <w:t>55413</w:t>
            </w:r>
          </w:p>
        </w:tc>
      </w:tr>
      <w:tr>
        <w:trPr>
          <w:trHeight w:val="222"/>
        </w:trPr>
        <w:tc>
          <w:tcPr>
            <w:tcW w:w="6420" w:type="dxa"/>
            <w:vAlign w:val="bottom"/>
          </w:tcPr>
          <w:p>
            <w:pPr>
              <w:jc w:val="center"/>
              <w:ind w:right="1441"/>
              <w:spacing w:after="0"/>
              <w:rPr>
                <w:sz w:val="20"/>
                <w:szCs w:val="20"/>
                <w:color w:val="auto"/>
              </w:rPr>
            </w:pPr>
            <w:r>
              <w:rPr>
                <w:rFonts w:ascii="Arial" w:cs="Arial" w:eastAsia="Arial" w:hAnsi="Arial"/>
                <w:sz w:val="17"/>
                <w:szCs w:val="17"/>
                <w:color w:val="auto"/>
                <w:w w:val="95"/>
              </w:rPr>
              <w:t>(Address of Principal Executive Offices)</w:t>
            </w:r>
          </w:p>
        </w:tc>
        <w:tc>
          <w:tcPr>
            <w:tcW w:w="3000" w:type="dxa"/>
            <w:vAlign w:val="bottom"/>
          </w:tcPr>
          <w:p>
            <w:pPr>
              <w:jc w:val="center"/>
              <w:ind w:left="363"/>
              <w:spacing w:after="0"/>
              <w:rPr>
                <w:sz w:val="20"/>
                <w:szCs w:val="20"/>
                <w:color w:val="auto"/>
              </w:rPr>
            </w:pPr>
            <w:r>
              <w:rPr>
                <w:rFonts w:ascii="Arial" w:cs="Arial" w:eastAsia="Arial" w:hAnsi="Arial"/>
                <w:sz w:val="17"/>
                <w:szCs w:val="17"/>
                <w:color w:val="auto"/>
                <w:w w:val="97"/>
              </w:rPr>
              <w:t>(Zip Code)</w:t>
            </w:r>
          </w:p>
        </w:tc>
      </w:tr>
      <w:tr>
        <w:trPr>
          <w:trHeight w:val="464"/>
        </w:trPr>
        <w:tc>
          <w:tcPr>
            <w:tcW w:w="6420" w:type="dxa"/>
            <w:vAlign w:val="bottom"/>
          </w:tcPr>
          <w:p>
            <w:pPr>
              <w:jc w:val="right"/>
              <w:ind w:right="361"/>
              <w:spacing w:after="0"/>
              <w:rPr>
                <w:sz w:val="20"/>
                <w:szCs w:val="20"/>
                <w:color w:val="auto"/>
              </w:rPr>
            </w:pPr>
            <w:r>
              <w:rPr>
                <w:rFonts w:ascii="Arial" w:cs="Arial" w:eastAsia="Arial" w:hAnsi="Arial"/>
                <w:sz w:val="22"/>
                <w:szCs w:val="22"/>
                <w:b w:val="1"/>
                <w:bCs w:val="1"/>
                <w:color w:val="auto"/>
              </w:rPr>
              <w:t>(612) 331-6910</w:t>
            </w:r>
          </w:p>
        </w:tc>
        <w:tc>
          <w:tcPr>
            <w:tcW w:w="3000" w:type="dxa"/>
            <w:vAlign w:val="bottom"/>
          </w:tcPr>
          <w:p>
            <w:pPr>
              <w:spacing w:after="0"/>
              <w:rPr>
                <w:sz w:val="24"/>
                <w:szCs w:val="24"/>
                <w:color w:val="auto"/>
              </w:rPr>
            </w:pPr>
          </w:p>
        </w:tc>
      </w:tr>
    </w:tbl>
    <w:p>
      <w:pPr>
        <w:jc w:val="center"/>
        <w:ind w:right="-59"/>
        <w:spacing w:after="0"/>
        <w:rPr>
          <w:sz w:val="20"/>
          <w:szCs w:val="20"/>
          <w:color w:val="auto"/>
        </w:rPr>
      </w:pPr>
      <w:r>
        <w:rPr>
          <w:rFonts w:ascii="Arial" w:cs="Arial" w:eastAsia="Arial" w:hAnsi="Arial"/>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2896235</wp:posOffset>
            </wp:positionH>
            <wp:positionV relativeFrom="paragraph">
              <wp:posOffset>211455</wp:posOffset>
            </wp:positionV>
            <wp:extent cx="14636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3675" cy="20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 NONE</w:t>
      </w:r>
    </w:p>
    <w:p>
      <w:pPr>
        <w:spacing w:after="0" w:line="7"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12(g) of the Act: COMMON STOCK, PAR VALUE $.05 PER SHARE</w:t>
      </w:r>
    </w:p>
    <w:p>
      <w:pPr>
        <w:spacing w:after="0" w:line="186" w:lineRule="exact"/>
        <w:rPr>
          <w:sz w:val="24"/>
          <w:szCs w:val="24"/>
          <w:color w:val="auto"/>
        </w:rPr>
      </w:pPr>
    </w:p>
    <w:p>
      <w:pPr>
        <w:jc w:val="center"/>
        <w:ind w:left="500" w:right="500"/>
        <w:spacing w:after="0" w:line="249" w:lineRule="auto"/>
        <w:rPr>
          <w:sz w:val="20"/>
          <w:szCs w:val="20"/>
          <w:color w:val="auto"/>
        </w:rPr>
      </w:pPr>
      <w:r>
        <w:rPr>
          <w:rFonts w:ascii="Arial" w:cs="Arial" w:eastAsia="Arial" w:hAnsi="Arial"/>
          <w:sz w:val="22"/>
          <w:szCs w:val="22"/>
          <w:color w:val="auto"/>
        </w:rPr>
        <w:t>Indicate by check mark if the registrant is a well-known seasoned issuer, as defined in Rule 405 of the Securities Act. YES  o   NO x</w:t>
      </w:r>
    </w:p>
    <w:p>
      <w:pPr>
        <w:spacing w:after="0" w:line="174" w:lineRule="exact"/>
        <w:rPr>
          <w:sz w:val="24"/>
          <w:szCs w:val="24"/>
          <w:color w:val="auto"/>
        </w:rPr>
      </w:pPr>
    </w:p>
    <w:p>
      <w:pPr>
        <w:jc w:val="center"/>
        <w:ind w:left="700" w:right="300"/>
        <w:spacing w:after="0" w:line="249" w:lineRule="auto"/>
        <w:rPr>
          <w:sz w:val="20"/>
          <w:szCs w:val="20"/>
          <w:color w:val="auto"/>
        </w:rPr>
      </w:pPr>
      <w:r>
        <w:rPr>
          <w:rFonts w:ascii="Arial" w:cs="Arial" w:eastAsia="Arial" w:hAnsi="Arial"/>
          <w:sz w:val="22"/>
          <w:szCs w:val="22"/>
          <w:color w:val="auto"/>
        </w:rPr>
        <w:t>Indicate by check mark if the registrant is not required to file reports pursuant to Section 13 or Section 15(d) of the Act. YES  o   NO x</w:t>
      </w:r>
    </w:p>
    <w:p>
      <w:pPr>
        <w:spacing w:after="0" w:line="174" w:lineRule="exact"/>
        <w:rPr>
          <w:sz w:val="24"/>
          <w:szCs w:val="24"/>
          <w:color w:val="auto"/>
        </w:rPr>
      </w:pPr>
    </w:p>
    <w:p>
      <w:pPr>
        <w:ind w:right="60" w:firstLine="761"/>
        <w:spacing w:after="0" w:line="275" w:lineRule="auto"/>
        <w:rPr>
          <w:sz w:val="20"/>
          <w:szCs w:val="20"/>
          <w:color w:val="auto"/>
        </w:rPr>
      </w:pPr>
      <w:r>
        <w:rPr>
          <w:rFonts w:ascii="Arial" w:cs="Arial" w:eastAsia="Arial" w:hAnsi="Arial"/>
          <w:sz w:val="19"/>
          <w:szCs w:val="19"/>
          <w:color w:val="auto"/>
        </w:rPr>
        <w:t>Indicate by check mark whether the Registrant (1) has filed all reports required to be filed by Section 13 or 15(d) of the Securities Exchange Act of 1934 during the preceding twelve months (or for such shorter period that the Registrant was required to</w:t>
      </w:r>
    </w:p>
    <w:p>
      <w:pPr>
        <w:spacing w:after="0" w:line="1" w:lineRule="exact"/>
        <w:rPr>
          <w:sz w:val="24"/>
          <w:szCs w:val="24"/>
          <w:color w:val="auto"/>
        </w:rPr>
      </w:pPr>
    </w:p>
    <w:p>
      <w:pPr>
        <w:spacing w:after="0"/>
        <w:tabs>
          <w:tab w:leader="none" w:pos="8260" w:val="left"/>
        </w:tabs>
        <w:rPr>
          <w:sz w:val="20"/>
          <w:szCs w:val="20"/>
          <w:color w:val="auto"/>
        </w:rPr>
      </w:pPr>
      <w:r>
        <w:rPr>
          <w:rFonts w:ascii="Arial" w:cs="Arial" w:eastAsia="Arial" w:hAnsi="Arial"/>
          <w:sz w:val="22"/>
          <w:szCs w:val="22"/>
          <w:color w:val="auto"/>
        </w:rPr>
        <w:t>file such reports) and (2) has been subject to such filing requirements for the past 90 days.</w:t>
      </w:r>
      <w:r>
        <w:rPr>
          <w:sz w:val="20"/>
          <w:szCs w:val="20"/>
          <w:color w:val="auto"/>
        </w:rPr>
        <w:tab/>
      </w:r>
      <w:r>
        <w:rPr>
          <w:rFonts w:ascii="Arial" w:cs="Arial" w:eastAsia="Arial" w:hAnsi="Arial"/>
          <w:sz w:val="19"/>
          <w:szCs w:val="19"/>
          <w:color w:val="auto"/>
        </w:rPr>
        <w:t>Yes x No o</w:t>
      </w:r>
    </w:p>
    <w:p>
      <w:pPr>
        <w:spacing w:after="0" w:line="186" w:lineRule="exact"/>
        <w:rPr>
          <w:sz w:val="24"/>
          <w:szCs w:val="24"/>
          <w:color w:val="auto"/>
        </w:rPr>
      </w:pPr>
    </w:p>
    <w:p>
      <w:pPr>
        <w:jc w:val="both"/>
        <w:ind w:right="180" w:firstLine="761"/>
        <w:spacing w:after="0" w:line="275" w:lineRule="auto"/>
        <w:rPr>
          <w:sz w:val="20"/>
          <w:szCs w:val="20"/>
          <w:color w:val="auto"/>
        </w:rPr>
      </w:pPr>
      <w:r>
        <w:rPr>
          <w:rFonts w:ascii="Arial" w:cs="Arial" w:eastAsia="Arial" w:hAnsi="Arial"/>
          <w:sz w:val="20"/>
          <w:szCs w:val="20"/>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50" w:lineRule="exact"/>
        <w:rPr>
          <w:sz w:val="24"/>
          <w:szCs w:val="24"/>
          <w:color w:val="auto"/>
        </w:rPr>
      </w:pPr>
    </w:p>
    <w:p>
      <w:pPr>
        <w:ind w:firstLine="761"/>
        <w:spacing w:after="0" w:line="261" w:lineRule="auto"/>
        <w:rPr>
          <w:sz w:val="20"/>
          <w:szCs w:val="20"/>
          <w:color w:val="auto"/>
        </w:rPr>
      </w:pPr>
      <w:r>
        <w:rPr>
          <w:rFonts w:ascii="Arial" w:cs="Arial" w:eastAsia="Arial" w:hAnsi="Arial"/>
          <w:sz w:val="20"/>
          <w:szCs w:val="20"/>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4"/>
          <w:szCs w:val="24"/>
          <w:color w:val="auto"/>
        </w:rPr>
      </w:pPr>
    </w:p>
    <w:p>
      <w:pPr>
        <w:ind w:left="2260"/>
        <w:spacing w:after="0"/>
        <w:tabs>
          <w:tab w:leader="none" w:pos="4920" w:val="left"/>
          <w:tab w:leader="none" w:pos="7000" w:val="left"/>
        </w:tabs>
        <w:rPr>
          <w:sz w:val="20"/>
          <w:szCs w:val="20"/>
          <w:color w:val="auto"/>
        </w:rPr>
      </w:pPr>
      <w:r>
        <w:rPr>
          <w:rFonts w:ascii="Arial" w:cs="Arial" w:eastAsia="Arial" w:hAnsi="Arial"/>
          <w:sz w:val="22"/>
          <w:szCs w:val="22"/>
          <w:color w:val="auto"/>
        </w:rPr>
        <w:t>Large Accelerated Filer  o</w:t>
      </w:r>
      <w:r>
        <w:rPr>
          <w:sz w:val="20"/>
          <w:szCs w:val="20"/>
          <w:color w:val="auto"/>
        </w:rPr>
        <w:tab/>
      </w:r>
      <w:r>
        <w:rPr>
          <w:rFonts w:ascii="Arial" w:cs="Arial" w:eastAsia="Arial" w:hAnsi="Arial"/>
          <w:sz w:val="22"/>
          <w:szCs w:val="22"/>
          <w:color w:val="auto"/>
        </w:rPr>
        <w:t>Accelerated Filer  x</w:t>
      </w:r>
      <w:r>
        <w:rPr>
          <w:sz w:val="20"/>
          <w:szCs w:val="20"/>
          <w:color w:val="auto"/>
        </w:rPr>
        <w:tab/>
      </w:r>
      <w:r>
        <w:rPr>
          <w:rFonts w:ascii="Arial" w:cs="Arial" w:eastAsia="Arial" w:hAnsi="Arial"/>
          <w:sz w:val="20"/>
          <w:szCs w:val="20"/>
          <w:color w:val="auto"/>
        </w:rPr>
        <w:t>Non-Accelerated Filer o</w:t>
      </w:r>
    </w:p>
    <w:p>
      <w:pPr>
        <w:spacing w:after="0" w:line="186" w:lineRule="exact"/>
        <w:rPr>
          <w:sz w:val="24"/>
          <w:szCs w:val="24"/>
          <w:color w:val="auto"/>
        </w:rPr>
      </w:pPr>
    </w:p>
    <w:p>
      <w:pPr>
        <w:ind w:left="760"/>
        <w:spacing w:after="0"/>
        <w:rPr>
          <w:sz w:val="20"/>
          <w:szCs w:val="20"/>
          <w:color w:val="auto"/>
        </w:rPr>
      </w:pPr>
      <w:r>
        <w:rPr>
          <w:rFonts w:ascii="Arial" w:cs="Arial" w:eastAsia="Arial" w:hAnsi="Arial"/>
          <w:sz w:val="20"/>
          <w:szCs w:val="20"/>
          <w:color w:val="auto"/>
        </w:rPr>
        <w:t>Indicate by check mark whether the registrant is a shell company (as defined in Rule 12b-2 of the Exchange Act).</w:t>
      </w:r>
    </w:p>
    <w:p>
      <w:pPr>
        <w:spacing w:after="0" w:line="30" w:lineRule="exact"/>
        <w:rPr>
          <w:sz w:val="24"/>
          <w:szCs w:val="24"/>
          <w:color w:val="auto"/>
        </w:rPr>
      </w:pPr>
    </w:p>
    <w:p>
      <w:pPr>
        <w:jc w:val="center"/>
        <w:ind w:right="-59"/>
        <w:spacing w:after="0"/>
        <w:tabs>
          <w:tab w:leader="none" w:pos="240" w:val="left"/>
        </w:tabs>
        <w:rPr>
          <w:sz w:val="20"/>
          <w:szCs w:val="20"/>
          <w:color w:val="auto"/>
        </w:rPr>
      </w:pPr>
      <w:r>
        <w:rPr>
          <w:rFonts w:ascii="Arial" w:cs="Arial" w:eastAsia="Arial" w:hAnsi="Arial"/>
          <w:sz w:val="22"/>
          <w:szCs w:val="22"/>
          <w:color w:val="auto"/>
        </w:rPr>
        <w:t>YES  o</w:t>
        <w:tab/>
        <w:t>NO x</w:t>
      </w:r>
    </w:p>
    <w:p>
      <w:pPr>
        <w:spacing w:after="0" w:line="186" w:lineRule="exact"/>
        <w:rPr>
          <w:sz w:val="24"/>
          <w:szCs w:val="24"/>
          <w:color w:val="auto"/>
        </w:rPr>
      </w:pPr>
    </w:p>
    <w:p>
      <w:pPr>
        <w:ind w:right="40" w:firstLine="761"/>
        <w:spacing w:after="0" w:line="267" w:lineRule="auto"/>
        <w:rPr>
          <w:sz w:val="20"/>
          <w:szCs w:val="20"/>
          <w:color w:val="auto"/>
        </w:rPr>
      </w:pPr>
      <w:r>
        <w:rPr>
          <w:rFonts w:ascii="Arial" w:cs="Arial" w:eastAsia="Arial" w:hAnsi="Arial"/>
          <w:sz w:val="20"/>
          <w:szCs w:val="20"/>
          <w:color w:val="auto"/>
        </w:rPr>
        <w:t>The aggregate market value of voting stock held by non-affiliates of the Registrant on September 30, 2006 (the last business day of the Registrant’s most recently completed second fiscal quarter) was $117,543,251 based upon the closing sale price for Hawkins, Inc.’s common stock on that date as reported by The NASDAQ Stock Market, excluding all shares held by officers and directors of the Registrant and by the Trustees of the Registrant’s Employee Stock Ownership Plan and Trust.</w:t>
      </w:r>
    </w:p>
    <w:p>
      <w:pPr>
        <w:spacing w:after="0" w:line="160" w:lineRule="exact"/>
        <w:rPr>
          <w:sz w:val="24"/>
          <w:szCs w:val="24"/>
          <w:color w:val="auto"/>
        </w:rPr>
      </w:pPr>
    </w:p>
    <w:p>
      <w:pPr>
        <w:ind w:left="760"/>
        <w:spacing w:after="0"/>
        <w:rPr>
          <w:sz w:val="20"/>
          <w:szCs w:val="20"/>
          <w:color w:val="auto"/>
        </w:rPr>
      </w:pPr>
      <w:r>
        <w:rPr>
          <w:rFonts w:ascii="Arial" w:cs="Arial" w:eastAsia="Arial" w:hAnsi="Arial"/>
          <w:sz w:val="22"/>
          <w:szCs w:val="22"/>
          <w:color w:val="auto"/>
        </w:rPr>
        <w:t>As of May 31, 2007, the Registrant had 10,257,084 shares of common stock outstanding.</w:t>
      </w:r>
    </w:p>
    <w:p>
      <w:pPr>
        <w:sectPr>
          <w:pgSz w:w="11900" w:h="16838" w:orient="portrait"/>
          <w:cols w:equalWidth="0" w:num="1">
            <w:col w:w="11360"/>
          </w:cols>
          <w:pgMar w:left="240" w:top="716" w:right="299" w:bottom="860" w:gutter="0" w:footer="0" w:header="0"/>
        </w:sectPr>
      </w:pP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15"/>
          <w:szCs w:val="15"/>
          <w:i w:val="1"/>
          <w:iCs w:val="1"/>
          <w:color w:val="auto"/>
        </w:rPr>
        <w:t>Page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7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wp:posOffset>
            </wp:positionV>
            <wp:extent cx="72472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255" cy="25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576580</wp:posOffset>
            </wp:positionV>
            <wp:extent cx="725106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ectPr>
          <w:pgSz w:w="11900" w:h="16838" w:orient="portrait"/>
          <w:cols w:equalWidth="0" w:num="1">
            <w:col w:w="11360"/>
          </w:cols>
          <w:pgMar w:left="240" w:top="716" w:right="299" w:bottom="86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7"/>
          <w:szCs w:val="17"/>
          <w:b w:val="1"/>
          <w:bCs w:val="1"/>
          <w:color w:val="auto"/>
        </w:rPr>
        <w:t>DOCUMENTS INCORPORATED BY REFERENCE</w:t>
      </w:r>
    </w:p>
    <w:p>
      <w:pPr>
        <w:spacing w:after="0" w:line="241" w:lineRule="exact"/>
        <w:rPr>
          <w:sz w:val="20"/>
          <w:szCs w:val="20"/>
          <w:color w:val="auto"/>
        </w:rPr>
      </w:pPr>
    </w:p>
    <w:p>
      <w:pPr>
        <w:ind w:right="480" w:firstLine="761"/>
        <w:spacing w:after="0" w:line="296" w:lineRule="auto"/>
        <w:rPr>
          <w:sz w:val="20"/>
          <w:szCs w:val="20"/>
          <w:color w:val="auto"/>
        </w:rPr>
      </w:pPr>
      <w:r>
        <w:rPr>
          <w:rFonts w:ascii="Arial" w:cs="Arial" w:eastAsia="Arial" w:hAnsi="Arial"/>
          <w:sz w:val="17"/>
          <w:szCs w:val="17"/>
          <w:color w:val="auto"/>
        </w:rPr>
        <w:t>Part III of this Annual Report on Form 10-K incorporates by reference information (to the extent specific sections are referred to herein) from the Registrant’s Proxy Statement for its 2007 Annual Meeting of Shareholders to be held August 7, 2007.</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PART I</w:t>
      </w:r>
    </w:p>
    <w:p>
      <w:pPr>
        <w:spacing w:after="0" w:line="231"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color w:val="auto"/>
        </w:rPr>
        <w:t>ITEM 1.</w:t>
      </w:r>
      <w:r>
        <w:rPr>
          <w:sz w:val="20"/>
          <w:szCs w:val="20"/>
          <w:color w:val="auto"/>
        </w:rPr>
        <w:tab/>
      </w:r>
      <w:r>
        <w:rPr>
          <w:rFonts w:ascii="Arial" w:cs="Arial" w:eastAsia="Arial" w:hAnsi="Arial"/>
          <w:sz w:val="20"/>
          <w:szCs w:val="20"/>
          <w:color w:val="auto"/>
        </w:rPr>
        <w:t>BUSINESS</w:t>
      </w:r>
    </w:p>
    <w:p>
      <w:pPr>
        <w:spacing w:after="0" w:line="217" w:lineRule="exact"/>
        <w:rPr>
          <w:sz w:val="20"/>
          <w:szCs w:val="20"/>
          <w:color w:val="auto"/>
        </w:rPr>
      </w:pPr>
    </w:p>
    <w:p>
      <w:pPr>
        <w:ind w:right="160" w:firstLine="692"/>
        <w:spacing w:after="0" w:line="280" w:lineRule="auto"/>
        <w:tabs>
          <w:tab w:leader="none" w:pos="1447" w:val="left"/>
        </w:tabs>
        <w:numPr>
          <w:ilvl w:val="0"/>
          <w:numId w:val="1"/>
        </w:numPr>
        <w:rPr>
          <w:rFonts w:ascii="Arial" w:cs="Arial" w:eastAsia="Arial" w:hAnsi="Arial"/>
          <w:sz w:val="17"/>
          <w:szCs w:val="17"/>
          <w:color w:val="auto"/>
        </w:rPr>
      </w:pPr>
      <w:r>
        <w:rPr>
          <w:rFonts w:ascii="Arial" w:cs="Arial" w:eastAsia="Arial" w:hAnsi="Arial"/>
          <w:sz w:val="17"/>
          <w:szCs w:val="17"/>
          <w:color w:val="auto"/>
        </w:rPr>
        <w:t>GENERAL DEVELOPMENT OF THE BUSINESS. Hawkins, Inc. was incorporated in Minnesota in 1955 and has its principal executive offices at 3100 East Hennepin Avenue, Minneapolis, Minnesota. As used in this Annual Report on Form 10-K, except where otherwise stated or indicated by the context, “Hawkins,” “we,” “the Company,” “our,” or “the Registrant” means Hawkins, Inc. and its predecessors.</w:t>
      </w:r>
    </w:p>
    <w:p>
      <w:pPr>
        <w:spacing w:after="0" w:line="176" w:lineRule="exact"/>
        <w:rPr>
          <w:rFonts w:ascii="Arial" w:cs="Arial" w:eastAsia="Arial" w:hAnsi="Arial"/>
          <w:sz w:val="17"/>
          <w:szCs w:val="17"/>
          <w:color w:val="auto"/>
        </w:rPr>
      </w:pPr>
    </w:p>
    <w:p>
      <w:pPr>
        <w:ind w:right="40" w:firstLine="692"/>
        <w:spacing w:after="0" w:line="280" w:lineRule="auto"/>
        <w:tabs>
          <w:tab w:leader="none" w:pos="1456" w:val="left"/>
        </w:tabs>
        <w:numPr>
          <w:ilvl w:val="0"/>
          <w:numId w:val="1"/>
        </w:numPr>
        <w:rPr>
          <w:rFonts w:ascii="Arial" w:cs="Arial" w:eastAsia="Arial" w:hAnsi="Arial"/>
          <w:sz w:val="17"/>
          <w:szCs w:val="17"/>
          <w:color w:val="auto"/>
        </w:rPr>
      </w:pPr>
      <w:r>
        <w:rPr>
          <w:rFonts w:ascii="Arial" w:cs="Arial" w:eastAsia="Arial" w:hAnsi="Arial"/>
          <w:sz w:val="17"/>
          <w:szCs w:val="17"/>
          <w:color w:val="auto"/>
        </w:rPr>
        <w:t>FINANCIAL INFORMATION ABOUT INDUSTRY SEGMENTS. The Company’s principal business is the distribution, blending, and formulation of bulk and specialty chemicals, which it conducts in three principal segments: Water Treatment, Industrial and Pharmaceutical. Financial information regarding these segments is reported in the Company’s audited financial statements. See Items 7 and 8 below.</w:t>
      </w:r>
    </w:p>
    <w:p>
      <w:pPr>
        <w:spacing w:after="0" w:line="176" w:lineRule="exact"/>
        <w:rPr>
          <w:rFonts w:ascii="Arial" w:cs="Arial" w:eastAsia="Arial" w:hAnsi="Arial"/>
          <w:sz w:val="17"/>
          <w:szCs w:val="17"/>
          <w:color w:val="auto"/>
        </w:rPr>
      </w:pPr>
    </w:p>
    <w:p>
      <w:pPr>
        <w:ind w:left="1500" w:hanging="808"/>
        <w:spacing w:after="0"/>
        <w:tabs>
          <w:tab w:leader="none" w:pos="1500" w:val="left"/>
        </w:tabs>
        <w:numPr>
          <w:ilvl w:val="0"/>
          <w:numId w:val="1"/>
        </w:numPr>
        <w:rPr>
          <w:rFonts w:ascii="Arial" w:cs="Arial" w:eastAsia="Arial" w:hAnsi="Arial"/>
          <w:sz w:val="17"/>
          <w:szCs w:val="17"/>
          <w:color w:val="auto"/>
        </w:rPr>
      </w:pPr>
      <w:r>
        <w:rPr>
          <w:rFonts w:ascii="Arial" w:cs="Arial" w:eastAsia="Arial" w:hAnsi="Arial"/>
          <w:sz w:val="17"/>
          <w:szCs w:val="17"/>
          <w:color w:val="auto"/>
        </w:rPr>
        <w:t>NARRATIVE DESCRIPTION OF THE BUSINESS.</w:t>
      </w:r>
    </w:p>
    <w:p>
      <w:pPr>
        <w:spacing w:after="0" w:line="234" w:lineRule="exact"/>
        <w:rPr>
          <w:rFonts w:ascii="Arial" w:cs="Arial" w:eastAsia="Arial" w:hAnsi="Arial"/>
          <w:sz w:val="17"/>
          <w:szCs w:val="17"/>
          <w:color w:val="auto"/>
        </w:rPr>
      </w:pPr>
    </w:p>
    <w:p>
      <w:pPr>
        <w:ind w:left="700" w:right="760" w:firstLine="636"/>
        <w:spacing w:after="0" w:line="296" w:lineRule="auto"/>
        <w:tabs>
          <w:tab w:leader="none" w:pos="2120" w:val="left"/>
        </w:tabs>
        <w:numPr>
          <w:ilvl w:val="1"/>
          <w:numId w:val="1"/>
        </w:numPr>
        <w:rPr>
          <w:rFonts w:ascii="Arial" w:cs="Arial" w:eastAsia="Arial" w:hAnsi="Arial"/>
          <w:sz w:val="17"/>
          <w:szCs w:val="17"/>
          <w:color w:val="auto"/>
        </w:rPr>
      </w:pPr>
      <w:r>
        <w:rPr>
          <w:rFonts w:ascii="Arial" w:cs="Arial" w:eastAsia="Arial" w:hAnsi="Arial"/>
          <w:sz w:val="17"/>
          <w:szCs w:val="17"/>
          <w:color w:val="auto"/>
        </w:rPr>
        <w:t>PRODUCTS AND MARKETS. The Company’s business is conducted in three segments, Water Treatment, Industrial and Pharmaceutical, which are more fully described below:</w:t>
      </w:r>
    </w:p>
    <w:p>
      <w:pPr>
        <w:spacing w:after="0" w:line="163" w:lineRule="exact"/>
        <w:rPr>
          <w:rFonts w:ascii="Arial" w:cs="Arial" w:eastAsia="Arial" w:hAnsi="Arial"/>
          <w:sz w:val="17"/>
          <w:szCs w:val="17"/>
          <w:color w:val="auto"/>
        </w:rPr>
      </w:pPr>
    </w:p>
    <w:p>
      <w:pPr>
        <w:ind w:left="1380" w:right="40" w:firstLine="599"/>
        <w:spacing w:after="0" w:line="322" w:lineRule="auto"/>
        <w:tabs>
          <w:tab w:leader="none" w:pos="2659" w:val="left"/>
        </w:tabs>
        <w:numPr>
          <w:ilvl w:val="2"/>
          <w:numId w:val="1"/>
        </w:numPr>
        <w:rPr>
          <w:rFonts w:ascii="Arial" w:cs="Arial" w:eastAsia="Arial" w:hAnsi="Arial"/>
          <w:sz w:val="15"/>
          <w:szCs w:val="15"/>
          <w:color w:val="auto"/>
        </w:rPr>
      </w:pPr>
      <w:r>
        <w:rPr>
          <w:rFonts w:ascii="Arial" w:cs="Arial" w:eastAsia="Arial" w:hAnsi="Arial"/>
          <w:sz w:val="15"/>
          <w:szCs w:val="15"/>
          <w:color w:val="auto"/>
        </w:rPr>
        <w:t>WATER TREATMENT. The Water Treatment segment specializes in providing equipment, chemicals and solutions to problems for potable water, municipal and industrial wastewater, industrial process water and non-residential swimming pool water. The Water Treatment Group has warehouses in twelve cities and utilizes a Driver/Technician/Salesperson approach in supplying products and service to customers in Minnesota, Wisconsin, Iowa, North Dakota, South Dakota, Nebraska, Illinois, Michigan, Montana, Kansas and Wyoming.</w:t>
      </w:r>
    </w:p>
    <w:p>
      <w:pPr>
        <w:spacing w:after="0" w:line="149" w:lineRule="exact"/>
        <w:rPr>
          <w:rFonts w:ascii="Arial" w:cs="Arial" w:eastAsia="Arial" w:hAnsi="Arial"/>
          <w:sz w:val="15"/>
          <w:szCs w:val="15"/>
          <w:color w:val="auto"/>
        </w:rPr>
      </w:pPr>
    </w:p>
    <w:p>
      <w:pPr>
        <w:jc w:val="both"/>
        <w:ind w:left="1380" w:right="120" w:firstLine="599"/>
        <w:spacing w:after="0" w:line="292" w:lineRule="auto"/>
        <w:tabs>
          <w:tab w:leader="none" w:pos="2652" w:val="left"/>
        </w:tabs>
        <w:numPr>
          <w:ilvl w:val="2"/>
          <w:numId w:val="1"/>
        </w:numPr>
        <w:rPr>
          <w:rFonts w:ascii="Arial" w:cs="Arial" w:eastAsia="Arial" w:hAnsi="Arial"/>
          <w:sz w:val="16"/>
          <w:szCs w:val="16"/>
          <w:color w:val="auto"/>
        </w:rPr>
      </w:pPr>
      <w:r>
        <w:rPr>
          <w:rFonts w:ascii="Arial" w:cs="Arial" w:eastAsia="Arial" w:hAnsi="Arial"/>
          <w:sz w:val="16"/>
          <w:szCs w:val="16"/>
          <w:color w:val="auto"/>
        </w:rPr>
        <w:t>INDUSTRIAL. The Industrial segment specializes in providing industrial chemicals and services to the energy, electronics, chemical processing, pulp and paper, medical device and plating industries. In addition, the Industrial segment provides products and services to food manufacturers and processing plants. The Industrial segment also manufactures and sells certain food grade products, including the Cheese-Phos</w:t>
      </w:r>
      <w:r>
        <w:rPr>
          <w:rFonts w:ascii="Arial" w:cs="Arial" w:eastAsia="Arial" w:hAnsi="Arial"/>
          <w:sz w:val="12"/>
          <w:szCs w:val="12"/>
          <w:color w:val="auto"/>
        </w:rPr>
        <w:t>®</w:t>
      </w:r>
      <w:r>
        <w:rPr>
          <w:rFonts w:ascii="Arial" w:cs="Arial" w:eastAsia="Arial" w:hAnsi="Arial"/>
          <w:sz w:val="16"/>
          <w:szCs w:val="16"/>
          <w:color w:val="auto"/>
        </w:rPr>
        <w:t xml:space="preserve"> liquid phosphate product and other blended products, none of which are individually material to the Company. This segment conducts its business primarily through distribution centers and terminal operations.</w:t>
      </w:r>
    </w:p>
    <w:p>
      <w:pPr>
        <w:spacing w:after="0" w:line="171" w:lineRule="exact"/>
        <w:rPr>
          <w:sz w:val="20"/>
          <w:szCs w:val="20"/>
          <w:color w:val="auto"/>
        </w:rPr>
      </w:pPr>
    </w:p>
    <w:p>
      <w:pPr>
        <w:ind w:left="1380" w:right="60" w:firstLine="602"/>
        <w:spacing w:after="0" w:line="268" w:lineRule="auto"/>
        <w:rPr>
          <w:sz w:val="20"/>
          <w:szCs w:val="20"/>
          <w:color w:val="auto"/>
        </w:rPr>
      </w:pPr>
      <w:r>
        <w:rPr>
          <w:rFonts w:ascii="Arial" w:cs="Arial" w:eastAsia="Arial" w:hAnsi="Arial"/>
          <w:sz w:val="17"/>
          <w:szCs w:val="17"/>
          <w:color w:val="auto"/>
        </w:rPr>
        <w:t>The Industrial segment receives, stores and distributes various chemicals in bulk, including liquid caustic soda, phosphoric acid, potassium hydroxide and aqua ammonia; manufactures sodium hypochlorite (bleach) and agricultural products; repackages water treatment chemicals; and performs custom blending of certain chemicals for customers according to customer formulas. The Industrial segment operates liquid caustic soda barge terminals to receive shipments during the period the Mississippi River is open to barge traffic (approximately April 1 through November 15). During the remainder of the year, the Company relies on stockpiles, as well as supplies shipped in by railroad tank car. Pursuant to operating agreements it has with other chemical companies, the Company receives and stores liquid caustic soda and other chemicals at its two terminal sites, Hawkins Terminal 1 and Terminal 2. Terminal 1 and Terminal 2 are located on opposite sides of the Mississippi River in St. Paul, Minnesota.</w:t>
      </w:r>
    </w:p>
    <w:p>
      <w:pPr>
        <w:spacing w:after="0" w:line="190" w:lineRule="exact"/>
        <w:rPr>
          <w:sz w:val="20"/>
          <w:szCs w:val="20"/>
          <w:color w:val="auto"/>
        </w:rPr>
      </w:pPr>
    </w:p>
    <w:p>
      <w:pPr>
        <w:ind w:left="1380" w:right="220" w:firstLine="602"/>
        <w:spacing w:after="0" w:line="270" w:lineRule="auto"/>
        <w:rPr>
          <w:sz w:val="20"/>
          <w:szCs w:val="20"/>
          <w:color w:val="auto"/>
        </w:rPr>
      </w:pPr>
      <w:r>
        <w:rPr>
          <w:rFonts w:ascii="Arial" w:cs="Arial" w:eastAsia="Arial" w:hAnsi="Arial"/>
          <w:sz w:val="17"/>
          <w:szCs w:val="17"/>
          <w:color w:val="auto"/>
        </w:rPr>
        <w:t>The Industrial segment also includes a manufacturing, blending and sales distribution center for industrial chemicals, food grade chemicals, high-purity electronic chemicals and laboratory chemicals and supplies. Bulk industrial chemicals are generally repackaged and sold in smaller quantities to the Company’s customers. Sales are concentrated primarily in Wisconsin, Minnesota, northern Iowa, and North and South Dakota. The principal products are acids and alkalis and industrial and food grade salts. The Industrial segment also specializes in sales to the plating and electronic industries, relying on a specially trained sales staff that works directly with customers on their surface finishing needs.</w:t>
      </w:r>
    </w:p>
    <w:p>
      <w:pPr>
        <w:spacing w:after="0" w:line="186" w:lineRule="exact"/>
        <w:rPr>
          <w:sz w:val="20"/>
          <w:szCs w:val="20"/>
          <w:color w:val="auto"/>
        </w:rPr>
      </w:pPr>
    </w:p>
    <w:p>
      <w:pPr>
        <w:jc w:val="both"/>
        <w:ind w:left="1380" w:right="180" w:firstLine="599"/>
        <w:spacing w:after="0" w:line="280" w:lineRule="auto"/>
        <w:tabs>
          <w:tab w:leader="none" w:pos="2652" w:val="left"/>
        </w:tabs>
        <w:numPr>
          <w:ilvl w:val="0"/>
          <w:numId w:val="2"/>
        </w:numPr>
        <w:rPr>
          <w:rFonts w:ascii="Arial" w:cs="Arial" w:eastAsia="Arial" w:hAnsi="Arial"/>
          <w:sz w:val="17"/>
          <w:szCs w:val="17"/>
          <w:color w:val="auto"/>
        </w:rPr>
      </w:pPr>
      <w:r>
        <w:rPr>
          <w:rFonts w:ascii="Arial" w:cs="Arial" w:eastAsia="Arial" w:hAnsi="Arial"/>
          <w:sz w:val="17"/>
          <w:szCs w:val="17"/>
          <w:color w:val="auto"/>
        </w:rPr>
        <w:t>PHARMACEUTICAL. The Pharmaceutical segment specializes in providing pharmaceutical chemicals to pharmacies and small-scale pharmaceutical manufacturers. This segment conducts the majority of its business through one warehouse located at the principal executive site. The Pharmaceutical segment’s sales are primarily focused in the United States.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60" w:hanging="652"/>
        <w:spacing w:after="0"/>
        <w:tabs>
          <w:tab w:leader="none" w:pos="2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NEW PRODUCTS. The Company did not have any significant new products during the fiscal year ended April 1, 2007.</w:t>
      </w:r>
    </w:p>
    <w:p>
      <w:pPr>
        <w:spacing w:after="0" w:line="234" w:lineRule="exact"/>
        <w:rPr>
          <w:rFonts w:ascii="Arial" w:cs="Arial" w:eastAsia="Arial" w:hAnsi="Arial"/>
          <w:sz w:val="17"/>
          <w:szCs w:val="17"/>
          <w:color w:val="auto"/>
        </w:rPr>
      </w:pPr>
    </w:p>
    <w:p>
      <w:pPr>
        <w:ind w:left="760" w:firstLine="648"/>
        <w:spacing w:after="0" w:line="272" w:lineRule="auto"/>
        <w:tabs>
          <w:tab w:leader="none" w:pos="2054" w:val="left"/>
        </w:tabs>
        <w:numPr>
          <w:ilvl w:val="0"/>
          <w:numId w:val="3"/>
        </w:numPr>
        <w:rPr>
          <w:rFonts w:ascii="Arial" w:cs="Arial" w:eastAsia="Arial" w:hAnsi="Arial"/>
          <w:sz w:val="17"/>
          <w:szCs w:val="17"/>
          <w:color w:val="auto"/>
        </w:rPr>
      </w:pPr>
      <w:r>
        <w:rPr>
          <w:rFonts w:ascii="Arial" w:cs="Arial" w:eastAsia="Arial" w:hAnsi="Arial"/>
          <w:sz w:val="17"/>
          <w:szCs w:val="17"/>
          <w:color w:val="auto"/>
        </w:rPr>
        <w:t>RAW MATERIALS. The Company has approximately 200 suppliers, including many of the major chemical producers in the United States, of which approximately 30 account for a majority of the Company’s purchases. The Company typically has written distributorship agreements or supply contracts with its suppliers that are renewed from time to time. Although there is no assurance that any contract or understanding with any supplier will not be terminated in the foreseeable future, most of the products purchased can be obtained from alternative sources should existing relationships be terminated.</w:t>
      </w:r>
    </w:p>
    <w:p>
      <w:pPr>
        <w:spacing w:after="0" w:line="182" w:lineRule="exact"/>
        <w:rPr>
          <w:rFonts w:ascii="Arial" w:cs="Arial" w:eastAsia="Arial" w:hAnsi="Arial"/>
          <w:sz w:val="17"/>
          <w:szCs w:val="17"/>
          <w:color w:val="auto"/>
        </w:rPr>
      </w:pPr>
    </w:p>
    <w:p>
      <w:pPr>
        <w:ind w:left="760" w:right="520" w:firstLine="648"/>
        <w:spacing w:after="0" w:line="296" w:lineRule="auto"/>
        <w:tabs>
          <w:tab w:leader="none" w:pos="2044" w:val="left"/>
        </w:tabs>
        <w:numPr>
          <w:ilvl w:val="0"/>
          <w:numId w:val="3"/>
        </w:numPr>
        <w:rPr>
          <w:rFonts w:ascii="Arial" w:cs="Arial" w:eastAsia="Arial" w:hAnsi="Arial"/>
          <w:sz w:val="17"/>
          <w:szCs w:val="17"/>
          <w:color w:val="auto"/>
        </w:rPr>
      </w:pPr>
      <w:r>
        <w:rPr>
          <w:rFonts w:ascii="Arial" w:cs="Arial" w:eastAsia="Arial" w:hAnsi="Arial"/>
          <w:sz w:val="17"/>
          <w:szCs w:val="17"/>
          <w:color w:val="auto"/>
        </w:rPr>
        <w:t>PATENTS, TRADEMARKS, LICENSES, FRANCHISES, AND CONCESSIONS. There are no patents, trademarks, licenses, franchises or concessions that are currently material to the successful operation of the Company’s business.</w:t>
      </w:r>
    </w:p>
    <w:p>
      <w:pPr>
        <w:spacing w:after="0" w:line="163" w:lineRule="exact"/>
        <w:rPr>
          <w:rFonts w:ascii="Arial" w:cs="Arial" w:eastAsia="Arial" w:hAnsi="Arial"/>
          <w:sz w:val="17"/>
          <w:szCs w:val="17"/>
          <w:color w:val="auto"/>
        </w:rPr>
      </w:pPr>
    </w:p>
    <w:p>
      <w:pPr>
        <w:ind w:left="760" w:right="460" w:firstLine="648"/>
        <w:spacing w:after="0" w:line="296" w:lineRule="auto"/>
        <w:tabs>
          <w:tab w:leader="none" w:pos="2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SEASONAL ASPECTS. The Water Treatment segment has historically experienced higher sales during the April to September timeframe, which is due primarily to an increase in chemicals used by municipal water treatment facilities.</w:t>
      </w:r>
    </w:p>
    <w:p>
      <w:pPr>
        <w:spacing w:after="0" w:line="163" w:lineRule="exact"/>
        <w:rPr>
          <w:rFonts w:ascii="Arial" w:cs="Arial" w:eastAsia="Arial" w:hAnsi="Arial"/>
          <w:sz w:val="17"/>
          <w:szCs w:val="17"/>
          <w:color w:val="auto"/>
        </w:rPr>
      </w:pPr>
    </w:p>
    <w:p>
      <w:pPr>
        <w:ind w:left="760" w:right="20" w:firstLine="648"/>
        <w:spacing w:after="0" w:line="280" w:lineRule="auto"/>
        <w:tabs>
          <w:tab w:leader="none" w:pos="2041" w:val="left"/>
        </w:tabs>
        <w:numPr>
          <w:ilvl w:val="0"/>
          <w:numId w:val="3"/>
        </w:numPr>
        <w:rPr>
          <w:rFonts w:ascii="Arial" w:cs="Arial" w:eastAsia="Arial" w:hAnsi="Arial"/>
          <w:sz w:val="17"/>
          <w:szCs w:val="17"/>
          <w:color w:val="auto"/>
        </w:rPr>
      </w:pPr>
      <w:r>
        <w:rPr>
          <w:rFonts w:ascii="Arial" w:cs="Arial" w:eastAsia="Arial" w:hAnsi="Arial"/>
          <w:sz w:val="17"/>
          <w:szCs w:val="17"/>
          <w:color w:val="auto"/>
        </w:rPr>
        <w:t>WORKING CAPITAL ITEMS. As a bulk distributor of chemicals, the Company is required to carry significant amounts of inventory to meet rapid delivery requirements of customers. Working capital requirements vary on a seasonal basis as a result of the seasonality of the water treatment business.</w:t>
      </w:r>
    </w:p>
    <w:p>
      <w:pPr>
        <w:sectPr>
          <w:pgSz w:w="11900" w:h="16838" w:orient="portrait"/>
          <w:cols w:equalWidth="0" w:num="1">
            <w:col w:w="11420"/>
          </w:cols>
          <w:pgMar w:left="240" w:top="125" w:right="239" w:bottom="12" w:gutter="0" w:footer="0" w:header="0"/>
        </w:sectPr>
      </w:pPr>
    </w:p>
    <w:bookmarkStart w:id="2" w:name="page3"/>
    <w:bookmarkEnd w:id="2"/>
    <w:p>
      <w:pPr>
        <w:ind w:left="760" w:right="40" w:firstLine="648"/>
        <w:spacing w:after="0" w:line="296" w:lineRule="auto"/>
        <w:tabs>
          <w:tab w:leader="none" w:pos="2049" w:val="left"/>
        </w:tabs>
        <w:numPr>
          <w:ilvl w:val="1"/>
          <w:numId w:val="4"/>
        </w:numPr>
        <w:rPr>
          <w:rFonts w:ascii="Arial" w:cs="Arial" w:eastAsia="Arial" w:hAnsi="Arial"/>
          <w:sz w:val="16"/>
          <w:szCs w:val="16"/>
          <w:color w:val="auto"/>
        </w:rPr>
      </w:pPr>
      <w:r>
        <w:rPr>
          <w:rFonts w:ascii="Arial" w:cs="Arial" w:eastAsia="Arial" w:hAnsi="Arial"/>
          <w:sz w:val="16"/>
          <w:szCs w:val="16"/>
          <w:color w:val="auto"/>
        </w:rPr>
        <w:t>DEPENDENCE ON LIMITED NUMBER OF CUSTOMERS. No single customer represents more than approximately 5% of the Company’s sales, but the loss of our five largest customers could have a material adverse effect on the Company’s results of operations. Total aggregate sales to the Company’s five largest customers were $15.8 million and $16.9 million for the fiscal years ended April 1, 2007 and April 2, 2006, respectively. Additionally, no single customer represents 10% or more of the Water Treatment, Industrial or Pharmaceutical segment sales.</w:t>
      </w:r>
    </w:p>
    <w:p>
      <w:pPr>
        <w:spacing w:after="0" w:line="167" w:lineRule="exact"/>
        <w:rPr>
          <w:rFonts w:ascii="Arial" w:cs="Arial" w:eastAsia="Arial" w:hAnsi="Arial"/>
          <w:sz w:val="16"/>
          <w:szCs w:val="16"/>
          <w:color w:val="auto"/>
        </w:rPr>
      </w:pPr>
    </w:p>
    <w:p>
      <w:pPr>
        <w:ind w:left="2060" w:hanging="652"/>
        <w:spacing w:after="0"/>
        <w:tabs>
          <w:tab w:leader="none" w:pos="2060" w:val="left"/>
        </w:tabs>
        <w:numPr>
          <w:ilvl w:val="1"/>
          <w:numId w:val="4"/>
        </w:numPr>
        <w:rPr>
          <w:rFonts w:ascii="Arial" w:cs="Arial" w:eastAsia="Arial" w:hAnsi="Arial"/>
          <w:sz w:val="17"/>
          <w:szCs w:val="17"/>
          <w:color w:val="auto"/>
        </w:rPr>
      </w:pPr>
      <w:r>
        <w:rPr>
          <w:rFonts w:ascii="Arial" w:cs="Arial" w:eastAsia="Arial" w:hAnsi="Arial"/>
          <w:sz w:val="17"/>
          <w:szCs w:val="17"/>
          <w:color w:val="auto"/>
        </w:rPr>
        <w:t>BACKLOG. Backlog is not material to an understanding of the Company’s business.</w:t>
      </w:r>
    </w:p>
    <w:p>
      <w:pPr>
        <w:spacing w:after="0" w:line="234" w:lineRule="exact"/>
        <w:rPr>
          <w:rFonts w:ascii="Arial" w:cs="Arial" w:eastAsia="Arial" w:hAnsi="Arial"/>
          <w:sz w:val="17"/>
          <w:szCs w:val="17"/>
          <w:color w:val="auto"/>
        </w:rPr>
      </w:pPr>
    </w:p>
    <w:p>
      <w:pPr>
        <w:ind w:left="760" w:right="100" w:firstLine="648"/>
        <w:spacing w:after="0" w:line="296" w:lineRule="auto"/>
        <w:tabs>
          <w:tab w:leader="none" w:pos="2044" w:val="left"/>
        </w:tabs>
        <w:numPr>
          <w:ilvl w:val="1"/>
          <w:numId w:val="4"/>
        </w:numPr>
        <w:rPr>
          <w:rFonts w:ascii="Arial" w:cs="Arial" w:eastAsia="Arial" w:hAnsi="Arial"/>
          <w:sz w:val="17"/>
          <w:szCs w:val="17"/>
          <w:color w:val="auto"/>
        </w:rPr>
      </w:pPr>
      <w:r>
        <w:rPr>
          <w:rFonts w:ascii="Arial" w:cs="Arial" w:eastAsia="Arial" w:hAnsi="Arial"/>
          <w:sz w:val="17"/>
          <w:szCs w:val="17"/>
          <w:color w:val="auto"/>
        </w:rPr>
        <w:t>GOVERNMENT CONTRACTS. No material portion of the Company’s business is subject to renegotiation of profits or termination of contracts at the election of any state or federal governmental subdivision or agency.</w:t>
      </w:r>
    </w:p>
    <w:p>
      <w:pPr>
        <w:spacing w:after="0" w:line="163" w:lineRule="exact"/>
        <w:rPr>
          <w:rFonts w:ascii="Arial" w:cs="Arial" w:eastAsia="Arial" w:hAnsi="Arial"/>
          <w:sz w:val="17"/>
          <w:szCs w:val="17"/>
          <w:color w:val="auto"/>
        </w:rPr>
      </w:pPr>
    </w:p>
    <w:p>
      <w:pPr>
        <w:ind w:left="760" w:right="340" w:firstLine="648"/>
        <w:spacing w:after="0" w:line="280" w:lineRule="auto"/>
        <w:tabs>
          <w:tab w:leader="none" w:pos="2040" w:val="left"/>
        </w:tabs>
        <w:numPr>
          <w:ilvl w:val="1"/>
          <w:numId w:val="4"/>
        </w:numPr>
        <w:rPr>
          <w:rFonts w:ascii="Arial" w:cs="Arial" w:eastAsia="Arial" w:hAnsi="Arial"/>
          <w:sz w:val="17"/>
          <w:szCs w:val="17"/>
          <w:color w:val="auto"/>
        </w:rPr>
      </w:pPr>
      <w:r>
        <w:rPr>
          <w:rFonts w:ascii="Arial" w:cs="Arial" w:eastAsia="Arial" w:hAnsi="Arial"/>
          <w:sz w:val="17"/>
          <w:szCs w:val="17"/>
          <w:color w:val="auto"/>
        </w:rPr>
        <w:t>COMPETITIVE CONDITIONS. The Company operates in a competitive industry and competes with producers, distributors and sales agents offering chemicals equivalent to substantially all of the products handled by the Company. Many such producers and distributors are substantially larger than the Company. No one competitor, however, is dominant in the Company’s market.</w:t>
      </w:r>
    </w:p>
    <w:p>
      <w:pPr>
        <w:spacing w:after="0" w:line="176" w:lineRule="exact"/>
        <w:rPr>
          <w:rFonts w:ascii="Arial" w:cs="Arial" w:eastAsia="Arial" w:hAnsi="Arial"/>
          <w:sz w:val="17"/>
          <w:szCs w:val="17"/>
          <w:color w:val="auto"/>
        </w:rPr>
      </w:pPr>
    </w:p>
    <w:p>
      <w:pPr>
        <w:ind w:left="760" w:right="220" w:firstLine="648"/>
        <w:spacing w:after="0" w:line="329" w:lineRule="auto"/>
        <w:tabs>
          <w:tab w:leader="none" w:pos="2044" w:val="left"/>
        </w:tabs>
        <w:numPr>
          <w:ilvl w:val="1"/>
          <w:numId w:val="4"/>
        </w:numPr>
        <w:rPr>
          <w:rFonts w:ascii="Arial" w:cs="Arial" w:eastAsia="Arial" w:hAnsi="Arial"/>
          <w:sz w:val="16"/>
          <w:szCs w:val="16"/>
          <w:color w:val="auto"/>
        </w:rPr>
      </w:pPr>
      <w:r>
        <w:rPr>
          <w:rFonts w:ascii="Arial" w:cs="Arial" w:eastAsia="Arial" w:hAnsi="Arial"/>
          <w:sz w:val="16"/>
          <w:szCs w:val="16"/>
          <w:color w:val="auto"/>
        </w:rPr>
        <w:t>RESEARCH AND DEVELOPMENT. The Company devotes resources to research and development on a project basis as the need arises. During the fiscal year ended April 1, 2007, expenditures for research and development were not material to the Company’s business.</w:t>
      </w:r>
    </w:p>
    <w:p>
      <w:pPr>
        <w:spacing w:after="0" w:line="140" w:lineRule="exact"/>
        <w:rPr>
          <w:rFonts w:ascii="Arial" w:cs="Arial" w:eastAsia="Arial" w:hAnsi="Arial"/>
          <w:sz w:val="16"/>
          <w:szCs w:val="16"/>
          <w:color w:val="auto"/>
        </w:rPr>
      </w:pPr>
    </w:p>
    <w:p>
      <w:pPr>
        <w:ind w:left="760" w:right="140" w:firstLine="648"/>
        <w:spacing w:after="0" w:line="272" w:lineRule="auto"/>
        <w:tabs>
          <w:tab w:leader="none" w:pos="2049" w:val="left"/>
        </w:tabs>
        <w:numPr>
          <w:ilvl w:val="1"/>
          <w:numId w:val="4"/>
        </w:numPr>
        <w:rPr>
          <w:rFonts w:ascii="Arial" w:cs="Arial" w:eastAsia="Arial" w:hAnsi="Arial"/>
          <w:sz w:val="17"/>
          <w:szCs w:val="17"/>
          <w:color w:val="auto"/>
        </w:rPr>
      </w:pPr>
      <w:r>
        <w:rPr>
          <w:rFonts w:ascii="Arial" w:cs="Arial" w:eastAsia="Arial" w:hAnsi="Arial"/>
          <w:sz w:val="17"/>
          <w:szCs w:val="17"/>
          <w:color w:val="auto"/>
        </w:rPr>
        <w:t>ENVIRONMENTAL MATTERS. The Company is primarily a compounder and distributor, rather than a manufacturer, of chemical products. As such, compliance with current federal, state and local provisions regarding discharge of materials into the environment, or otherwise relating to the protection of the environment, is not anticipated to have any material effects upon the capital expenditures, earnings or competitive position of the Company. The Company does not currently anticipate making any material capital expenditures for environmental control facilities during fiscal 2008.</w:t>
      </w:r>
    </w:p>
    <w:p>
      <w:pPr>
        <w:spacing w:after="0" w:line="182" w:lineRule="exact"/>
        <w:rPr>
          <w:rFonts w:ascii="Arial" w:cs="Arial" w:eastAsia="Arial" w:hAnsi="Arial"/>
          <w:sz w:val="17"/>
          <w:szCs w:val="17"/>
          <w:color w:val="auto"/>
        </w:rPr>
      </w:pPr>
    </w:p>
    <w:p>
      <w:pPr>
        <w:ind w:left="2060" w:hanging="652"/>
        <w:spacing w:after="0"/>
        <w:tabs>
          <w:tab w:leader="none" w:pos="2060" w:val="left"/>
        </w:tabs>
        <w:numPr>
          <w:ilvl w:val="1"/>
          <w:numId w:val="4"/>
        </w:numPr>
        <w:rPr>
          <w:rFonts w:ascii="Arial" w:cs="Arial" w:eastAsia="Arial" w:hAnsi="Arial"/>
          <w:sz w:val="17"/>
          <w:szCs w:val="17"/>
          <w:color w:val="auto"/>
        </w:rPr>
      </w:pPr>
      <w:r>
        <w:rPr>
          <w:rFonts w:ascii="Arial" w:cs="Arial" w:eastAsia="Arial" w:hAnsi="Arial"/>
          <w:sz w:val="17"/>
          <w:szCs w:val="17"/>
          <w:color w:val="auto"/>
        </w:rPr>
        <w:t>EMPLOYEES. The Company had 243 employees as of April 1, 2007.</w:t>
      </w:r>
    </w:p>
    <w:p>
      <w:pPr>
        <w:spacing w:after="0" w:line="234" w:lineRule="exact"/>
        <w:rPr>
          <w:rFonts w:ascii="Arial" w:cs="Arial" w:eastAsia="Arial" w:hAnsi="Arial"/>
          <w:sz w:val="17"/>
          <w:szCs w:val="17"/>
          <w:color w:val="auto"/>
        </w:rPr>
      </w:pPr>
    </w:p>
    <w:p>
      <w:pPr>
        <w:ind w:right="40" w:firstLine="692"/>
        <w:spacing w:after="0" w:line="280" w:lineRule="auto"/>
        <w:tabs>
          <w:tab w:leader="none" w:pos="1631" w:val="left"/>
        </w:tabs>
        <w:numPr>
          <w:ilvl w:val="0"/>
          <w:numId w:val="5"/>
        </w:numPr>
        <w:rPr>
          <w:rFonts w:ascii="Arial" w:cs="Arial" w:eastAsia="Arial" w:hAnsi="Arial"/>
          <w:sz w:val="17"/>
          <w:szCs w:val="17"/>
          <w:color w:val="auto"/>
        </w:rPr>
      </w:pPr>
      <w:r>
        <w:rPr>
          <w:rFonts w:ascii="Arial" w:cs="Arial" w:eastAsia="Arial" w:hAnsi="Arial"/>
          <w:sz w:val="17"/>
          <w:szCs w:val="17"/>
          <w:color w:val="auto"/>
        </w:rPr>
        <w:t>FINANCIAL INFORMATION ABOUT FOREIGN AND DOMESTIC OPERATIONS AND EXPORT SALES. Because the Company deals primarily in one geographic area of the United States, a breakdown of sales, profitability or assets attributable to different geographic areas is not meaningful to an understanding of the Company’s business.</w:t>
      </w:r>
    </w:p>
    <w:p>
      <w:pPr>
        <w:spacing w:after="0" w:line="176" w:lineRule="exact"/>
        <w:rPr>
          <w:rFonts w:ascii="Arial" w:cs="Arial" w:eastAsia="Arial" w:hAnsi="Arial"/>
          <w:sz w:val="17"/>
          <w:szCs w:val="17"/>
          <w:color w:val="auto"/>
        </w:rPr>
      </w:pPr>
    </w:p>
    <w:p>
      <w:pPr>
        <w:ind w:right="180" w:firstLine="692"/>
        <w:spacing w:after="0" w:line="292" w:lineRule="auto"/>
        <w:tabs>
          <w:tab w:leader="none" w:pos="1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AVAILABLE INFORMATION. We have made available, free of charge, through our Internet website (http:// www.hawkinsinc.com) our Annual Reports on Form 10-K, Quarterly Reports on Form 10-Q, Current Reports on Form 8-K, and if applicable, amendments to those reports, as soon as reasonably practicable after we electronically file such materials with, or furnish them to, the Securities and Exchange Commission.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ITEM 1A.</w:t>
      </w:r>
      <w:r>
        <w:rPr>
          <w:sz w:val="20"/>
          <w:szCs w:val="20"/>
          <w:color w:val="auto"/>
        </w:rPr>
        <w:tab/>
      </w:r>
      <w:r>
        <w:rPr>
          <w:rFonts w:ascii="Arial" w:cs="Arial" w:eastAsia="Arial" w:hAnsi="Arial"/>
          <w:sz w:val="20"/>
          <w:szCs w:val="20"/>
          <w:color w:val="auto"/>
        </w:rPr>
        <w:t>RISK FACTORS</w:t>
      </w:r>
    </w:p>
    <w:p>
      <w:pPr>
        <w:spacing w:after="0" w:line="217" w:lineRule="exact"/>
        <w:rPr>
          <w:sz w:val="20"/>
          <w:szCs w:val="20"/>
          <w:color w:val="auto"/>
        </w:rPr>
      </w:pPr>
    </w:p>
    <w:p>
      <w:pPr>
        <w:ind w:right="120" w:firstLine="685"/>
        <w:spacing w:after="0" w:line="296" w:lineRule="auto"/>
        <w:rPr>
          <w:sz w:val="20"/>
          <w:szCs w:val="20"/>
          <w:color w:val="auto"/>
        </w:rPr>
      </w:pPr>
      <w:r>
        <w:rPr>
          <w:rFonts w:ascii="Arial" w:cs="Arial" w:eastAsia="Arial" w:hAnsi="Arial"/>
          <w:sz w:val="17"/>
          <w:szCs w:val="17"/>
          <w:i w:val="1"/>
          <w:iCs w:val="1"/>
          <w:color w:val="auto"/>
        </w:rPr>
        <w:t>You should consider carefully the following risks when reading the information, including the financial information, contained in this Annual Report on Form 10-K.</w:t>
      </w:r>
    </w:p>
    <w:p>
      <w:pPr>
        <w:spacing w:after="0" w:line="163" w:lineRule="exact"/>
        <w:rPr>
          <w:sz w:val="20"/>
          <w:szCs w:val="20"/>
          <w:color w:val="auto"/>
        </w:rPr>
      </w:pPr>
    </w:p>
    <w:p>
      <w:pPr>
        <w:ind w:right="400" w:firstLine="685"/>
        <w:spacing w:after="0" w:line="296" w:lineRule="auto"/>
        <w:rPr>
          <w:sz w:val="20"/>
          <w:szCs w:val="20"/>
          <w:color w:val="auto"/>
        </w:rPr>
      </w:pPr>
      <w:r>
        <w:rPr>
          <w:rFonts w:ascii="Arial" w:cs="Arial" w:eastAsia="Arial" w:hAnsi="Arial"/>
          <w:sz w:val="17"/>
          <w:szCs w:val="17"/>
          <w:b w:val="1"/>
          <w:bCs w:val="1"/>
          <w:i w:val="1"/>
          <w:iCs w:val="1"/>
          <w:color w:val="auto"/>
        </w:rPr>
        <w:t>Our inability to pass through increases in costs and expenses for raw materials and energy, on a timely basis or at all, and the cyclical nature of commodity chemical prices, could have a material adverse effect on the margins of our products.</w:t>
      </w:r>
    </w:p>
    <w:p>
      <w:pPr>
        <w:spacing w:after="0" w:line="42" w:lineRule="exact"/>
        <w:rPr>
          <w:sz w:val="20"/>
          <w:szCs w:val="20"/>
          <w:color w:val="auto"/>
        </w:rPr>
      </w:pPr>
    </w:p>
    <w:p>
      <w:pPr>
        <w:ind w:right="100" w:firstLine="685"/>
        <w:spacing w:after="0" w:line="296" w:lineRule="auto"/>
        <w:rPr>
          <w:sz w:val="20"/>
          <w:szCs w:val="20"/>
          <w:color w:val="auto"/>
        </w:rPr>
      </w:pPr>
      <w:r>
        <w:rPr>
          <w:rFonts w:ascii="Arial" w:cs="Arial" w:eastAsia="Arial" w:hAnsi="Arial"/>
          <w:sz w:val="16"/>
          <w:szCs w:val="16"/>
          <w:color w:val="auto"/>
        </w:rPr>
        <w:t>Periodically, we experience significant increases in the cost of raw materials. We generally attempt to pass changes in the prices of raw materials and energy to our customers, but we may be unable to or be delayed in doing so. Our inability to pass through price increases or any limitation or delay in our passing through price increases could adversely affect our profit margins. In addition to raising prices, raw material suppliers may extend lead times or limit supplies. Constraints on the supply or delivery of critical raw materials could disrupt our operations and adversely affect the performance of our business.</w:t>
      </w:r>
    </w:p>
    <w:p>
      <w:pPr>
        <w:spacing w:after="0" w:line="33" w:lineRule="exact"/>
        <w:rPr>
          <w:sz w:val="20"/>
          <w:szCs w:val="20"/>
          <w:color w:val="auto"/>
        </w:rPr>
      </w:pPr>
    </w:p>
    <w:p>
      <w:pPr>
        <w:ind w:right="60" w:firstLine="685"/>
        <w:spacing w:after="0" w:line="274" w:lineRule="auto"/>
        <w:rPr>
          <w:sz w:val="20"/>
          <w:szCs w:val="20"/>
          <w:color w:val="auto"/>
        </w:rPr>
      </w:pPr>
      <w:r>
        <w:rPr>
          <w:rFonts w:ascii="Arial" w:cs="Arial" w:eastAsia="Arial" w:hAnsi="Arial"/>
          <w:sz w:val="17"/>
          <w:szCs w:val="17"/>
          <w:color w:val="auto"/>
        </w:rPr>
        <w:t>Additionally, our profit margins may be reduced due to the cyclical nature of commodity chemical prices. The cyclicality of commodity chemical markets, such as caustic soda, primarily results from changes in the balance between supply and demand and the level of general economic activity. The Company cannot predict with any certainty whether the markets for its commodity chemicals will favorably impact the Company’s operations or whether the Company will experience losses due to excess production resulting in oversupply and lower prices.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We face competition from other chemical companies, which places downward pressure on the prices and margins of our products.</w:t>
      </w:r>
    </w:p>
    <w:p>
      <w:pPr>
        <w:spacing w:after="0" w:line="114" w:lineRule="exact"/>
        <w:rPr>
          <w:sz w:val="20"/>
          <w:szCs w:val="20"/>
          <w:color w:val="auto"/>
        </w:rPr>
      </w:pPr>
    </w:p>
    <w:p>
      <w:pPr>
        <w:ind w:firstLine="685"/>
        <w:spacing w:after="0" w:line="286" w:lineRule="auto"/>
        <w:rPr>
          <w:sz w:val="20"/>
          <w:szCs w:val="20"/>
          <w:color w:val="auto"/>
        </w:rPr>
      </w:pPr>
      <w:r>
        <w:rPr>
          <w:rFonts w:ascii="Arial" w:cs="Arial" w:eastAsia="Arial" w:hAnsi="Arial"/>
          <w:sz w:val="16"/>
          <w:szCs w:val="16"/>
          <w:color w:val="auto"/>
        </w:rPr>
        <w:t>We operate in a highly competitive marketplace, competing primarily against a number of chemical companies. Competition is based on several key criteria, including product performance and quality, product price, product availability and security of supply, responsiveness of product development in cooperation with customers and customer service. Many of our competitors are larger than we are and may have greater financial resources. These competitors may also be able to maintain significantly greater operating and financial flexibility than we do. As a result, these competitors may be better able to withstand changes in conditions within our industry, changes in the prices of raw materials and energy, and changes in general economic conditions. Additionally, competitors’ pricing decisions could compel us to decrease our prices, which could adversely affect our margins and profitability. Our ability to maintain or increase our profitability is, and will continue to be, dependent upon our ability to offset decreases in the prices and margins of our products by improving production efficiency and volume, shifting to higher margin chemical products and improving existing products through innovation and research and development. If we are unable to do so or to otherwise maintain our competitive position, we could lose market share to our competitors.</w:t>
      </w:r>
    </w:p>
    <w:p>
      <w:pPr>
        <w:spacing w:after="0" w:line="43" w:lineRule="exact"/>
        <w:rPr>
          <w:sz w:val="20"/>
          <w:szCs w:val="20"/>
          <w:color w:val="auto"/>
        </w:rPr>
      </w:pPr>
    </w:p>
    <w:p>
      <w:pPr>
        <w:ind w:right="360" w:firstLine="685"/>
        <w:spacing w:after="0" w:line="296" w:lineRule="auto"/>
        <w:rPr>
          <w:sz w:val="20"/>
          <w:szCs w:val="20"/>
          <w:color w:val="auto"/>
        </w:rPr>
      </w:pPr>
      <w:r>
        <w:rPr>
          <w:rFonts w:ascii="Arial" w:cs="Arial" w:eastAsia="Arial" w:hAnsi="Arial"/>
          <w:sz w:val="17"/>
          <w:szCs w:val="17"/>
          <w:b w:val="1"/>
          <w:bCs w:val="1"/>
          <w:i w:val="1"/>
          <w:iCs w:val="1"/>
          <w:color w:val="auto"/>
        </w:rPr>
        <w:t>Our business, and in particular our Water Treatment segment, is subject to seasonality and weather conditions, which could adversely affect our results of operations.</w:t>
      </w:r>
    </w:p>
    <w:p>
      <w:pPr>
        <w:spacing w:after="0" w:line="42" w:lineRule="exact"/>
        <w:rPr>
          <w:sz w:val="20"/>
          <w:szCs w:val="20"/>
          <w:color w:val="auto"/>
        </w:rPr>
      </w:pPr>
    </w:p>
    <w:p>
      <w:pPr>
        <w:ind w:right="160" w:firstLine="685"/>
        <w:spacing w:after="0" w:line="280" w:lineRule="auto"/>
        <w:rPr>
          <w:sz w:val="20"/>
          <w:szCs w:val="20"/>
          <w:color w:val="auto"/>
        </w:rPr>
      </w:pPr>
      <w:r>
        <w:rPr>
          <w:rFonts w:ascii="Arial" w:cs="Arial" w:eastAsia="Arial" w:hAnsi="Arial"/>
          <w:sz w:val="17"/>
          <w:szCs w:val="17"/>
          <w:color w:val="auto"/>
        </w:rPr>
        <w:t>The Water Treatment segment of our business is seasonal, as higher sales are incurred from April through September due to increased water usage. Demand is affected by weather conditions as either higher or lower than normal precipitation may affect usage. We cannot assure you that seasonality or weather conditions will not have a material adverse affect on our results of operations and financial condition.</w:t>
      </w:r>
    </w:p>
    <w:p>
      <w:pPr>
        <w:spacing w:after="0" w:line="55" w:lineRule="exact"/>
        <w:rPr>
          <w:sz w:val="20"/>
          <w:szCs w:val="20"/>
          <w:color w:val="auto"/>
        </w:rPr>
      </w:pPr>
    </w:p>
    <w:p>
      <w:pPr>
        <w:ind w:right="700" w:firstLine="685"/>
        <w:spacing w:after="0" w:line="296" w:lineRule="auto"/>
        <w:rPr>
          <w:sz w:val="20"/>
          <w:szCs w:val="20"/>
          <w:color w:val="auto"/>
        </w:rPr>
      </w:pPr>
      <w:r>
        <w:rPr>
          <w:rFonts w:ascii="Arial" w:cs="Arial" w:eastAsia="Arial" w:hAnsi="Arial"/>
          <w:sz w:val="17"/>
          <w:szCs w:val="17"/>
          <w:b w:val="1"/>
          <w:bCs w:val="1"/>
          <w:i w:val="1"/>
          <w:iCs w:val="1"/>
          <w:color w:val="auto"/>
        </w:rPr>
        <w:t>Costs and difficulties in connection with our new enterprise resource planning system could have a material adverse effect on our results of operations.</w:t>
      </w:r>
    </w:p>
    <w:p>
      <w:pPr>
        <w:sectPr>
          <w:pgSz w:w="11900" w:h="16838" w:orient="portrait"/>
          <w:cols w:equalWidth="0" w:num="1">
            <w:col w:w="11420"/>
          </w:cols>
          <w:pgMar w:left="240" w:top="131" w:right="239" w:bottom="67" w:gutter="0" w:footer="0" w:header="0"/>
        </w:sectPr>
      </w:pPr>
    </w:p>
    <w:bookmarkStart w:id="3" w:name="page4"/>
    <w:bookmarkEnd w:id="3"/>
    <w:p>
      <w:pPr>
        <w:ind w:right="160" w:firstLine="685"/>
        <w:spacing w:after="0" w:line="287" w:lineRule="auto"/>
        <w:rPr>
          <w:sz w:val="20"/>
          <w:szCs w:val="20"/>
          <w:color w:val="auto"/>
        </w:rPr>
      </w:pPr>
      <w:r>
        <w:rPr>
          <w:rFonts w:ascii="Arial" w:cs="Arial" w:eastAsia="Arial" w:hAnsi="Arial"/>
          <w:sz w:val="16"/>
          <w:szCs w:val="16"/>
          <w:color w:val="auto"/>
        </w:rPr>
        <w:t>We implemented a new enterprise resource planning (ERP) system in October 2006. We are still completing the implementation of the ERP system throughout our company and have experienced some delays, extra costs and inefficiency. Because ERP systems are highly complex, implementation and the transition to the new system has resulted in additional unexpected costs and difficulties. For instance, as a result of the implementation there were significant changes in our internal controls, processes and procedures during the fiscal year ended April 1, 2007. To address these changes, we modified ongoing processes and controls during the implementation period. These modifications included putting in place a number of manual controls and procedures as management could not test or rely on certain of the internal controls that are part of the ERP system. Management is in the process of planning and implementing actions to replace the majority of these manual controls and procedures with automated controls. As a result of the issues described above, we were not able to file our 10-Q report for the quarter ended December 31, 2006 by the filing deadline specified in the SEC’s rules and forms.</w:t>
      </w:r>
    </w:p>
    <w:p>
      <w:pPr>
        <w:spacing w:after="0" w:line="176" w:lineRule="exact"/>
        <w:rPr>
          <w:sz w:val="20"/>
          <w:szCs w:val="20"/>
          <w:color w:val="auto"/>
        </w:rPr>
      </w:pPr>
    </w:p>
    <w:p>
      <w:pPr>
        <w:ind w:firstLine="685"/>
        <w:spacing w:after="0" w:line="274" w:lineRule="auto"/>
        <w:rPr>
          <w:sz w:val="20"/>
          <w:szCs w:val="20"/>
          <w:color w:val="auto"/>
        </w:rPr>
      </w:pPr>
      <w:r>
        <w:rPr>
          <w:rFonts w:ascii="Arial" w:cs="Arial" w:eastAsia="Arial" w:hAnsi="Arial"/>
          <w:sz w:val="17"/>
          <w:szCs w:val="17"/>
          <w:color w:val="auto"/>
        </w:rPr>
        <w:t>Additional future difficulties in the implementation of our new ERP system, including failure or inefficient operation of the new system, could impair our ability to access certain business and financial information. In addition, we may continue to experience difficulties in the transition to our new ERP system that could affect our internal control systems, processes and procedures. Should we experience such difficulties as a result of our new ERP system, our business, financial condition and results of operations could be materially adversely affected.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00" w:firstLine="685"/>
        <w:spacing w:after="0" w:line="296" w:lineRule="auto"/>
        <w:rPr>
          <w:sz w:val="20"/>
          <w:szCs w:val="20"/>
          <w:color w:val="auto"/>
        </w:rPr>
      </w:pPr>
      <w:r>
        <w:rPr>
          <w:rFonts w:ascii="Arial" w:cs="Arial" w:eastAsia="Arial" w:hAnsi="Arial"/>
          <w:sz w:val="17"/>
          <w:szCs w:val="17"/>
          <w:b w:val="1"/>
          <w:bCs w:val="1"/>
          <w:i w:val="1"/>
          <w:iCs w:val="1"/>
          <w:color w:val="auto"/>
        </w:rPr>
        <w:t>Our business is subject to hazards common to chemical businesses, any of which could interrupt our production and adversely affect our results of operations.</w:t>
      </w:r>
    </w:p>
    <w:p>
      <w:pPr>
        <w:spacing w:after="0" w:line="42" w:lineRule="exact"/>
        <w:rPr>
          <w:sz w:val="20"/>
          <w:szCs w:val="20"/>
          <w:color w:val="auto"/>
        </w:rPr>
      </w:pPr>
    </w:p>
    <w:p>
      <w:pPr>
        <w:ind w:right="40" w:firstLine="685"/>
        <w:spacing w:after="0" w:line="290" w:lineRule="auto"/>
        <w:rPr>
          <w:sz w:val="20"/>
          <w:szCs w:val="20"/>
          <w:color w:val="auto"/>
        </w:rPr>
      </w:pPr>
      <w:r>
        <w:rPr>
          <w:rFonts w:ascii="Arial" w:cs="Arial" w:eastAsia="Arial" w:hAnsi="Arial"/>
          <w:sz w:val="16"/>
          <w:szCs w:val="16"/>
          <w:color w:val="auto"/>
        </w:rPr>
        <w:t>Our business is subject to hazards common to chemical manufacturing, storage, handling and transportation, including explosions, fires, inclement weather, natural disasters, mechanical failure, unscheduled downtime, transportation interruptions, remediation, chemical spills, discharges or releases of toxic or hazardous substances or gases and other risks. These hazards can cause personal injury and loss of life, severe damage to or destruction of property and equipment, and environmental contamination. In addition, the occurrence of material operating problems at our facilities due to any of these hazards may diminish our ability to meet our output goals. Accordingly, these hazards and their consequences could have a material adverse effect on our operations as a whole, including our results of operations and cash flows, both during and after the period of operational difficulties.</w:t>
      </w:r>
    </w:p>
    <w:p>
      <w:pPr>
        <w:spacing w:after="0" w:line="37" w:lineRule="exact"/>
        <w:rPr>
          <w:sz w:val="20"/>
          <w:szCs w:val="20"/>
          <w:color w:val="auto"/>
        </w:rPr>
      </w:pPr>
    </w:p>
    <w:p>
      <w:pPr>
        <w:ind w:left="700"/>
        <w:spacing w:after="0"/>
        <w:rPr>
          <w:sz w:val="20"/>
          <w:szCs w:val="20"/>
          <w:color w:val="auto"/>
        </w:rPr>
      </w:pPr>
      <w:r>
        <w:rPr>
          <w:rFonts w:ascii="Arial" w:cs="Arial" w:eastAsia="Arial" w:hAnsi="Arial"/>
          <w:sz w:val="15"/>
          <w:szCs w:val="15"/>
          <w:b w:val="1"/>
          <w:bCs w:val="1"/>
          <w:i w:val="1"/>
          <w:iCs w:val="1"/>
          <w:color w:val="auto"/>
        </w:rPr>
        <w:t>Our business is subject to risks stemming from natural disasters, which could interrupt our production and adversely affect our results of operations.</w:t>
      </w:r>
    </w:p>
    <w:p>
      <w:pPr>
        <w:spacing w:after="0" w:line="137" w:lineRule="exact"/>
        <w:rPr>
          <w:sz w:val="20"/>
          <w:szCs w:val="20"/>
          <w:color w:val="auto"/>
        </w:rPr>
      </w:pPr>
    </w:p>
    <w:p>
      <w:pPr>
        <w:ind w:right="60" w:firstLine="685"/>
        <w:spacing w:after="0" w:line="296" w:lineRule="auto"/>
        <w:rPr>
          <w:sz w:val="20"/>
          <w:szCs w:val="20"/>
          <w:color w:val="auto"/>
        </w:rPr>
      </w:pPr>
      <w:r>
        <w:rPr>
          <w:rFonts w:ascii="Arial" w:cs="Arial" w:eastAsia="Arial" w:hAnsi="Arial"/>
          <w:sz w:val="16"/>
          <w:szCs w:val="16"/>
          <w:color w:val="auto"/>
        </w:rPr>
        <w:t>Natural disasters have the potential of interrupting our operations and damaging our properties, which could adversely affect our business. Since 1963, flooding of the Mississippi River has required the Company’s terminal operations to be temporarily shifted out of its buildings four times, the most recent being in the spring of 2001. This had a negative impact on earnings in the third quarter of fiscal 2001 of approximately $200,000. No assurance can be given that flooding will not recur or that there will not be material damage or interruption to the Company’s operations in the future from flooding.</w:t>
      </w:r>
    </w:p>
    <w:p>
      <w:pPr>
        <w:spacing w:after="0" w:line="47"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Downturns in our customers’ cyclical industries could adversely affect our sales and profitability.</w:t>
      </w:r>
    </w:p>
    <w:p>
      <w:pPr>
        <w:spacing w:after="0" w:line="100" w:lineRule="exact"/>
        <w:rPr>
          <w:sz w:val="20"/>
          <w:szCs w:val="20"/>
          <w:color w:val="auto"/>
        </w:rPr>
      </w:pPr>
    </w:p>
    <w:p>
      <w:pPr>
        <w:ind w:right="20" w:firstLine="685"/>
        <w:spacing w:after="0" w:line="274" w:lineRule="auto"/>
        <w:rPr>
          <w:sz w:val="20"/>
          <w:szCs w:val="20"/>
          <w:color w:val="auto"/>
        </w:rPr>
      </w:pPr>
      <w:r>
        <w:rPr>
          <w:rFonts w:ascii="Arial" w:cs="Arial" w:eastAsia="Arial" w:hAnsi="Arial"/>
          <w:sz w:val="17"/>
          <w:szCs w:val="17"/>
          <w:color w:val="auto"/>
        </w:rPr>
        <w:t>Downturns in the businesses that use our chemicals will adversely affect our sales. Many of our customers are in industries that are cyclical in nature and sensitive to changes in general economic conditions. Historically, downturns in general economic conditions have resulted in diminished product demand and lower average selling prices, and we may experience similar problems in the future. A decline in economic conditions in our customers’ cyclical industries may have a material adverse effect on our sales and profitability.</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Changes in our customers’ products can reduce the demand for our chemicals.</w:t>
      </w:r>
    </w:p>
    <w:p>
      <w:pPr>
        <w:spacing w:after="0" w:line="114" w:lineRule="exact"/>
        <w:rPr>
          <w:sz w:val="20"/>
          <w:szCs w:val="20"/>
          <w:color w:val="auto"/>
        </w:rPr>
      </w:pPr>
    </w:p>
    <w:p>
      <w:pPr>
        <w:ind w:right="140" w:firstLine="685"/>
        <w:spacing w:after="0" w:line="333" w:lineRule="auto"/>
        <w:rPr>
          <w:sz w:val="20"/>
          <w:szCs w:val="20"/>
          <w:color w:val="auto"/>
        </w:rPr>
      </w:pPr>
      <w:r>
        <w:rPr>
          <w:rFonts w:ascii="Arial" w:cs="Arial" w:eastAsia="Arial" w:hAnsi="Arial"/>
          <w:sz w:val="15"/>
          <w:szCs w:val="15"/>
          <w:color w:val="auto"/>
        </w:rPr>
        <w:t>Our chemicals are used for a broad range of applications by our customers. Changes in our customers’ products or processes may enable our customers to reduce consumption of the chemicals that we provide or make our chemicals unnecessary. Customers may also find alternative materials or processes that no longer require our products. Consequently, it is important that we develop new products to replace the sales of products that mature and decline in use.</w:t>
      </w:r>
    </w:p>
    <w:p>
      <w:pPr>
        <w:spacing w:after="0" w:line="8"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We incur substantial costs in order to comply with extensive environmental, health and safety laws and regulations.</w:t>
      </w:r>
    </w:p>
    <w:p>
      <w:pPr>
        <w:spacing w:after="0" w:line="114" w:lineRule="exact"/>
        <w:rPr>
          <w:sz w:val="20"/>
          <w:szCs w:val="20"/>
          <w:color w:val="auto"/>
        </w:rPr>
      </w:pPr>
    </w:p>
    <w:p>
      <w:pPr>
        <w:ind w:right="400" w:firstLine="685"/>
        <w:spacing w:after="0" w:line="272" w:lineRule="auto"/>
        <w:rPr>
          <w:sz w:val="20"/>
          <w:szCs w:val="20"/>
          <w:color w:val="auto"/>
        </w:rPr>
      </w:pPr>
      <w:r>
        <w:rPr>
          <w:rFonts w:ascii="Arial" w:cs="Arial" w:eastAsia="Arial" w:hAnsi="Arial"/>
          <w:sz w:val="17"/>
          <w:szCs w:val="17"/>
          <w:color w:val="auto"/>
        </w:rPr>
        <w:t>In the jurisdictions in which we operate, we are subject to numerous federal, state and local environmental, health and safety laws and regulations, including those governing the discharge of pollutants into the air and water, and the management and disposal of hazardous substances and wastes. Ongoing compliance with such laws and regulations is an important consideration for us and we incur substantial capital and operating costs in our compliance efforts. Governmental laws have become increasingly strict in recent years. We expect this trend to continue and anticipate that compliance will continue to require increased capital expenditures and operating costs.</w:t>
      </w:r>
    </w:p>
    <w:p>
      <w:pPr>
        <w:spacing w:after="0" w:line="62" w:lineRule="exact"/>
        <w:rPr>
          <w:sz w:val="20"/>
          <w:szCs w:val="20"/>
          <w:color w:val="auto"/>
        </w:rPr>
      </w:pPr>
    </w:p>
    <w:p>
      <w:pPr>
        <w:ind w:right="400" w:firstLine="685"/>
        <w:spacing w:after="0" w:line="296" w:lineRule="auto"/>
        <w:rPr>
          <w:sz w:val="20"/>
          <w:szCs w:val="20"/>
          <w:color w:val="auto"/>
        </w:rPr>
      </w:pPr>
      <w:r>
        <w:rPr>
          <w:rFonts w:ascii="Arial" w:cs="Arial" w:eastAsia="Arial" w:hAnsi="Arial"/>
          <w:sz w:val="17"/>
          <w:szCs w:val="17"/>
          <w:b w:val="1"/>
          <w:bCs w:val="1"/>
          <w:i w:val="1"/>
          <w:iCs w:val="1"/>
          <w:color w:val="auto"/>
        </w:rPr>
        <w:t>Violations of environmental, health and safety laws and regulations may subject us to fines, penalties and other liabilities and may require us to change certain business practices.</w:t>
      </w:r>
    </w:p>
    <w:p>
      <w:pPr>
        <w:spacing w:after="0" w:line="29" w:lineRule="exact"/>
        <w:rPr>
          <w:sz w:val="20"/>
          <w:szCs w:val="20"/>
          <w:color w:val="auto"/>
        </w:rPr>
      </w:pPr>
    </w:p>
    <w:p>
      <w:pPr>
        <w:ind w:right="80" w:firstLine="685"/>
        <w:spacing w:after="0" w:line="285" w:lineRule="auto"/>
        <w:rPr>
          <w:sz w:val="20"/>
          <w:szCs w:val="20"/>
          <w:color w:val="auto"/>
        </w:rPr>
      </w:pPr>
      <w:r>
        <w:rPr>
          <w:rFonts w:ascii="Arial" w:cs="Arial" w:eastAsia="Arial" w:hAnsi="Arial"/>
          <w:sz w:val="16"/>
          <w:szCs w:val="16"/>
          <w:color w:val="auto"/>
        </w:rPr>
        <w:t>If we violate environmental, health and safety laws or regulations, in addition to being required to correct such violations, we can be held liable in administrative, civil or criminal proceedings for substantial fines and other sanctions could be imposed that could disrupt or limit our operations. Liabilities associated with the investigation and cleanup of hazardous substances, as well as personal injury, property damages or natural resource damages arising out of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may also be imposed on many different entities with a relationship to the hazardous substances at issue, including, for example, entities that formerly owned or operated the property affected and entities that arranged for the disposal of the hazardous substances at the affected property, as well as entities that currently own or operate such property. Such liabilities can be difficult to identify and the extent of any such liabilities can be difficult to predict. We use, and in the past have used, hazardous substances at many of our facilities, and we have in the past, and may in the future, be subject to claims relating to exposure to hazardous materials and the associated liabilities may be material. We also have generated, and continue to generate, hazardous wastes at a number of our facilities. The nature of our business exposes us to risks of liability under these laws and regulations due to the production, storage, use, transportation and sale of materials that can cause contamination or personal injury if released into the environment.</w:t>
      </w:r>
    </w:p>
    <w:p>
      <w:pPr>
        <w:spacing w:after="0" w:line="53" w:lineRule="exact"/>
        <w:rPr>
          <w:sz w:val="20"/>
          <w:szCs w:val="20"/>
          <w:color w:val="auto"/>
        </w:rPr>
      </w:pPr>
    </w:p>
    <w:p>
      <w:pPr>
        <w:ind w:right="200" w:firstLine="685"/>
        <w:spacing w:after="0" w:line="296" w:lineRule="auto"/>
        <w:rPr>
          <w:sz w:val="20"/>
          <w:szCs w:val="20"/>
          <w:color w:val="auto"/>
        </w:rPr>
      </w:pPr>
      <w:r>
        <w:rPr>
          <w:rFonts w:ascii="Arial" w:cs="Arial" w:eastAsia="Arial" w:hAnsi="Arial"/>
          <w:sz w:val="17"/>
          <w:szCs w:val="17"/>
          <w:b w:val="1"/>
          <w:bCs w:val="1"/>
          <w:i w:val="1"/>
          <w:iCs w:val="1"/>
          <w:color w:val="auto"/>
        </w:rPr>
        <w:t>We could be subject to damages based on claims brought against us by our customers or lose customers as a result of the failure of our products to meet certain quality specifications.</w:t>
      </w:r>
    </w:p>
    <w:p>
      <w:pPr>
        <w:spacing w:after="0" w:line="42" w:lineRule="exact"/>
        <w:rPr>
          <w:sz w:val="20"/>
          <w:szCs w:val="20"/>
          <w:color w:val="auto"/>
        </w:rPr>
      </w:pPr>
    </w:p>
    <w:p>
      <w:pPr>
        <w:ind w:firstLine="685"/>
        <w:spacing w:after="0" w:line="274" w:lineRule="auto"/>
        <w:rPr>
          <w:sz w:val="20"/>
          <w:szCs w:val="20"/>
          <w:color w:val="auto"/>
        </w:rPr>
      </w:pPr>
      <w:r>
        <w:rPr>
          <w:rFonts w:ascii="Arial" w:cs="Arial" w:eastAsia="Arial" w:hAnsi="Arial"/>
          <w:sz w:val="17"/>
          <w:szCs w:val="17"/>
          <w:color w:val="auto"/>
        </w:rPr>
        <w:t>Our products provide important performance attributes to our customers’ products. If a product fails to perform in a manner consistent with quality specifications or has a shorter useful life than guaranteed, a customer could seek replacement of the product or damages for costs incurred as a result of the product failing to perform as expected. A successful claim or series of claims against us could have a material adverse effect on our financial condition and results of operations and could result in a loss of one or more customers.</w:t>
      </w:r>
    </w:p>
    <w:p>
      <w:pPr>
        <w:sectPr>
          <w:pgSz w:w="11900" w:h="16838" w:orient="portrait"/>
          <w:cols w:equalWidth="0" w:num="1">
            <w:col w:w="11420"/>
          </w:cols>
          <w:pgMar w:left="240" w:top="131" w:right="239" w:bottom="296"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252095</wp:posOffset>
            </wp:positionV>
            <wp:extent cx="725106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ectPr>
          <w:pgSz w:w="11900" w:h="16838" w:orient="portrait"/>
          <w:cols w:equalWidth="0" w:num="1">
            <w:col w:w="11420"/>
          </w:cols>
          <w:pgMar w:left="240" w:top="131" w:right="239" w:bottom="296" w:gutter="0" w:footer="0" w:header="0"/>
          <w:type w:val="continuous"/>
        </w:sectPr>
      </w:pPr>
    </w:p>
    <w:bookmarkStart w:id="4" w:name="page5"/>
    <w:bookmarkEnd w:id="4"/>
    <w:p>
      <w:pPr>
        <w:ind w:left="700"/>
        <w:spacing w:after="0"/>
        <w:rPr>
          <w:sz w:val="20"/>
          <w:szCs w:val="20"/>
          <w:color w:val="auto"/>
        </w:rPr>
      </w:pPr>
      <w:r>
        <w:rPr>
          <w:rFonts w:ascii="Arial" w:cs="Arial" w:eastAsia="Arial" w:hAnsi="Arial"/>
          <w:sz w:val="17"/>
          <w:szCs w:val="17"/>
          <w:b w:val="1"/>
          <w:bCs w:val="1"/>
          <w:i w:val="1"/>
          <w:iCs w:val="1"/>
          <w:color w:val="auto"/>
        </w:rPr>
        <w:t>The insurance that we maintain may not fully cover all potential exposures.</w:t>
      </w:r>
    </w:p>
    <w:p>
      <w:pPr>
        <w:spacing w:after="0" w:line="100" w:lineRule="exact"/>
        <w:rPr>
          <w:sz w:val="20"/>
          <w:szCs w:val="20"/>
          <w:color w:val="auto"/>
        </w:rPr>
      </w:pPr>
    </w:p>
    <w:p>
      <w:pPr>
        <w:ind w:firstLine="685"/>
        <w:spacing w:after="0" w:line="272" w:lineRule="auto"/>
        <w:rPr>
          <w:sz w:val="20"/>
          <w:szCs w:val="20"/>
          <w:color w:val="auto"/>
        </w:rPr>
      </w:pPr>
      <w:r>
        <w:rPr>
          <w:rFonts w:ascii="Arial" w:cs="Arial" w:eastAsia="Arial" w:hAnsi="Arial"/>
          <w:sz w:val="17"/>
          <w:szCs w:val="17"/>
          <w:color w:val="auto"/>
        </w:rPr>
        <w:t>We maintain property, business interruption and casualty insurance but such insurance may not cover all risks associated with the hazards of our business and is subject to limitations, including deductibles and maximum liabilities covered. We may incur losses beyond the limits, or outside the coverage, of our insurance policies, including liabilities for environmental remediation. In addition, from time to time, various types of insurance for companies in the specialty chemical industry have not been available on commercially acceptable terms or, in some cases, have not been available at all. In the future, we may not be able to obtain coverage at current levels, and our premiums may increase significantly on coverage that we maintain.</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If we are unable to retain key personnel or attract new skilled personnel, it could have an adverse effect on our business.</w:t>
      </w:r>
    </w:p>
    <w:p>
      <w:pPr>
        <w:spacing w:after="0" w:line="114" w:lineRule="exact"/>
        <w:rPr>
          <w:sz w:val="20"/>
          <w:szCs w:val="20"/>
          <w:color w:val="auto"/>
        </w:rPr>
      </w:pPr>
    </w:p>
    <w:p>
      <w:pPr>
        <w:ind w:right="60" w:firstLine="685"/>
        <w:spacing w:after="0" w:line="280" w:lineRule="auto"/>
        <w:rPr>
          <w:sz w:val="20"/>
          <w:szCs w:val="20"/>
          <w:color w:val="auto"/>
        </w:rPr>
      </w:pPr>
      <w:r>
        <w:rPr>
          <w:rFonts w:ascii="Arial" w:cs="Arial" w:eastAsia="Arial" w:hAnsi="Arial"/>
          <w:sz w:val="17"/>
          <w:szCs w:val="17"/>
          <w:color w:val="auto"/>
        </w:rPr>
        <w:t>The unanticipated departure of any key member of our management team could have an adverse effect on our business. In addition, because of the specialized and technical nature of our business, our future performance is dependent on the continued service of, and on our ability to attract and retain, qualified management, scientific, technical, marketing and support personnel.</w:t>
      </w:r>
    </w:p>
    <w:p>
      <w:pPr>
        <w:spacing w:after="0" w:line="42" w:lineRule="exact"/>
        <w:rPr>
          <w:sz w:val="20"/>
          <w:szCs w:val="20"/>
          <w:color w:val="auto"/>
        </w:rPr>
      </w:pPr>
    </w:p>
    <w:p>
      <w:pPr>
        <w:ind w:right="580" w:firstLine="685"/>
        <w:spacing w:after="0" w:line="296" w:lineRule="auto"/>
        <w:rPr>
          <w:sz w:val="20"/>
          <w:szCs w:val="20"/>
          <w:color w:val="auto"/>
        </w:rPr>
      </w:pPr>
      <w:r>
        <w:rPr>
          <w:rFonts w:ascii="Arial" w:cs="Arial" w:eastAsia="Arial" w:hAnsi="Arial"/>
          <w:sz w:val="17"/>
          <w:szCs w:val="17"/>
          <w:b w:val="1"/>
          <w:bCs w:val="1"/>
          <w:i w:val="1"/>
          <w:iCs w:val="1"/>
          <w:color w:val="auto"/>
        </w:rPr>
        <w:t>We may not be able to consummate future acquisitions or integrate future acquisitions into our business, which could result in unanticipated expenses and losses.</w:t>
      </w:r>
    </w:p>
    <w:p>
      <w:pPr>
        <w:spacing w:after="0" w:line="42" w:lineRule="exact"/>
        <w:rPr>
          <w:sz w:val="20"/>
          <w:szCs w:val="20"/>
          <w:color w:val="auto"/>
        </w:rPr>
      </w:pPr>
    </w:p>
    <w:p>
      <w:pPr>
        <w:ind w:firstLine="685"/>
        <w:spacing w:after="0" w:line="296" w:lineRule="auto"/>
        <w:rPr>
          <w:sz w:val="20"/>
          <w:szCs w:val="20"/>
          <w:color w:val="auto"/>
        </w:rPr>
      </w:pPr>
      <w:r>
        <w:rPr>
          <w:rFonts w:ascii="Arial" w:cs="Arial" w:eastAsia="Arial" w:hAnsi="Arial"/>
          <w:sz w:val="16"/>
          <w:szCs w:val="16"/>
          <w:color w:val="auto"/>
        </w:rPr>
        <w:t>As part of our business growth strategy, we have acquired businesses and may pursue acquisitions in the future. Our ability to pursue this strategy will be limited by our ability to identify appropriate acquisition candidates and our financial resources, including available cash and borrowing capacity. The expense incurred in consummating acquisitions, the time it takes to integrate an acquisition or our failure to integrate businesses successfully, could result in unanticipated expenses and losses. Furthermore, we may not be able to realize any of the anticipated benefits from acquisitions.</w:t>
      </w:r>
    </w:p>
    <w:p>
      <w:pPr>
        <w:spacing w:after="0" w:line="60" w:lineRule="exact"/>
        <w:rPr>
          <w:sz w:val="20"/>
          <w:szCs w:val="20"/>
          <w:color w:val="auto"/>
        </w:rPr>
      </w:pPr>
    </w:p>
    <w:p>
      <w:pPr>
        <w:ind w:right="200" w:firstLine="685"/>
        <w:spacing w:after="0" w:line="316" w:lineRule="auto"/>
        <w:rPr>
          <w:sz w:val="20"/>
          <w:szCs w:val="20"/>
          <w:color w:val="auto"/>
        </w:rPr>
      </w:pPr>
      <w:r>
        <w:rPr>
          <w:rFonts w:ascii="Arial" w:cs="Arial" w:eastAsia="Arial" w:hAnsi="Arial"/>
          <w:sz w:val="15"/>
          <w:szCs w:val="15"/>
          <w:color w:val="auto"/>
        </w:rPr>
        <w:t>To the extent this strategy is pursued, the process of integrating acquired operations into our existing operations may result in unforeseen operating difficulties and may require significant financial resources that would otherwise be available for the ongoing development or expansion of existing operations. Some of the risks associated with the integration of acquisitions include, among many others, potential disruption of our ongoing business and distraction of management; unforeseen claims and liabilities; unforeseen adjustments; charges and write-offs; difficulty in conforming the acquired business’ standards, processes, procedures and controls with our operations; and challenges arising from the increased scope, geographic diversity and complexity of our operations.</w:t>
      </w:r>
    </w:p>
    <w:p>
      <w:pPr>
        <w:spacing w:after="0" w:line="34" w:lineRule="exact"/>
        <w:rPr>
          <w:sz w:val="20"/>
          <w:szCs w:val="20"/>
          <w:color w:val="auto"/>
        </w:rPr>
      </w:pPr>
    </w:p>
    <w:p>
      <w:pPr>
        <w:ind w:right="280" w:firstLine="685"/>
        <w:spacing w:after="0" w:line="296" w:lineRule="auto"/>
        <w:rPr>
          <w:sz w:val="20"/>
          <w:szCs w:val="20"/>
          <w:color w:val="auto"/>
        </w:rPr>
      </w:pPr>
      <w:r>
        <w:rPr>
          <w:rFonts w:ascii="Arial" w:cs="Arial" w:eastAsia="Arial" w:hAnsi="Arial"/>
          <w:sz w:val="17"/>
          <w:szCs w:val="17"/>
          <w:b w:val="1"/>
          <w:bCs w:val="1"/>
          <w:i w:val="1"/>
          <w:iCs w:val="1"/>
          <w:color w:val="auto"/>
        </w:rPr>
        <w:t>The occurrence or threat of extraordinary events, including domestic and international terrorist attacks, and laws and regulations related thereto may disrupt our operations and decrease demand for our products.</w:t>
      </w:r>
    </w:p>
    <w:p>
      <w:pPr>
        <w:spacing w:after="0" w:line="29" w:lineRule="exact"/>
        <w:rPr>
          <w:sz w:val="20"/>
          <w:szCs w:val="20"/>
          <w:color w:val="auto"/>
        </w:rPr>
      </w:pPr>
    </w:p>
    <w:p>
      <w:pPr>
        <w:ind w:right="440" w:firstLine="685"/>
        <w:spacing w:after="0" w:line="329" w:lineRule="auto"/>
        <w:rPr>
          <w:sz w:val="20"/>
          <w:szCs w:val="20"/>
          <w:color w:val="auto"/>
        </w:rPr>
      </w:pPr>
      <w:r>
        <w:rPr>
          <w:rFonts w:ascii="Arial" w:cs="Arial" w:eastAsia="Arial" w:hAnsi="Arial"/>
          <w:sz w:val="16"/>
          <w:szCs w:val="16"/>
          <w:color w:val="auto"/>
        </w:rPr>
        <w:t>Chemical-related assets may be at greater risk of future terrorist attacks than other possible targets in the United States. Federal legislation is under consideration that could impose new site security requirements, specifically on chemical facilities, which may increase our overhead expenses.</w:t>
      </w:r>
    </w:p>
    <w:p>
      <w:pPr>
        <w:spacing w:after="0" w:line="20" w:lineRule="exact"/>
        <w:rPr>
          <w:sz w:val="20"/>
          <w:szCs w:val="20"/>
          <w:color w:val="auto"/>
        </w:rPr>
      </w:pPr>
    </w:p>
    <w:p>
      <w:pPr>
        <w:ind w:right="60" w:firstLine="685"/>
        <w:spacing w:after="0" w:line="272" w:lineRule="auto"/>
        <w:rPr>
          <w:sz w:val="20"/>
          <w:szCs w:val="20"/>
          <w:color w:val="auto"/>
        </w:rPr>
      </w:pPr>
      <w:r>
        <w:rPr>
          <w:rFonts w:ascii="Arial" w:cs="Arial" w:eastAsia="Arial" w:hAnsi="Arial"/>
          <w:sz w:val="17"/>
          <w:szCs w:val="17"/>
          <w:color w:val="auto"/>
        </w:rPr>
        <w:t>New federal regulations have already been adopted to increase the security of the transportation of hazardous chemicals in the United States. We believe we have met these requirements but additional federal and local regulations that limit the distribution of hazardous materials are being considered. We ship and receive materials that are classified as hazardous. Bans on movement of hazardous materials through certain cities could affect the efficiency of our logistical operations. Broader restrictions on hazardous material movements could lead to additional investment to produce hazardous raw materials and change where and what products we provide.</w:t>
      </w:r>
    </w:p>
    <w:p>
      <w:pPr>
        <w:spacing w:after="0" w:line="62" w:lineRule="exact"/>
        <w:rPr>
          <w:sz w:val="20"/>
          <w:szCs w:val="20"/>
          <w:color w:val="auto"/>
        </w:rPr>
      </w:pPr>
    </w:p>
    <w:p>
      <w:pPr>
        <w:ind w:right="140" w:firstLine="685"/>
        <w:spacing w:after="0" w:line="274" w:lineRule="auto"/>
        <w:rPr>
          <w:sz w:val="20"/>
          <w:szCs w:val="20"/>
          <w:color w:val="auto"/>
        </w:rPr>
      </w:pPr>
      <w:r>
        <w:rPr>
          <w:rFonts w:ascii="Arial" w:cs="Arial" w:eastAsia="Arial" w:hAnsi="Arial"/>
          <w:sz w:val="17"/>
          <w:szCs w:val="17"/>
          <w:color w:val="auto"/>
        </w:rPr>
        <w:t>The occurrence of extraordinary events, including future terrorist attacks and the outbreak or escalation of hostilities, cannot be predicted, and their occurrence can be expected to continue to affect negatively the economy in general, and specifically the markets for our products. The resulting damage from a direct attack on our assets, or assets used by us, could include loss of life and property damage. In addition, available insurance coverage may not be sufficient to cover all of the damage incurred or, if available, may be prohibitively expensive.</w:t>
      </w:r>
    </w:p>
    <w:p>
      <w:pPr>
        <w:spacing w:after="0" w:line="48"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We may not be able to renew our leases of land where three of our terminals reside.</w:t>
      </w:r>
    </w:p>
    <w:p>
      <w:pPr>
        <w:spacing w:after="0" w:line="114" w:lineRule="exact"/>
        <w:rPr>
          <w:sz w:val="20"/>
          <w:szCs w:val="20"/>
          <w:color w:val="auto"/>
        </w:rPr>
      </w:pPr>
    </w:p>
    <w:p>
      <w:pPr>
        <w:ind w:right="60" w:firstLine="685"/>
        <w:spacing w:after="0" w:line="274" w:lineRule="auto"/>
        <w:rPr>
          <w:sz w:val="20"/>
          <w:szCs w:val="20"/>
          <w:color w:val="auto"/>
        </w:rPr>
      </w:pPr>
      <w:r>
        <w:rPr>
          <w:rFonts w:ascii="Arial" w:cs="Arial" w:eastAsia="Arial" w:hAnsi="Arial"/>
          <w:sz w:val="17"/>
          <w:szCs w:val="17"/>
          <w:color w:val="auto"/>
        </w:rPr>
        <w:t>We lease the land where our three main terminals reside. In the future, we may not be able to renew our leases due to the fact that we do not have guaranteed lease renewal options. Our current lease renewal periods extend out to 2018 (two leases) and 2029 (one lease). This may have a material impact to our business, as this is where the majority of our bulk chemicals are stored. We believe that we will be able to renew our leases as the renewal periods expire based on historical experience and anticipated future needs.</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ITEM 1B.</w:t>
      </w:r>
      <w:r>
        <w:rPr>
          <w:sz w:val="20"/>
          <w:szCs w:val="20"/>
          <w:color w:val="auto"/>
        </w:rPr>
        <w:tab/>
      </w:r>
      <w:r>
        <w:rPr>
          <w:rFonts w:ascii="Arial" w:cs="Arial" w:eastAsia="Arial" w:hAnsi="Arial"/>
          <w:sz w:val="20"/>
          <w:szCs w:val="20"/>
          <w:color w:val="auto"/>
        </w:rPr>
        <w:t>UNRESOLVED STAFF COMMENTS</w:t>
      </w:r>
    </w:p>
    <w:p>
      <w:pPr>
        <w:spacing w:after="0" w:line="21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None.</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ITEM 2.</w:t>
      </w:r>
      <w:r>
        <w:rPr>
          <w:sz w:val="20"/>
          <w:szCs w:val="20"/>
          <w:color w:val="auto"/>
        </w:rPr>
        <w:tab/>
      </w:r>
      <w:r>
        <w:rPr>
          <w:rFonts w:ascii="Arial" w:cs="Arial" w:eastAsia="Arial" w:hAnsi="Arial"/>
          <w:sz w:val="19"/>
          <w:szCs w:val="19"/>
          <w:color w:val="auto"/>
        </w:rPr>
        <w:t>PROPERTIES</w:t>
      </w:r>
    </w:p>
    <w:p>
      <w:pPr>
        <w:spacing w:after="0" w:line="217" w:lineRule="exact"/>
        <w:rPr>
          <w:sz w:val="20"/>
          <w:szCs w:val="20"/>
          <w:color w:val="auto"/>
        </w:rPr>
      </w:pPr>
    </w:p>
    <w:p>
      <w:pPr>
        <w:ind w:firstLine="685"/>
        <w:spacing w:after="0" w:line="272" w:lineRule="auto"/>
        <w:rPr>
          <w:sz w:val="20"/>
          <w:szCs w:val="20"/>
          <w:color w:val="auto"/>
        </w:rPr>
      </w:pPr>
      <w:r>
        <w:rPr>
          <w:rFonts w:ascii="Arial" w:cs="Arial" w:eastAsia="Arial" w:hAnsi="Arial"/>
          <w:sz w:val="17"/>
          <w:szCs w:val="17"/>
          <w:color w:val="auto"/>
        </w:rPr>
        <w:t>The Company owns its principal location, which consists of approximately 11 acres of land in Minneapolis, Minnesota, with six buildings containing a total of 177,000 square feet of office and warehouse space. The Company’s principal office is located in one of these buildings, at 3100 East Hennepin Avenue. As of April 1, 2007, the Company has installed sprinkler systems in substantially all of its warehouse facilities for fire protection. The Company carries insurance covering the replacement of property damaged by fire or flood. The Pharmaceutical segment occupies approximately 13,000 square feet of office and warehouse space within this location.</w:t>
      </w:r>
    </w:p>
    <w:p>
      <w:pPr>
        <w:spacing w:after="0" w:line="75" w:lineRule="exact"/>
        <w:rPr>
          <w:sz w:val="20"/>
          <w:szCs w:val="20"/>
          <w:color w:val="auto"/>
        </w:rPr>
      </w:pPr>
    </w:p>
    <w:p>
      <w:pPr>
        <w:ind w:firstLine="685"/>
        <w:spacing w:after="0" w:line="272" w:lineRule="auto"/>
        <w:rPr>
          <w:sz w:val="20"/>
          <w:szCs w:val="20"/>
          <w:color w:val="auto"/>
        </w:rPr>
      </w:pPr>
      <w:r>
        <w:rPr>
          <w:rFonts w:ascii="Arial" w:cs="Arial" w:eastAsia="Arial" w:hAnsi="Arial"/>
          <w:sz w:val="17"/>
          <w:szCs w:val="17"/>
          <w:color w:val="auto"/>
        </w:rPr>
        <w:t>As noted above, in December 2000 the Company completed the Red Rock facility, which consists of a 59,000 square-foot building located on approximately 10 acres of land. This facility has outside storage capacity of approximately 1.5 million gallons for the storage of liquid caustic soda, as well as numerous smaller tanks for storing and mixing chemicals. The land is leased from the Port Authority of the City of St. Paul, Minnesota through July 31, 2029 for a basic rent plus an amount based on the annual tonnage unloaded at the site. The basic rent and annual tonnage rent were renegotiated August 1, 2004 and are to be renegotiated every five years.</w:t>
      </w:r>
    </w:p>
    <w:p>
      <w:pPr>
        <w:spacing w:after="0" w:line="75" w:lineRule="exact"/>
        <w:rPr>
          <w:sz w:val="20"/>
          <w:szCs w:val="20"/>
          <w:color w:val="auto"/>
        </w:rPr>
      </w:pPr>
    </w:p>
    <w:p>
      <w:pPr>
        <w:ind w:right="20" w:firstLine="685"/>
        <w:spacing w:after="0" w:line="296" w:lineRule="auto"/>
        <w:rPr>
          <w:sz w:val="20"/>
          <w:szCs w:val="20"/>
          <w:color w:val="auto"/>
        </w:rPr>
      </w:pPr>
      <w:r>
        <w:rPr>
          <w:rFonts w:ascii="Arial" w:cs="Arial" w:eastAsia="Arial" w:hAnsi="Arial"/>
          <w:sz w:val="17"/>
          <w:szCs w:val="17"/>
          <w:color w:val="auto"/>
        </w:rPr>
        <w:t>In addition to the facilities described above, the Company’s other facilities are described below. These facilities, together with those described above, are adequate and suitable for the purposes they serve. Unless noted, each facility is owned and is fully utilized by the Company.</w:t>
      </w:r>
    </w:p>
    <w:p>
      <w:pPr>
        <w:spacing w:after="0" w:line="157" w:lineRule="exact"/>
        <w:rPr>
          <w:sz w:val="20"/>
          <w:szCs w:val="20"/>
          <w:color w:val="auto"/>
        </w:rPr>
      </w:pPr>
    </w:p>
    <w:tbl>
      <w:tblPr>
        <w:tblLayout w:type="fixed"/>
        <w:tblInd w:w="940" w:type="dxa"/>
        <w:tblCellMar>
          <w:top w:w="0" w:type="dxa"/>
          <w:left w:w="0" w:type="dxa"/>
          <w:bottom w:w="0" w:type="dxa"/>
          <w:right w:w="0" w:type="dxa"/>
        </w:tblCellMar>
      </w:tblPr>
      <w:tr>
        <w:trPr>
          <w:trHeight w:val="149"/>
        </w:trPr>
        <w:tc>
          <w:tcPr>
            <w:tcW w:w="2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right"/>
              <w:ind w:right="501"/>
              <w:spacing w:after="0"/>
              <w:rPr>
                <w:sz w:val="20"/>
                <w:szCs w:val="20"/>
                <w:color w:val="auto"/>
              </w:rPr>
            </w:pPr>
            <w:r>
              <w:rPr>
                <w:rFonts w:ascii="Arial" w:cs="Arial" w:eastAsia="Arial" w:hAnsi="Arial"/>
                <w:sz w:val="13"/>
                <w:szCs w:val="13"/>
                <w:b w:val="1"/>
                <w:bCs w:val="1"/>
                <w:color w:val="auto"/>
              </w:rPr>
              <w:t>Approx.</w:t>
            </w:r>
          </w:p>
        </w:tc>
      </w:tr>
      <w:tr>
        <w:trPr>
          <w:trHeight w:val="161"/>
        </w:trPr>
        <w:tc>
          <w:tcPr>
            <w:tcW w:w="2220" w:type="dxa"/>
            <w:vAlign w:val="bottom"/>
            <w:gridSpan w:val="2"/>
          </w:tcPr>
          <w:p>
            <w:pPr>
              <w:ind w:left="760"/>
              <w:spacing w:after="0"/>
              <w:rPr>
                <w:sz w:val="20"/>
                <w:szCs w:val="20"/>
                <w:color w:val="auto"/>
              </w:rPr>
            </w:pPr>
            <w:r>
              <w:rPr>
                <w:rFonts w:ascii="Arial" w:cs="Arial" w:eastAsia="Arial" w:hAnsi="Arial"/>
                <w:sz w:val="13"/>
                <w:szCs w:val="13"/>
                <w:b w:val="1"/>
                <w:bCs w:val="1"/>
                <w:color w:val="auto"/>
              </w:rPr>
              <w:t>Segment</w:t>
            </w:r>
          </w:p>
        </w:tc>
        <w:tc>
          <w:tcPr>
            <w:tcW w:w="2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Location</w:t>
            </w:r>
          </w:p>
        </w:tc>
        <w:tc>
          <w:tcPr>
            <w:tcW w:w="36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Primary Use</w:t>
            </w:r>
          </w:p>
        </w:tc>
        <w:tc>
          <w:tcPr>
            <w:tcW w:w="1620" w:type="dxa"/>
            <w:vAlign w:val="bottom"/>
          </w:tcPr>
          <w:p>
            <w:pPr>
              <w:jc w:val="right"/>
              <w:ind w:right="381"/>
              <w:spacing w:after="0"/>
              <w:rPr>
                <w:sz w:val="20"/>
                <w:szCs w:val="20"/>
                <w:color w:val="auto"/>
              </w:rPr>
            </w:pPr>
            <w:r>
              <w:rPr>
                <w:rFonts w:ascii="Arial" w:cs="Arial" w:eastAsia="Arial" w:hAnsi="Arial"/>
                <w:sz w:val="13"/>
                <w:szCs w:val="13"/>
                <w:b w:val="1"/>
                <w:bCs w:val="1"/>
                <w:color w:val="auto"/>
              </w:rPr>
              <w:t>Square Feet</w:t>
            </w:r>
          </w:p>
        </w:tc>
      </w:tr>
      <w:tr>
        <w:trPr>
          <w:trHeight w:val="141"/>
        </w:trPr>
        <w:tc>
          <w:tcPr>
            <w:tcW w:w="20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r>
      <w:tr>
        <w:trPr>
          <w:trHeight w:val="215"/>
        </w:trPr>
        <w:tc>
          <w:tcPr>
            <w:tcW w:w="2220" w:type="dxa"/>
            <w:vAlign w:val="bottom"/>
            <w:gridSpan w:val="2"/>
            <w:shd w:val="clear" w:color="auto" w:fill="D6F3E8"/>
          </w:tcPr>
          <w:p>
            <w:pPr>
              <w:spacing w:after="0"/>
              <w:rPr>
                <w:sz w:val="20"/>
                <w:szCs w:val="20"/>
                <w:color w:val="auto"/>
              </w:rPr>
            </w:pPr>
            <w:r>
              <w:rPr>
                <w:rFonts w:ascii="Arial" w:cs="Arial" w:eastAsia="Arial" w:hAnsi="Arial"/>
                <w:sz w:val="17"/>
                <w:szCs w:val="17"/>
                <w:color w:val="auto"/>
              </w:rPr>
              <w:t>Industrial</w:t>
            </w:r>
          </w:p>
        </w:tc>
        <w:tc>
          <w:tcPr>
            <w:tcW w:w="2780" w:type="dxa"/>
            <w:vAlign w:val="bottom"/>
            <w:gridSpan w:val="2"/>
            <w:shd w:val="clear" w:color="auto" w:fill="D6F3E8"/>
          </w:tcPr>
          <w:p>
            <w:pPr>
              <w:jc w:val="center"/>
              <w:ind w:right="180"/>
              <w:spacing w:after="0"/>
              <w:rPr>
                <w:sz w:val="20"/>
                <w:szCs w:val="20"/>
                <w:color w:val="auto"/>
              </w:rPr>
            </w:pPr>
            <w:r>
              <w:rPr>
                <w:rFonts w:ascii="Arial" w:cs="Arial" w:eastAsia="Arial" w:hAnsi="Arial"/>
                <w:sz w:val="17"/>
                <w:szCs w:val="17"/>
                <w:color w:val="auto"/>
                <w:w w:val="95"/>
              </w:rPr>
              <w:t>St. Paul, MN (1)</w:t>
            </w:r>
          </w:p>
        </w:tc>
        <w:tc>
          <w:tcPr>
            <w:tcW w:w="3640" w:type="dxa"/>
            <w:vAlign w:val="bottom"/>
            <w:gridSpan w:val="2"/>
            <w:shd w:val="clear" w:color="auto" w:fill="D6F3E8"/>
          </w:tcPr>
          <w:p>
            <w:pPr>
              <w:jc w:val="center"/>
              <w:ind w:right="200"/>
              <w:spacing w:after="0"/>
              <w:rPr>
                <w:sz w:val="20"/>
                <w:szCs w:val="20"/>
                <w:color w:val="auto"/>
              </w:rPr>
            </w:pPr>
            <w:r>
              <w:rPr>
                <w:rFonts w:ascii="Arial" w:cs="Arial" w:eastAsia="Arial" w:hAnsi="Arial"/>
                <w:sz w:val="17"/>
                <w:szCs w:val="17"/>
                <w:color w:val="auto"/>
                <w:w w:val="91"/>
              </w:rPr>
              <w:t>Office, Warehouse and Garage</w:t>
            </w:r>
          </w:p>
        </w:tc>
        <w:tc>
          <w:tcPr>
            <w:tcW w:w="1620" w:type="dxa"/>
            <w:vAlign w:val="bottom"/>
            <w:shd w:val="clear" w:color="auto" w:fill="D6F3E8"/>
          </w:tcPr>
          <w:p>
            <w:pPr>
              <w:jc w:val="right"/>
              <w:spacing w:after="0"/>
              <w:rPr>
                <w:sz w:val="20"/>
                <w:szCs w:val="20"/>
                <w:color w:val="auto"/>
              </w:rPr>
            </w:pPr>
            <w:r>
              <w:rPr>
                <w:rFonts w:ascii="Arial" w:cs="Arial" w:eastAsia="Arial" w:hAnsi="Arial"/>
                <w:sz w:val="17"/>
                <w:szCs w:val="17"/>
                <w:color w:val="auto"/>
              </w:rPr>
              <w:t>32,000</w:t>
            </w:r>
          </w:p>
        </w:tc>
      </w:tr>
      <w:tr>
        <w:trPr>
          <w:trHeight w:val="215"/>
        </w:trPr>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2"/>
          </w:tcPr>
          <w:p>
            <w:pPr>
              <w:jc w:val="center"/>
              <w:ind w:right="180"/>
              <w:spacing w:after="0"/>
              <w:rPr>
                <w:sz w:val="20"/>
                <w:szCs w:val="20"/>
                <w:color w:val="auto"/>
              </w:rPr>
            </w:pPr>
            <w:r>
              <w:rPr>
                <w:rFonts w:ascii="Arial" w:cs="Arial" w:eastAsia="Arial" w:hAnsi="Arial"/>
                <w:sz w:val="17"/>
                <w:szCs w:val="17"/>
                <w:color w:val="auto"/>
                <w:w w:val="95"/>
              </w:rPr>
              <w:t>St. Paul, MN (2)</w:t>
            </w:r>
          </w:p>
        </w:tc>
        <w:tc>
          <w:tcPr>
            <w:tcW w:w="364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Office</w:t>
            </w:r>
          </w:p>
        </w:tc>
        <w:tc>
          <w:tcPr>
            <w:tcW w:w="1620" w:type="dxa"/>
            <w:vAlign w:val="bottom"/>
          </w:tcPr>
          <w:p>
            <w:pPr>
              <w:jc w:val="right"/>
              <w:spacing w:after="0"/>
              <w:rPr>
                <w:sz w:val="20"/>
                <w:szCs w:val="20"/>
                <w:color w:val="auto"/>
              </w:rPr>
            </w:pPr>
            <w:r>
              <w:rPr>
                <w:rFonts w:ascii="Arial" w:cs="Arial" w:eastAsia="Arial" w:hAnsi="Arial"/>
                <w:sz w:val="17"/>
                <w:szCs w:val="17"/>
                <w:color w:val="auto"/>
              </w:rPr>
              <w:t>3,000</w:t>
            </w:r>
          </w:p>
        </w:tc>
      </w:tr>
      <w:tr>
        <w:trPr>
          <w:trHeight w:val="215"/>
        </w:trPr>
        <w:tc>
          <w:tcPr>
            <w:tcW w:w="20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2780" w:type="dxa"/>
            <w:vAlign w:val="bottom"/>
            <w:gridSpan w:val="2"/>
            <w:shd w:val="clear" w:color="auto" w:fill="D6F3E8"/>
          </w:tcPr>
          <w:p>
            <w:pPr>
              <w:jc w:val="center"/>
              <w:ind w:right="200"/>
              <w:spacing w:after="0"/>
              <w:rPr>
                <w:sz w:val="20"/>
                <w:szCs w:val="20"/>
                <w:color w:val="auto"/>
              </w:rPr>
            </w:pPr>
            <w:r>
              <w:rPr>
                <w:rFonts w:ascii="Arial" w:cs="Arial" w:eastAsia="Arial" w:hAnsi="Arial"/>
                <w:sz w:val="17"/>
                <w:szCs w:val="17"/>
                <w:color w:val="auto"/>
                <w:w w:val="95"/>
              </w:rPr>
              <w:t>Linden, NJ (2)</w:t>
            </w:r>
          </w:p>
        </w:tc>
        <w:tc>
          <w:tcPr>
            <w:tcW w:w="3640" w:type="dxa"/>
            <w:vAlign w:val="bottom"/>
            <w:gridSpan w:val="2"/>
            <w:shd w:val="clear" w:color="auto" w:fill="D6F3E8"/>
          </w:tcPr>
          <w:p>
            <w:pPr>
              <w:jc w:val="center"/>
              <w:ind w:right="200"/>
              <w:spacing w:after="0"/>
              <w:rPr>
                <w:sz w:val="20"/>
                <w:szCs w:val="20"/>
                <w:color w:val="auto"/>
              </w:rPr>
            </w:pPr>
            <w:r>
              <w:rPr>
                <w:rFonts w:ascii="Arial" w:cs="Arial" w:eastAsia="Arial" w:hAnsi="Arial"/>
                <w:sz w:val="17"/>
                <w:szCs w:val="17"/>
                <w:color w:val="auto"/>
                <w:w w:val="92"/>
              </w:rPr>
              <w:t>Office and Warehouse</w:t>
            </w:r>
          </w:p>
        </w:tc>
        <w:tc>
          <w:tcPr>
            <w:tcW w:w="162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12,000</w:t>
            </w:r>
          </w:p>
        </w:tc>
      </w:tr>
    </w:tbl>
    <w:p>
      <w:pPr>
        <w:sectPr>
          <w:pgSz w:w="11900" w:h="16838" w:orient="portrait"/>
          <w:cols w:equalWidth="0" w:num="1">
            <w:col w:w="11400"/>
          </w:cols>
          <w:pgMar w:left="240" w:top="467" w:right="259" w:bottom="0" w:gutter="0" w:footer="0" w:header="0"/>
        </w:sectPr>
      </w:pPr>
    </w:p>
    <w:bookmarkStart w:id="5" w:name="page6"/>
    <w:bookmarkEnd w:id="5"/>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223"/>
        </w:trPr>
        <w:tc>
          <w:tcPr>
            <w:tcW w:w="2040" w:type="dxa"/>
            <w:vAlign w:val="bottom"/>
          </w:tcPr>
          <w:p>
            <w:pPr>
              <w:spacing w:after="0"/>
              <w:rPr>
                <w:sz w:val="20"/>
                <w:szCs w:val="20"/>
                <w:color w:val="auto"/>
              </w:rPr>
            </w:pPr>
            <w:r>
              <w:rPr>
                <w:rFonts w:ascii="Arial" w:cs="Arial" w:eastAsia="Arial" w:hAnsi="Arial"/>
                <w:sz w:val="17"/>
                <w:szCs w:val="17"/>
                <w:color w:val="auto"/>
              </w:rPr>
              <w:t>Water Treatment</w:t>
            </w:r>
          </w:p>
        </w:tc>
        <w:tc>
          <w:tcPr>
            <w:tcW w:w="2980" w:type="dxa"/>
            <w:vAlign w:val="bottom"/>
          </w:tcPr>
          <w:p>
            <w:pPr>
              <w:jc w:val="center"/>
              <w:spacing w:after="0"/>
              <w:rPr>
                <w:sz w:val="20"/>
                <w:szCs w:val="20"/>
                <w:color w:val="auto"/>
              </w:rPr>
            </w:pPr>
            <w:r>
              <w:rPr>
                <w:rFonts w:ascii="Arial" w:cs="Arial" w:eastAsia="Arial" w:hAnsi="Arial"/>
                <w:sz w:val="17"/>
                <w:szCs w:val="17"/>
                <w:color w:val="auto"/>
                <w:w w:val="94"/>
              </w:rPr>
              <w:t>Fargo, ND</w:t>
            </w:r>
          </w:p>
        </w:tc>
        <w:tc>
          <w:tcPr>
            <w:tcW w:w="3620" w:type="dxa"/>
            <w:vAlign w:val="bottom"/>
          </w:tcPr>
          <w:p>
            <w:pPr>
              <w:jc w:val="center"/>
              <w:ind w:right="133"/>
              <w:spacing w:after="0"/>
              <w:rPr>
                <w:sz w:val="20"/>
                <w:szCs w:val="20"/>
                <w:color w:val="auto"/>
              </w:rPr>
            </w:pPr>
            <w:r>
              <w:rPr>
                <w:rFonts w:ascii="Arial" w:cs="Arial" w:eastAsia="Arial" w:hAnsi="Arial"/>
                <w:sz w:val="17"/>
                <w:szCs w:val="17"/>
                <w:color w:val="auto"/>
                <w:w w:val="92"/>
              </w:rPr>
              <w:t>Office and Warehouse</w:t>
            </w:r>
          </w:p>
        </w:tc>
        <w:tc>
          <w:tcPr>
            <w:tcW w:w="1620" w:type="dxa"/>
            <w:vAlign w:val="bottom"/>
          </w:tcPr>
          <w:p>
            <w:pPr>
              <w:jc w:val="right"/>
              <w:spacing w:after="0"/>
              <w:rPr>
                <w:sz w:val="20"/>
                <w:szCs w:val="20"/>
                <w:color w:val="auto"/>
              </w:rPr>
            </w:pPr>
            <w:r>
              <w:rPr>
                <w:rFonts w:ascii="Arial" w:cs="Arial" w:eastAsia="Arial" w:hAnsi="Arial"/>
                <w:sz w:val="17"/>
                <w:szCs w:val="17"/>
                <w:color w:val="auto"/>
              </w:rPr>
              <w:t>22,800</w:t>
            </w:r>
          </w:p>
        </w:tc>
      </w:tr>
      <w:tr>
        <w:trPr>
          <w:trHeight w:val="216"/>
        </w:trPr>
        <w:tc>
          <w:tcPr>
            <w:tcW w:w="2040" w:type="dxa"/>
            <w:vAlign w:val="bottom"/>
            <w:shd w:val="clear" w:color="auto" w:fill="D6F3E8"/>
          </w:tcPr>
          <w:p>
            <w:pPr>
              <w:spacing w:after="0"/>
              <w:rPr>
                <w:sz w:val="18"/>
                <w:szCs w:val="18"/>
                <w:color w:val="auto"/>
              </w:rPr>
            </w:pPr>
          </w:p>
        </w:tc>
        <w:tc>
          <w:tcPr>
            <w:tcW w:w="2980" w:type="dxa"/>
            <w:vAlign w:val="bottom"/>
            <w:shd w:val="clear" w:color="auto" w:fill="D6F3E8"/>
          </w:tcPr>
          <w:p>
            <w:pPr>
              <w:jc w:val="center"/>
              <w:spacing w:after="0"/>
              <w:rPr>
                <w:sz w:val="20"/>
                <w:szCs w:val="20"/>
                <w:color w:val="auto"/>
              </w:rPr>
            </w:pPr>
            <w:r>
              <w:rPr>
                <w:rFonts w:ascii="Arial" w:cs="Arial" w:eastAsia="Arial" w:hAnsi="Arial"/>
                <w:sz w:val="17"/>
                <w:szCs w:val="17"/>
                <w:color w:val="auto"/>
                <w:w w:val="94"/>
              </w:rPr>
              <w:t>Fond du Lac, WI</w:t>
            </w:r>
          </w:p>
        </w:tc>
        <w:tc>
          <w:tcPr>
            <w:tcW w:w="3620" w:type="dxa"/>
            <w:vAlign w:val="bottom"/>
            <w:shd w:val="clear" w:color="auto" w:fill="D6F3E8"/>
          </w:tcPr>
          <w:p>
            <w:pPr>
              <w:jc w:val="center"/>
              <w:ind w:right="133"/>
              <w:spacing w:after="0"/>
              <w:rPr>
                <w:sz w:val="20"/>
                <w:szCs w:val="20"/>
                <w:color w:val="auto"/>
              </w:rPr>
            </w:pPr>
            <w:r>
              <w:rPr>
                <w:rFonts w:ascii="Arial" w:cs="Arial" w:eastAsia="Arial" w:hAnsi="Arial"/>
                <w:sz w:val="17"/>
                <w:szCs w:val="17"/>
                <w:color w:val="auto"/>
                <w:w w:val="87"/>
              </w:rPr>
              <w:t>Warehouse</w:t>
            </w:r>
          </w:p>
        </w:tc>
        <w:tc>
          <w:tcPr>
            <w:tcW w:w="1620" w:type="dxa"/>
            <w:vAlign w:val="bottom"/>
            <w:shd w:val="clear" w:color="auto" w:fill="D6F3E8"/>
          </w:tcPr>
          <w:p>
            <w:pPr>
              <w:jc w:val="right"/>
              <w:spacing w:after="0"/>
              <w:rPr>
                <w:sz w:val="20"/>
                <w:szCs w:val="20"/>
                <w:color w:val="auto"/>
              </w:rPr>
            </w:pPr>
            <w:r>
              <w:rPr>
                <w:rFonts w:ascii="Arial" w:cs="Arial" w:eastAsia="Arial" w:hAnsi="Arial"/>
                <w:sz w:val="17"/>
                <w:szCs w:val="17"/>
                <w:color w:val="auto"/>
              </w:rPr>
              <w:t>20,300</w:t>
            </w:r>
          </w:p>
        </w:tc>
      </w:tr>
      <w:tr>
        <w:trPr>
          <w:trHeight w:val="215"/>
        </w:trPr>
        <w:tc>
          <w:tcPr>
            <w:tcW w:w="204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7"/>
                <w:szCs w:val="17"/>
                <w:color w:val="auto"/>
                <w:w w:val="95"/>
              </w:rPr>
              <w:t>Washburn, ND</w:t>
            </w:r>
          </w:p>
        </w:tc>
        <w:tc>
          <w:tcPr>
            <w:tcW w:w="3620" w:type="dxa"/>
            <w:vAlign w:val="bottom"/>
          </w:tcPr>
          <w:p>
            <w:pPr>
              <w:jc w:val="center"/>
              <w:ind w:right="133"/>
              <w:spacing w:after="0"/>
              <w:rPr>
                <w:sz w:val="20"/>
                <w:szCs w:val="20"/>
                <w:color w:val="auto"/>
              </w:rPr>
            </w:pPr>
            <w:r>
              <w:rPr>
                <w:rFonts w:ascii="Arial" w:cs="Arial" w:eastAsia="Arial" w:hAnsi="Arial"/>
                <w:sz w:val="17"/>
                <w:szCs w:val="17"/>
                <w:color w:val="auto"/>
                <w:w w:val="92"/>
              </w:rPr>
              <w:t>Office and Warehouse</w:t>
            </w:r>
          </w:p>
        </w:tc>
        <w:tc>
          <w:tcPr>
            <w:tcW w:w="1620" w:type="dxa"/>
            <w:vAlign w:val="bottom"/>
          </w:tcPr>
          <w:p>
            <w:pPr>
              <w:jc w:val="right"/>
              <w:spacing w:after="0"/>
              <w:rPr>
                <w:sz w:val="20"/>
                <w:szCs w:val="20"/>
                <w:color w:val="auto"/>
              </w:rPr>
            </w:pPr>
            <w:r>
              <w:rPr>
                <w:rFonts w:ascii="Arial" w:cs="Arial" w:eastAsia="Arial" w:hAnsi="Arial"/>
                <w:sz w:val="17"/>
                <w:szCs w:val="17"/>
                <w:color w:val="auto"/>
              </w:rPr>
              <w:t>14,000</w:t>
            </w:r>
          </w:p>
        </w:tc>
      </w:tr>
      <w:tr>
        <w:trPr>
          <w:trHeight w:val="215"/>
        </w:trPr>
        <w:tc>
          <w:tcPr>
            <w:tcW w:w="2040" w:type="dxa"/>
            <w:vAlign w:val="bottom"/>
            <w:shd w:val="clear" w:color="auto" w:fill="D6F3E8"/>
          </w:tcPr>
          <w:p>
            <w:pPr>
              <w:spacing w:after="0"/>
              <w:rPr>
                <w:sz w:val="18"/>
                <w:szCs w:val="18"/>
                <w:color w:val="auto"/>
              </w:rPr>
            </w:pPr>
          </w:p>
        </w:tc>
        <w:tc>
          <w:tcPr>
            <w:tcW w:w="2980" w:type="dxa"/>
            <w:vAlign w:val="bottom"/>
            <w:shd w:val="clear" w:color="auto" w:fill="D6F3E8"/>
          </w:tcPr>
          <w:p>
            <w:pPr>
              <w:jc w:val="center"/>
              <w:spacing w:after="0"/>
              <w:rPr>
                <w:sz w:val="20"/>
                <w:szCs w:val="20"/>
                <w:color w:val="auto"/>
              </w:rPr>
            </w:pPr>
            <w:r>
              <w:rPr>
                <w:rFonts w:ascii="Arial" w:cs="Arial" w:eastAsia="Arial" w:hAnsi="Arial"/>
                <w:sz w:val="17"/>
                <w:szCs w:val="17"/>
                <w:color w:val="auto"/>
              </w:rPr>
              <w:t>Billings, MT</w:t>
            </w:r>
          </w:p>
        </w:tc>
        <w:tc>
          <w:tcPr>
            <w:tcW w:w="3620" w:type="dxa"/>
            <w:vAlign w:val="bottom"/>
            <w:shd w:val="clear" w:color="auto" w:fill="D6F3E8"/>
          </w:tcPr>
          <w:p>
            <w:pPr>
              <w:jc w:val="center"/>
              <w:ind w:right="133"/>
              <w:spacing w:after="0"/>
              <w:rPr>
                <w:sz w:val="20"/>
                <w:szCs w:val="20"/>
                <w:color w:val="auto"/>
              </w:rPr>
            </w:pPr>
            <w:r>
              <w:rPr>
                <w:rFonts w:ascii="Arial" w:cs="Arial" w:eastAsia="Arial" w:hAnsi="Arial"/>
                <w:sz w:val="17"/>
                <w:szCs w:val="17"/>
                <w:color w:val="auto"/>
                <w:w w:val="92"/>
              </w:rPr>
              <w:t>Office and Warehouse</w:t>
            </w:r>
          </w:p>
        </w:tc>
        <w:tc>
          <w:tcPr>
            <w:tcW w:w="1620" w:type="dxa"/>
            <w:vAlign w:val="bottom"/>
            <w:shd w:val="clear" w:color="auto" w:fill="D6F3E8"/>
          </w:tcPr>
          <w:p>
            <w:pPr>
              <w:jc w:val="right"/>
              <w:spacing w:after="0"/>
              <w:rPr>
                <w:sz w:val="20"/>
                <w:szCs w:val="20"/>
                <w:color w:val="auto"/>
              </w:rPr>
            </w:pPr>
            <w:r>
              <w:rPr>
                <w:rFonts w:ascii="Arial" w:cs="Arial" w:eastAsia="Arial" w:hAnsi="Arial"/>
                <w:sz w:val="17"/>
                <w:szCs w:val="17"/>
                <w:color w:val="auto"/>
              </w:rPr>
              <w:t>9,300</w:t>
            </w:r>
          </w:p>
        </w:tc>
      </w:tr>
      <w:tr>
        <w:trPr>
          <w:trHeight w:val="215"/>
        </w:trPr>
        <w:tc>
          <w:tcPr>
            <w:tcW w:w="204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7"/>
                <w:szCs w:val="17"/>
                <w:color w:val="auto"/>
                <w:w w:val="94"/>
              </w:rPr>
              <w:t>Sioux Falls, SD</w:t>
            </w:r>
          </w:p>
        </w:tc>
        <w:tc>
          <w:tcPr>
            <w:tcW w:w="3620" w:type="dxa"/>
            <w:vAlign w:val="bottom"/>
          </w:tcPr>
          <w:p>
            <w:pPr>
              <w:jc w:val="center"/>
              <w:ind w:right="133"/>
              <w:spacing w:after="0"/>
              <w:rPr>
                <w:sz w:val="20"/>
                <w:szCs w:val="20"/>
                <w:color w:val="auto"/>
              </w:rPr>
            </w:pPr>
            <w:r>
              <w:rPr>
                <w:rFonts w:ascii="Arial" w:cs="Arial" w:eastAsia="Arial" w:hAnsi="Arial"/>
                <w:sz w:val="17"/>
                <w:szCs w:val="17"/>
                <w:color w:val="auto"/>
                <w:w w:val="87"/>
              </w:rPr>
              <w:t>Warehouse</w:t>
            </w:r>
          </w:p>
        </w:tc>
        <w:tc>
          <w:tcPr>
            <w:tcW w:w="1620" w:type="dxa"/>
            <w:vAlign w:val="bottom"/>
          </w:tcPr>
          <w:p>
            <w:pPr>
              <w:jc w:val="right"/>
              <w:spacing w:after="0"/>
              <w:rPr>
                <w:sz w:val="20"/>
                <w:szCs w:val="20"/>
                <w:color w:val="auto"/>
              </w:rPr>
            </w:pPr>
            <w:r>
              <w:rPr>
                <w:rFonts w:ascii="Arial" w:cs="Arial" w:eastAsia="Arial" w:hAnsi="Arial"/>
                <w:sz w:val="17"/>
                <w:szCs w:val="17"/>
                <w:color w:val="auto"/>
              </w:rPr>
              <w:t>27,200</w:t>
            </w:r>
          </w:p>
        </w:tc>
      </w:tr>
      <w:tr>
        <w:trPr>
          <w:trHeight w:val="215"/>
        </w:trPr>
        <w:tc>
          <w:tcPr>
            <w:tcW w:w="2040" w:type="dxa"/>
            <w:vAlign w:val="bottom"/>
            <w:shd w:val="clear" w:color="auto" w:fill="D6F3E8"/>
          </w:tcPr>
          <w:p>
            <w:pPr>
              <w:spacing w:after="0"/>
              <w:rPr>
                <w:sz w:val="18"/>
                <w:szCs w:val="18"/>
                <w:color w:val="auto"/>
              </w:rPr>
            </w:pPr>
          </w:p>
        </w:tc>
        <w:tc>
          <w:tcPr>
            <w:tcW w:w="2980" w:type="dxa"/>
            <w:vAlign w:val="bottom"/>
            <w:shd w:val="clear" w:color="auto" w:fill="D6F3E8"/>
          </w:tcPr>
          <w:p>
            <w:pPr>
              <w:jc w:val="center"/>
              <w:spacing w:after="0"/>
              <w:rPr>
                <w:sz w:val="20"/>
                <w:szCs w:val="20"/>
                <w:color w:val="auto"/>
              </w:rPr>
            </w:pPr>
            <w:r>
              <w:rPr>
                <w:rFonts w:ascii="Arial" w:cs="Arial" w:eastAsia="Arial" w:hAnsi="Arial"/>
                <w:sz w:val="17"/>
                <w:szCs w:val="17"/>
                <w:color w:val="auto"/>
                <w:w w:val="95"/>
              </w:rPr>
              <w:t>Rapid City, SD</w:t>
            </w:r>
          </w:p>
        </w:tc>
        <w:tc>
          <w:tcPr>
            <w:tcW w:w="3620" w:type="dxa"/>
            <w:vAlign w:val="bottom"/>
            <w:shd w:val="clear" w:color="auto" w:fill="D6F3E8"/>
          </w:tcPr>
          <w:p>
            <w:pPr>
              <w:jc w:val="center"/>
              <w:ind w:right="133"/>
              <w:spacing w:after="0"/>
              <w:rPr>
                <w:sz w:val="20"/>
                <w:szCs w:val="20"/>
                <w:color w:val="auto"/>
              </w:rPr>
            </w:pPr>
            <w:r>
              <w:rPr>
                <w:rFonts w:ascii="Arial" w:cs="Arial" w:eastAsia="Arial" w:hAnsi="Arial"/>
                <w:sz w:val="17"/>
                <w:szCs w:val="17"/>
                <w:color w:val="auto"/>
                <w:w w:val="87"/>
              </w:rPr>
              <w:t>Warehouse</w:t>
            </w:r>
          </w:p>
        </w:tc>
        <w:tc>
          <w:tcPr>
            <w:tcW w:w="1620" w:type="dxa"/>
            <w:vAlign w:val="bottom"/>
            <w:shd w:val="clear" w:color="auto" w:fill="D6F3E8"/>
          </w:tcPr>
          <w:p>
            <w:pPr>
              <w:jc w:val="right"/>
              <w:spacing w:after="0"/>
              <w:rPr>
                <w:sz w:val="20"/>
                <w:szCs w:val="20"/>
                <w:color w:val="auto"/>
              </w:rPr>
            </w:pPr>
            <w:r>
              <w:rPr>
                <w:rFonts w:ascii="Arial" w:cs="Arial" w:eastAsia="Arial" w:hAnsi="Arial"/>
                <w:sz w:val="17"/>
                <w:szCs w:val="17"/>
                <w:color w:val="auto"/>
              </w:rPr>
              <w:t>9,500</w:t>
            </w:r>
          </w:p>
        </w:tc>
      </w:tr>
      <w:tr>
        <w:trPr>
          <w:trHeight w:val="215"/>
        </w:trPr>
        <w:tc>
          <w:tcPr>
            <w:tcW w:w="204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7"/>
                <w:szCs w:val="17"/>
                <w:color w:val="auto"/>
                <w:w w:val="99"/>
              </w:rPr>
              <w:t>Joliet, IL (2)</w:t>
            </w:r>
          </w:p>
        </w:tc>
        <w:tc>
          <w:tcPr>
            <w:tcW w:w="3620" w:type="dxa"/>
            <w:vAlign w:val="bottom"/>
          </w:tcPr>
          <w:p>
            <w:pPr>
              <w:jc w:val="center"/>
              <w:ind w:right="133"/>
              <w:spacing w:after="0"/>
              <w:rPr>
                <w:sz w:val="20"/>
                <w:szCs w:val="20"/>
                <w:color w:val="auto"/>
              </w:rPr>
            </w:pPr>
            <w:r>
              <w:rPr>
                <w:rFonts w:ascii="Arial" w:cs="Arial" w:eastAsia="Arial" w:hAnsi="Arial"/>
                <w:sz w:val="17"/>
                <w:szCs w:val="17"/>
                <w:color w:val="auto"/>
                <w:w w:val="87"/>
              </w:rPr>
              <w:t>Warehouse</w:t>
            </w:r>
          </w:p>
        </w:tc>
        <w:tc>
          <w:tcPr>
            <w:tcW w:w="1620" w:type="dxa"/>
            <w:vAlign w:val="bottom"/>
          </w:tcPr>
          <w:p>
            <w:pPr>
              <w:jc w:val="right"/>
              <w:spacing w:after="0"/>
              <w:rPr>
                <w:sz w:val="20"/>
                <w:szCs w:val="20"/>
                <w:color w:val="auto"/>
              </w:rPr>
            </w:pPr>
            <w:r>
              <w:rPr>
                <w:rFonts w:ascii="Arial" w:cs="Arial" w:eastAsia="Arial" w:hAnsi="Arial"/>
                <w:sz w:val="17"/>
                <w:szCs w:val="17"/>
                <w:color w:val="auto"/>
              </w:rPr>
              <w:t>5,200</w:t>
            </w:r>
          </w:p>
        </w:tc>
      </w:tr>
      <w:tr>
        <w:trPr>
          <w:trHeight w:val="215"/>
        </w:trPr>
        <w:tc>
          <w:tcPr>
            <w:tcW w:w="2040" w:type="dxa"/>
            <w:vAlign w:val="bottom"/>
            <w:shd w:val="clear" w:color="auto" w:fill="D6F3E8"/>
          </w:tcPr>
          <w:p>
            <w:pPr>
              <w:spacing w:after="0"/>
              <w:rPr>
                <w:sz w:val="18"/>
                <w:szCs w:val="18"/>
                <w:color w:val="auto"/>
              </w:rPr>
            </w:pPr>
          </w:p>
        </w:tc>
        <w:tc>
          <w:tcPr>
            <w:tcW w:w="2980" w:type="dxa"/>
            <w:vAlign w:val="bottom"/>
            <w:shd w:val="clear" w:color="auto" w:fill="D6F3E8"/>
          </w:tcPr>
          <w:p>
            <w:pPr>
              <w:jc w:val="center"/>
              <w:spacing w:after="0"/>
              <w:rPr>
                <w:sz w:val="20"/>
                <w:szCs w:val="20"/>
                <w:color w:val="auto"/>
              </w:rPr>
            </w:pPr>
            <w:r>
              <w:rPr>
                <w:rFonts w:ascii="Arial" w:cs="Arial" w:eastAsia="Arial" w:hAnsi="Arial"/>
                <w:sz w:val="17"/>
                <w:szCs w:val="17"/>
                <w:color w:val="auto"/>
                <w:w w:val="95"/>
              </w:rPr>
              <w:t>Superior, WI</w:t>
            </w:r>
          </w:p>
        </w:tc>
        <w:tc>
          <w:tcPr>
            <w:tcW w:w="3620" w:type="dxa"/>
            <w:vAlign w:val="bottom"/>
            <w:shd w:val="clear" w:color="auto" w:fill="D6F3E8"/>
          </w:tcPr>
          <w:p>
            <w:pPr>
              <w:jc w:val="center"/>
              <w:ind w:right="133"/>
              <w:spacing w:after="0"/>
              <w:rPr>
                <w:sz w:val="20"/>
                <w:szCs w:val="20"/>
                <w:color w:val="auto"/>
              </w:rPr>
            </w:pPr>
            <w:r>
              <w:rPr>
                <w:rFonts w:ascii="Arial" w:cs="Arial" w:eastAsia="Arial" w:hAnsi="Arial"/>
                <w:sz w:val="17"/>
                <w:szCs w:val="17"/>
                <w:color w:val="auto"/>
                <w:w w:val="92"/>
              </w:rPr>
              <w:t>Office and Warehouse</w:t>
            </w:r>
          </w:p>
        </w:tc>
        <w:tc>
          <w:tcPr>
            <w:tcW w:w="162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17,000</w:t>
            </w:r>
          </w:p>
        </w:tc>
      </w:tr>
      <w:tr>
        <w:trPr>
          <w:trHeight w:val="215"/>
        </w:trPr>
        <w:tc>
          <w:tcPr>
            <w:tcW w:w="204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7"/>
                <w:szCs w:val="17"/>
                <w:color w:val="auto"/>
                <w:w w:val="94"/>
              </w:rPr>
              <w:t>Slater, IA</w:t>
            </w:r>
          </w:p>
        </w:tc>
        <w:tc>
          <w:tcPr>
            <w:tcW w:w="3620" w:type="dxa"/>
            <w:vAlign w:val="bottom"/>
          </w:tcPr>
          <w:p>
            <w:pPr>
              <w:jc w:val="center"/>
              <w:ind w:right="133"/>
              <w:spacing w:after="0"/>
              <w:rPr>
                <w:sz w:val="20"/>
                <w:szCs w:val="20"/>
                <w:color w:val="auto"/>
              </w:rPr>
            </w:pPr>
            <w:r>
              <w:rPr>
                <w:rFonts w:ascii="Arial" w:cs="Arial" w:eastAsia="Arial" w:hAnsi="Arial"/>
                <w:sz w:val="17"/>
                <w:szCs w:val="17"/>
                <w:color w:val="auto"/>
                <w:w w:val="87"/>
              </w:rPr>
              <w:t>Warehouse</w:t>
            </w:r>
          </w:p>
        </w:tc>
        <w:tc>
          <w:tcPr>
            <w:tcW w:w="1620" w:type="dxa"/>
            <w:vAlign w:val="bottom"/>
          </w:tcPr>
          <w:p>
            <w:pPr>
              <w:jc w:val="right"/>
              <w:spacing w:after="0"/>
              <w:rPr>
                <w:sz w:val="20"/>
                <w:szCs w:val="20"/>
                <w:color w:val="auto"/>
              </w:rPr>
            </w:pPr>
            <w:r>
              <w:rPr>
                <w:rFonts w:ascii="Arial" w:cs="Arial" w:eastAsia="Arial" w:hAnsi="Arial"/>
                <w:sz w:val="17"/>
                <w:szCs w:val="17"/>
                <w:color w:val="auto"/>
              </w:rPr>
              <w:t>8,700</w:t>
            </w:r>
          </w:p>
        </w:tc>
      </w:tr>
      <w:tr>
        <w:trPr>
          <w:trHeight w:val="215"/>
        </w:trPr>
        <w:tc>
          <w:tcPr>
            <w:tcW w:w="2040" w:type="dxa"/>
            <w:vAlign w:val="bottom"/>
            <w:shd w:val="clear" w:color="auto" w:fill="D6F3E8"/>
          </w:tcPr>
          <w:p>
            <w:pPr>
              <w:spacing w:after="0"/>
              <w:rPr>
                <w:sz w:val="18"/>
                <w:szCs w:val="18"/>
                <w:color w:val="auto"/>
              </w:rPr>
            </w:pPr>
          </w:p>
        </w:tc>
        <w:tc>
          <w:tcPr>
            <w:tcW w:w="2980" w:type="dxa"/>
            <w:vAlign w:val="bottom"/>
            <w:shd w:val="clear" w:color="auto" w:fill="D6F3E8"/>
          </w:tcPr>
          <w:p>
            <w:pPr>
              <w:jc w:val="center"/>
              <w:spacing w:after="0"/>
              <w:rPr>
                <w:sz w:val="20"/>
                <w:szCs w:val="20"/>
                <w:color w:val="auto"/>
              </w:rPr>
            </w:pPr>
            <w:r>
              <w:rPr>
                <w:rFonts w:ascii="Arial" w:cs="Arial" w:eastAsia="Arial" w:hAnsi="Arial"/>
                <w:sz w:val="17"/>
                <w:szCs w:val="17"/>
                <w:color w:val="auto"/>
                <w:w w:val="97"/>
              </w:rPr>
              <w:t>Lincoln, NE (2)</w:t>
            </w:r>
          </w:p>
        </w:tc>
        <w:tc>
          <w:tcPr>
            <w:tcW w:w="3620" w:type="dxa"/>
            <w:vAlign w:val="bottom"/>
            <w:shd w:val="clear" w:color="auto" w:fill="D6F3E8"/>
          </w:tcPr>
          <w:p>
            <w:pPr>
              <w:jc w:val="center"/>
              <w:ind w:right="133"/>
              <w:spacing w:after="0"/>
              <w:rPr>
                <w:sz w:val="20"/>
                <w:szCs w:val="20"/>
                <w:color w:val="auto"/>
              </w:rPr>
            </w:pPr>
            <w:r>
              <w:rPr>
                <w:rFonts w:ascii="Arial" w:cs="Arial" w:eastAsia="Arial" w:hAnsi="Arial"/>
                <w:sz w:val="17"/>
                <w:szCs w:val="17"/>
                <w:color w:val="auto"/>
                <w:w w:val="92"/>
              </w:rPr>
              <w:t>Office and Warehouse</w:t>
            </w:r>
          </w:p>
        </w:tc>
        <w:tc>
          <w:tcPr>
            <w:tcW w:w="1620" w:type="dxa"/>
            <w:vAlign w:val="bottom"/>
            <w:shd w:val="clear" w:color="auto" w:fill="D6F3E8"/>
          </w:tcPr>
          <w:p>
            <w:pPr>
              <w:jc w:val="right"/>
              <w:spacing w:after="0"/>
              <w:rPr>
                <w:sz w:val="20"/>
                <w:szCs w:val="20"/>
                <w:color w:val="auto"/>
              </w:rPr>
            </w:pPr>
            <w:r>
              <w:rPr>
                <w:rFonts w:ascii="Arial" w:cs="Arial" w:eastAsia="Arial" w:hAnsi="Arial"/>
                <w:sz w:val="17"/>
                <w:szCs w:val="17"/>
                <w:color w:val="auto"/>
              </w:rPr>
              <w:t>6,500</w:t>
            </w:r>
          </w:p>
        </w:tc>
      </w:tr>
      <w:tr>
        <w:trPr>
          <w:trHeight w:val="215"/>
        </w:trPr>
        <w:tc>
          <w:tcPr>
            <w:tcW w:w="20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Eldridge, IA</w:t>
            </w:r>
          </w:p>
        </w:tc>
        <w:tc>
          <w:tcPr>
            <w:tcW w:w="3620" w:type="dxa"/>
            <w:vAlign w:val="bottom"/>
            <w:tcBorders>
              <w:bottom w:val="single" w:sz="8" w:color="auto"/>
            </w:tcBorders>
          </w:tcPr>
          <w:p>
            <w:pPr>
              <w:jc w:val="center"/>
              <w:ind w:right="133"/>
              <w:spacing w:after="0"/>
              <w:rPr>
                <w:sz w:val="20"/>
                <w:szCs w:val="20"/>
                <w:color w:val="auto"/>
              </w:rPr>
            </w:pPr>
            <w:r>
              <w:rPr>
                <w:rFonts w:ascii="Arial" w:cs="Arial" w:eastAsia="Arial" w:hAnsi="Arial"/>
                <w:sz w:val="17"/>
                <w:szCs w:val="17"/>
                <w:color w:val="auto"/>
                <w:w w:val="92"/>
              </w:rPr>
              <w:t>Office and Warehouse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6,000</w:t>
            </w:r>
          </w:p>
        </w:tc>
      </w:tr>
    </w:tbl>
    <w:p>
      <w:pPr>
        <w:spacing w:after="0" w:line="99" w:lineRule="exact"/>
        <w:rPr>
          <w:sz w:val="20"/>
          <w:szCs w:val="20"/>
          <w:color w:val="auto"/>
        </w:rPr>
      </w:pPr>
    </w:p>
    <w:p>
      <w:pPr>
        <w:ind w:left="760" w:firstLine="9"/>
        <w:spacing w:after="0" w:line="265" w:lineRule="auto"/>
        <w:tabs>
          <w:tab w:leader="none" w:pos="1397"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Company’s terminal operations, located at two sites on opposite sides of the Mississippi River, are made up of three buildings, nine outside storage tanks with a total capacity of approximately 8,900,000 gallons for the storage of liquid caustic soda, as well as numerous smaller tanks for storing and mixing chemicals. The land is leased from the Port Authority of the City of St. Paul, Minnesota for a basic rent plus an amount based on the annual tonnage unloaded at each site. The applicable leases run until December 31, 2008, at which time the Company has an option to renew the leases for an additional five-year period on the same terms and conditions subject to renegotiation of rent. The Company also has options to renew these leases for additional successive five-year renewal periods (extending until 2018) for which the rent may be adjusted pursuant to the rental renegotiation provisions contained in the leases.</w:t>
      </w:r>
    </w:p>
    <w:p>
      <w:pPr>
        <w:spacing w:after="0" w:line="1" w:lineRule="exact"/>
        <w:rPr>
          <w:rFonts w:ascii="Arial" w:cs="Arial" w:eastAsia="Arial" w:hAnsi="Arial"/>
          <w:sz w:val="17"/>
          <w:szCs w:val="17"/>
          <w:color w:val="auto"/>
        </w:rPr>
      </w:pPr>
    </w:p>
    <w:p>
      <w:pPr>
        <w:ind w:left="1400" w:hanging="631"/>
        <w:spacing w:after="0"/>
        <w:tabs>
          <w:tab w:leader="none" w:pos="1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facility is leased from a third party.</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20"/>
          <w:szCs w:val="20"/>
          <w:color w:val="auto"/>
        </w:rPr>
        <w:t>LEGAL PROCEEDINGS</w:t>
      </w:r>
    </w:p>
    <w:p>
      <w:pPr>
        <w:spacing w:after="0" w:line="2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Not Applicable.</w:t>
      </w:r>
    </w:p>
    <w:p>
      <w:pPr>
        <w:spacing w:after="0" w:line="222"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20"/>
          <w:szCs w:val="20"/>
          <w:color w:val="auto"/>
        </w:rPr>
        <w:t>SUBMISSION OF MATTERS TO A VOTE OF SECURITY HOLDERS</w:t>
      </w:r>
    </w:p>
    <w:p>
      <w:pPr>
        <w:spacing w:after="0" w:line="2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EXECUTIVE OFFICERS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executive officers of the Company, their ages and offices held, as of May 31, 2007 are set forth below:</w:t>
      </w:r>
    </w:p>
    <w:p>
      <w:pPr>
        <w:spacing w:after="0" w:line="244"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580" w:type="dxa"/>
            <w:vAlign w:val="bottom"/>
            <w:gridSpan w:val="2"/>
          </w:tcPr>
          <w:p>
            <w:pPr>
              <w:ind w:left="1040"/>
              <w:spacing w:after="0"/>
              <w:rPr>
                <w:sz w:val="20"/>
                <w:szCs w:val="20"/>
                <w:color w:val="auto"/>
              </w:rPr>
            </w:pPr>
            <w:r>
              <w:rPr>
                <w:rFonts w:ascii="Arial" w:cs="Arial" w:eastAsia="Arial" w:hAnsi="Arial"/>
                <w:sz w:val="13"/>
                <w:szCs w:val="13"/>
                <w:b w:val="1"/>
                <w:bCs w:val="1"/>
                <w:color w:val="auto"/>
              </w:rPr>
              <w:t>Name</w:t>
            </w: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Age</w:t>
            </w:r>
          </w:p>
        </w:tc>
        <w:tc>
          <w:tcPr>
            <w:tcW w:w="5860" w:type="dxa"/>
            <w:vAlign w:val="bottom"/>
          </w:tcPr>
          <w:p>
            <w:pPr>
              <w:ind w:left="2760"/>
              <w:spacing w:after="0"/>
              <w:rPr>
                <w:sz w:val="20"/>
                <w:szCs w:val="20"/>
                <w:color w:val="auto"/>
              </w:rPr>
            </w:pPr>
            <w:r>
              <w:rPr>
                <w:rFonts w:ascii="Arial" w:cs="Arial" w:eastAsia="Arial" w:hAnsi="Arial"/>
                <w:sz w:val="13"/>
                <w:szCs w:val="13"/>
                <w:b w:val="1"/>
                <w:bCs w:val="1"/>
                <w:color w:val="auto"/>
              </w:rPr>
              <w:t>Office</w:t>
            </w:r>
          </w:p>
        </w:tc>
      </w:tr>
      <w:tr>
        <w:trPr>
          <w:trHeight w:val="141"/>
        </w:trPr>
        <w:tc>
          <w:tcPr>
            <w:tcW w:w="2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860" w:type="dxa"/>
            <w:vAlign w:val="bottom"/>
            <w:tcBorders>
              <w:top w:val="single" w:sz="8" w:color="auto"/>
            </w:tcBorders>
          </w:tcPr>
          <w:p>
            <w:pPr>
              <w:spacing w:after="0"/>
              <w:rPr>
                <w:sz w:val="12"/>
                <w:szCs w:val="12"/>
                <w:color w:val="auto"/>
              </w:rPr>
            </w:pPr>
          </w:p>
        </w:tc>
      </w:tr>
      <w:tr>
        <w:trPr>
          <w:trHeight w:val="215"/>
        </w:trPr>
        <w:tc>
          <w:tcPr>
            <w:tcW w:w="2580" w:type="dxa"/>
            <w:vAlign w:val="bottom"/>
            <w:gridSpan w:val="2"/>
            <w:shd w:val="clear" w:color="auto" w:fill="D6F3E8"/>
          </w:tcPr>
          <w:p>
            <w:pPr>
              <w:ind w:left="20"/>
              <w:spacing w:after="0"/>
              <w:rPr>
                <w:sz w:val="20"/>
                <w:szCs w:val="20"/>
                <w:color w:val="auto"/>
              </w:rPr>
            </w:pPr>
            <w:r>
              <w:rPr>
                <w:rFonts w:ascii="Arial" w:cs="Arial" w:eastAsia="Arial" w:hAnsi="Arial"/>
                <w:sz w:val="17"/>
                <w:szCs w:val="17"/>
                <w:color w:val="auto"/>
              </w:rPr>
              <w:t>John R. Hawkins</w:t>
            </w:r>
          </w:p>
        </w:tc>
        <w:tc>
          <w:tcPr>
            <w:tcW w:w="740" w:type="dxa"/>
            <w:vAlign w:val="bottom"/>
            <w:shd w:val="clear" w:color="auto" w:fill="D6F3E8"/>
          </w:tcPr>
          <w:p>
            <w:pPr>
              <w:jc w:val="center"/>
              <w:spacing w:after="0"/>
              <w:rPr>
                <w:sz w:val="20"/>
                <w:szCs w:val="20"/>
                <w:color w:val="auto"/>
              </w:rPr>
            </w:pPr>
            <w:r>
              <w:rPr>
                <w:rFonts w:ascii="Arial" w:cs="Arial" w:eastAsia="Arial" w:hAnsi="Arial"/>
                <w:sz w:val="17"/>
                <w:szCs w:val="17"/>
                <w:color w:val="auto"/>
                <w:w w:val="94"/>
              </w:rPr>
              <w:t>55</w:t>
            </w:r>
          </w:p>
        </w:tc>
        <w:tc>
          <w:tcPr>
            <w:tcW w:w="180" w:type="dxa"/>
            <w:vAlign w:val="bottom"/>
            <w:shd w:val="clear" w:color="auto" w:fill="D6F3E8"/>
          </w:tcPr>
          <w:p>
            <w:pPr>
              <w:spacing w:after="0"/>
              <w:rPr>
                <w:sz w:val="18"/>
                <w:szCs w:val="18"/>
                <w:color w:val="auto"/>
              </w:rPr>
            </w:pPr>
          </w:p>
        </w:tc>
        <w:tc>
          <w:tcPr>
            <w:tcW w:w="5860" w:type="dxa"/>
            <w:vAlign w:val="bottom"/>
            <w:shd w:val="clear" w:color="auto" w:fill="D6F3E8"/>
          </w:tcPr>
          <w:p>
            <w:pPr>
              <w:spacing w:after="0"/>
              <w:rPr>
                <w:sz w:val="20"/>
                <w:szCs w:val="20"/>
                <w:color w:val="auto"/>
              </w:rPr>
            </w:pPr>
            <w:r>
              <w:rPr>
                <w:rFonts w:ascii="Arial" w:cs="Arial" w:eastAsia="Arial" w:hAnsi="Arial"/>
                <w:sz w:val="17"/>
                <w:szCs w:val="17"/>
                <w:color w:val="auto"/>
              </w:rPr>
              <w:t>Chief Executive Officer</w:t>
            </w:r>
          </w:p>
        </w:tc>
      </w:tr>
      <w:tr>
        <w:trPr>
          <w:trHeight w:val="361"/>
        </w:trPr>
        <w:tc>
          <w:tcPr>
            <w:tcW w:w="2580" w:type="dxa"/>
            <w:vAlign w:val="bottom"/>
            <w:gridSpan w:val="2"/>
          </w:tcPr>
          <w:p>
            <w:pPr>
              <w:ind w:left="20"/>
              <w:spacing w:after="0"/>
              <w:rPr>
                <w:sz w:val="20"/>
                <w:szCs w:val="20"/>
                <w:color w:val="auto"/>
              </w:rPr>
            </w:pPr>
            <w:r>
              <w:rPr>
                <w:rFonts w:ascii="Arial" w:cs="Arial" w:eastAsia="Arial" w:hAnsi="Arial"/>
                <w:sz w:val="17"/>
                <w:szCs w:val="17"/>
                <w:color w:val="auto"/>
              </w:rPr>
              <w:t>Marvin E. Dee</w:t>
            </w:r>
          </w:p>
        </w:tc>
        <w:tc>
          <w:tcPr>
            <w:tcW w:w="740" w:type="dxa"/>
            <w:vAlign w:val="bottom"/>
          </w:tcPr>
          <w:p>
            <w:pPr>
              <w:jc w:val="center"/>
              <w:spacing w:after="0"/>
              <w:rPr>
                <w:sz w:val="20"/>
                <w:szCs w:val="20"/>
                <w:color w:val="auto"/>
              </w:rPr>
            </w:pPr>
            <w:r>
              <w:rPr>
                <w:rFonts w:ascii="Arial" w:cs="Arial" w:eastAsia="Arial" w:hAnsi="Arial"/>
                <w:sz w:val="17"/>
                <w:szCs w:val="17"/>
                <w:color w:val="auto"/>
                <w:w w:val="94"/>
              </w:rPr>
              <w:t>58</w:t>
            </w:r>
          </w:p>
        </w:tc>
        <w:tc>
          <w:tcPr>
            <w:tcW w:w="180" w:type="dxa"/>
            <w:vAlign w:val="bottom"/>
          </w:tcPr>
          <w:p>
            <w:pPr>
              <w:spacing w:after="0"/>
              <w:rPr>
                <w:sz w:val="24"/>
                <w:szCs w:val="24"/>
                <w:color w:val="auto"/>
              </w:rPr>
            </w:pPr>
          </w:p>
        </w:tc>
        <w:tc>
          <w:tcPr>
            <w:tcW w:w="5860" w:type="dxa"/>
            <w:vAlign w:val="bottom"/>
          </w:tcPr>
          <w:p>
            <w:pPr>
              <w:spacing w:after="0"/>
              <w:rPr>
                <w:sz w:val="20"/>
                <w:szCs w:val="20"/>
                <w:color w:val="auto"/>
              </w:rPr>
            </w:pPr>
            <w:r>
              <w:rPr>
                <w:rFonts w:ascii="Arial" w:cs="Arial" w:eastAsia="Arial" w:hAnsi="Arial"/>
                <w:sz w:val="17"/>
                <w:szCs w:val="17"/>
                <w:color w:val="auto"/>
              </w:rPr>
              <w:t>Vice President, Chief Financial Officer, Secretary, and Treasurer</w:t>
            </w:r>
          </w:p>
        </w:tc>
      </w:tr>
      <w:tr>
        <w:trPr>
          <w:trHeight w:val="150"/>
        </w:trPr>
        <w:tc>
          <w:tcPr>
            <w:tcW w:w="2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60" w:type="dxa"/>
            <w:vAlign w:val="bottom"/>
          </w:tcPr>
          <w:p>
            <w:pPr>
              <w:spacing w:after="0"/>
              <w:rPr>
                <w:sz w:val="13"/>
                <w:szCs w:val="13"/>
                <w:color w:val="auto"/>
              </w:rPr>
            </w:pPr>
          </w:p>
        </w:tc>
      </w:tr>
      <w:tr>
        <w:trPr>
          <w:trHeight w:val="215"/>
        </w:trPr>
        <w:tc>
          <w:tcPr>
            <w:tcW w:w="2580" w:type="dxa"/>
            <w:vAlign w:val="bottom"/>
            <w:gridSpan w:val="2"/>
            <w:shd w:val="clear" w:color="auto" w:fill="D6F3E8"/>
          </w:tcPr>
          <w:p>
            <w:pPr>
              <w:ind w:left="20"/>
              <w:spacing w:after="0"/>
              <w:rPr>
                <w:sz w:val="20"/>
                <w:szCs w:val="20"/>
                <w:color w:val="auto"/>
              </w:rPr>
            </w:pPr>
            <w:r>
              <w:rPr>
                <w:rFonts w:ascii="Arial" w:cs="Arial" w:eastAsia="Arial" w:hAnsi="Arial"/>
                <w:sz w:val="17"/>
                <w:szCs w:val="17"/>
                <w:color w:val="auto"/>
              </w:rPr>
              <w:t>Keenan A. Paulson</w:t>
            </w:r>
          </w:p>
        </w:tc>
        <w:tc>
          <w:tcPr>
            <w:tcW w:w="740" w:type="dxa"/>
            <w:vAlign w:val="bottom"/>
            <w:shd w:val="clear" w:color="auto" w:fill="D6F3E8"/>
          </w:tcPr>
          <w:p>
            <w:pPr>
              <w:jc w:val="center"/>
              <w:spacing w:after="0"/>
              <w:rPr>
                <w:sz w:val="20"/>
                <w:szCs w:val="20"/>
                <w:color w:val="auto"/>
              </w:rPr>
            </w:pPr>
            <w:r>
              <w:rPr>
                <w:rFonts w:ascii="Arial" w:cs="Arial" w:eastAsia="Arial" w:hAnsi="Arial"/>
                <w:sz w:val="17"/>
                <w:szCs w:val="17"/>
                <w:color w:val="auto"/>
                <w:w w:val="94"/>
              </w:rPr>
              <w:t>57</w:t>
            </w:r>
          </w:p>
        </w:tc>
        <w:tc>
          <w:tcPr>
            <w:tcW w:w="180" w:type="dxa"/>
            <w:vAlign w:val="bottom"/>
            <w:shd w:val="clear" w:color="auto" w:fill="D6F3E8"/>
          </w:tcPr>
          <w:p>
            <w:pPr>
              <w:spacing w:after="0"/>
              <w:rPr>
                <w:sz w:val="18"/>
                <w:szCs w:val="18"/>
                <w:color w:val="auto"/>
              </w:rPr>
            </w:pPr>
          </w:p>
        </w:tc>
        <w:tc>
          <w:tcPr>
            <w:tcW w:w="5860" w:type="dxa"/>
            <w:vAlign w:val="bottom"/>
            <w:shd w:val="clear" w:color="auto" w:fill="D6F3E8"/>
          </w:tcPr>
          <w:p>
            <w:pPr>
              <w:spacing w:after="0"/>
              <w:rPr>
                <w:sz w:val="20"/>
                <w:szCs w:val="20"/>
                <w:color w:val="auto"/>
              </w:rPr>
            </w:pPr>
            <w:r>
              <w:rPr>
                <w:rFonts w:ascii="Arial" w:cs="Arial" w:eastAsia="Arial" w:hAnsi="Arial"/>
                <w:sz w:val="17"/>
                <w:szCs w:val="17"/>
                <w:color w:val="auto"/>
              </w:rPr>
              <w:t>Vice President - Water Treatment Group</w:t>
            </w:r>
          </w:p>
        </w:tc>
      </w:tr>
      <w:tr>
        <w:trPr>
          <w:trHeight w:val="361"/>
        </w:trPr>
        <w:tc>
          <w:tcPr>
            <w:tcW w:w="2580" w:type="dxa"/>
            <w:vAlign w:val="bottom"/>
            <w:gridSpan w:val="2"/>
          </w:tcPr>
          <w:p>
            <w:pPr>
              <w:ind w:left="20"/>
              <w:spacing w:after="0"/>
              <w:rPr>
                <w:sz w:val="20"/>
                <w:szCs w:val="20"/>
                <w:color w:val="auto"/>
              </w:rPr>
            </w:pPr>
            <w:r>
              <w:rPr>
                <w:rFonts w:ascii="Arial" w:cs="Arial" w:eastAsia="Arial" w:hAnsi="Arial"/>
                <w:sz w:val="17"/>
                <w:szCs w:val="17"/>
                <w:color w:val="auto"/>
              </w:rPr>
              <w:t>John R. Sevenich</w:t>
            </w:r>
          </w:p>
        </w:tc>
        <w:tc>
          <w:tcPr>
            <w:tcW w:w="740" w:type="dxa"/>
            <w:vAlign w:val="bottom"/>
          </w:tcPr>
          <w:p>
            <w:pPr>
              <w:jc w:val="center"/>
              <w:spacing w:after="0"/>
              <w:rPr>
                <w:sz w:val="20"/>
                <w:szCs w:val="20"/>
                <w:color w:val="auto"/>
              </w:rPr>
            </w:pPr>
            <w:r>
              <w:rPr>
                <w:rFonts w:ascii="Arial" w:cs="Arial" w:eastAsia="Arial" w:hAnsi="Arial"/>
                <w:sz w:val="17"/>
                <w:szCs w:val="17"/>
                <w:color w:val="auto"/>
                <w:w w:val="94"/>
              </w:rPr>
              <w:t>49</w:t>
            </w:r>
          </w:p>
        </w:tc>
        <w:tc>
          <w:tcPr>
            <w:tcW w:w="180" w:type="dxa"/>
            <w:vAlign w:val="bottom"/>
          </w:tcPr>
          <w:p>
            <w:pPr>
              <w:spacing w:after="0"/>
              <w:rPr>
                <w:sz w:val="24"/>
                <w:szCs w:val="24"/>
                <w:color w:val="auto"/>
              </w:rPr>
            </w:pPr>
          </w:p>
        </w:tc>
        <w:tc>
          <w:tcPr>
            <w:tcW w:w="5860" w:type="dxa"/>
            <w:vAlign w:val="bottom"/>
          </w:tcPr>
          <w:p>
            <w:pPr>
              <w:spacing w:after="0"/>
              <w:rPr>
                <w:sz w:val="20"/>
                <w:szCs w:val="20"/>
                <w:color w:val="auto"/>
              </w:rPr>
            </w:pPr>
            <w:r>
              <w:rPr>
                <w:rFonts w:ascii="Arial" w:cs="Arial" w:eastAsia="Arial" w:hAnsi="Arial"/>
                <w:sz w:val="17"/>
                <w:szCs w:val="17"/>
                <w:color w:val="auto"/>
              </w:rPr>
              <w:t>Vice President – Industrial Group</w:t>
            </w:r>
          </w:p>
        </w:tc>
      </w:tr>
      <w:tr>
        <w:trPr>
          <w:trHeight w:val="150"/>
        </w:trPr>
        <w:tc>
          <w:tcPr>
            <w:tcW w:w="2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60" w:type="dxa"/>
            <w:vAlign w:val="bottom"/>
          </w:tcPr>
          <w:p>
            <w:pPr>
              <w:spacing w:after="0"/>
              <w:rPr>
                <w:sz w:val="13"/>
                <w:szCs w:val="13"/>
                <w:color w:val="auto"/>
              </w:rPr>
            </w:pPr>
          </w:p>
        </w:tc>
      </w:tr>
      <w:tr>
        <w:trPr>
          <w:trHeight w:val="215"/>
        </w:trPr>
        <w:tc>
          <w:tcPr>
            <w:tcW w:w="2580" w:type="dxa"/>
            <w:vAlign w:val="bottom"/>
            <w:gridSpan w:val="2"/>
            <w:shd w:val="clear" w:color="auto" w:fill="D6F3E8"/>
          </w:tcPr>
          <w:p>
            <w:pPr>
              <w:ind w:left="20"/>
              <w:spacing w:after="0"/>
              <w:rPr>
                <w:sz w:val="20"/>
                <w:szCs w:val="20"/>
                <w:color w:val="auto"/>
              </w:rPr>
            </w:pPr>
            <w:r>
              <w:rPr>
                <w:rFonts w:ascii="Arial" w:cs="Arial" w:eastAsia="Arial" w:hAnsi="Arial"/>
                <w:sz w:val="17"/>
                <w:szCs w:val="17"/>
                <w:color w:val="auto"/>
              </w:rPr>
              <w:t>Daniel E. Soderlund</w:t>
            </w:r>
          </w:p>
        </w:tc>
        <w:tc>
          <w:tcPr>
            <w:tcW w:w="740" w:type="dxa"/>
            <w:vAlign w:val="bottom"/>
            <w:shd w:val="clear" w:color="auto" w:fill="D6F3E8"/>
          </w:tcPr>
          <w:p>
            <w:pPr>
              <w:jc w:val="center"/>
              <w:spacing w:after="0"/>
              <w:rPr>
                <w:sz w:val="20"/>
                <w:szCs w:val="20"/>
                <w:color w:val="auto"/>
              </w:rPr>
            </w:pPr>
            <w:r>
              <w:rPr>
                <w:rFonts w:ascii="Arial" w:cs="Arial" w:eastAsia="Arial" w:hAnsi="Arial"/>
                <w:sz w:val="17"/>
                <w:szCs w:val="17"/>
                <w:color w:val="auto"/>
                <w:w w:val="94"/>
              </w:rPr>
              <w:t>44</w:t>
            </w:r>
          </w:p>
        </w:tc>
        <w:tc>
          <w:tcPr>
            <w:tcW w:w="180" w:type="dxa"/>
            <w:vAlign w:val="bottom"/>
            <w:shd w:val="clear" w:color="auto" w:fill="D6F3E8"/>
          </w:tcPr>
          <w:p>
            <w:pPr>
              <w:spacing w:after="0"/>
              <w:rPr>
                <w:sz w:val="18"/>
                <w:szCs w:val="18"/>
                <w:color w:val="auto"/>
              </w:rPr>
            </w:pPr>
          </w:p>
        </w:tc>
        <w:tc>
          <w:tcPr>
            <w:tcW w:w="5860" w:type="dxa"/>
            <w:vAlign w:val="bottom"/>
            <w:shd w:val="clear" w:color="auto" w:fill="D6F3E8"/>
          </w:tcPr>
          <w:p>
            <w:pPr>
              <w:spacing w:after="0"/>
              <w:rPr>
                <w:sz w:val="20"/>
                <w:szCs w:val="20"/>
                <w:color w:val="auto"/>
              </w:rPr>
            </w:pPr>
            <w:r>
              <w:rPr>
                <w:rFonts w:ascii="Arial" w:cs="Arial" w:eastAsia="Arial" w:hAnsi="Arial"/>
                <w:sz w:val="17"/>
                <w:szCs w:val="17"/>
                <w:color w:val="auto"/>
              </w:rPr>
              <w:t>Vice President – Pharmaceutical Group</w:t>
            </w:r>
          </w:p>
        </w:tc>
      </w:tr>
    </w:tbl>
    <w:p>
      <w:pPr>
        <w:spacing w:after="0" w:line="207" w:lineRule="exact"/>
        <w:rPr>
          <w:sz w:val="20"/>
          <w:szCs w:val="20"/>
          <w:color w:val="auto"/>
        </w:rPr>
      </w:pPr>
    </w:p>
    <w:p>
      <w:pPr>
        <w:ind w:right="140" w:firstLine="685"/>
        <w:spacing w:after="0" w:line="280" w:lineRule="auto"/>
        <w:rPr>
          <w:sz w:val="20"/>
          <w:szCs w:val="20"/>
          <w:color w:val="auto"/>
        </w:rPr>
      </w:pPr>
      <w:r>
        <w:rPr>
          <w:rFonts w:ascii="Arial" w:cs="Arial" w:eastAsia="Arial" w:hAnsi="Arial"/>
          <w:sz w:val="17"/>
          <w:szCs w:val="17"/>
          <w:color w:val="auto"/>
        </w:rPr>
        <w:t>John R. Hawkins has been the Company’s Chief Executive Officer since February 2000 and was Chairman of the Board from February 2000 to September 2005. He was President and Chief Operating Officer from December 1998 to February 2000 and was Secretary from 1991 to December 1999. He was an Executive Vice President from 1997 to December 1998 and Vice President of Sales from 1987 to 1997.</w:t>
      </w:r>
    </w:p>
    <w:p>
      <w:pPr>
        <w:spacing w:after="0" w:line="69" w:lineRule="exact"/>
        <w:rPr>
          <w:sz w:val="20"/>
          <w:szCs w:val="20"/>
          <w:color w:val="auto"/>
        </w:rPr>
      </w:pPr>
    </w:p>
    <w:p>
      <w:pPr>
        <w:ind w:right="320" w:firstLine="685"/>
        <w:spacing w:after="0" w:line="305" w:lineRule="auto"/>
        <w:rPr>
          <w:sz w:val="20"/>
          <w:szCs w:val="20"/>
          <w:color w:val="auto"/>
        </w:rPr>
      </w:pPr>
      <w:r>
        <w:rPr>
          <w:rFonts w:ascii="Arial" w:cs="Arial" w:eastAsia="Arial" w:hAnsi="Arial"/>
          <w:sz w:val="16"/>
          <w:szCs w:val="16"/>
          <w:color w:val="auto"/>
        </w:rPr>
        <w:t>Marvin E. Dee has been the Company’s Vice President and Chief Financial Officer since September 1999 and its Secretary and Treasurer since December 1999. He was the Chief Financial Officer of Nath Companies from 1997 to September 1999, the Vice President of Finance and Treasurer of Tricord Systems, Inc. from 1993 to 1997 and Senior Director of Accounting of NordicTrack, Inc. in 1993 and the Controller of NordicTrack from 1991 to 1992.</w:t>
      </w:r>
    </w:p>
    <w:p>
      <w:pPr>
        <w:spacing w:after="0" w:line="51" w:lineRule="exact"/>
        <w:rPr>
          <w:sz w:val="20"/>
          <w:szCs w:val="20"/>
          <w:color w:val="auto"/>
        </w:rPr>
      </w:pPr>
    </w:p>
    <w:p>
      <w:pPr>
        <w:ind w:right="120" w:firstLine="685"/>
        <w:spacing w:after="0" w:line="296" w:lineRule="auto"/>
        <w:rPr>
          <w:sz w:val="20"/>
          <w:szCs w:val="20"/>
          <w:color w:val="auto"/>
        </w:rPr>
      </w:pPr>
      <w:r>
        <w:rPr>
          <w:rFonts w:ascii="Arial" w:cs="Arial" w:eastAsia="Arial" w:hAnsi="Arial"/>
          <w:sz w:val="17"/>
          <w:szCs w:val="17"/>
          <w:color w:val="auto"/>
        </w:rPr>
        <w:t>Keenan A. Paulson has been the Company’s Vice President – Water Treatment Group since May 2000. Prior to attaining this position, Ms. Paulson held various positions during her 35-year career with the Company, most recently as its Water Treatment General Manager.</w:t>
      </w:r>
    </w:p>
    <w:p>
      <w:pPr>
        <w:spacing w:after="0" w:line="56" w:lineRule="exact"/>
        <w:rPr>
          <w:sz w:val="20"/>
          <w:szCs w:val="20"/>
          <w:color w:val="auto"/>
        </w:rPr>
      </w:pPr>
    </w:p>
    <w:p>
      <w:pPr>
        <w:ind w:firstLine="685"/>
        <w:spacing w:after="0" w:line="296" w:lineRule="auto"/>
        <w:rPr>
          <w:sz w:val="20"/>
          <w:szCs w:val="20"/>
          <w:color w:val="auto"/>
        </w:rPr>
      </w:pPr>
      <w:r>
        <w:rPr>
          <w:rFonts w:ascii="Arial" w:cs="Arial" w:eastAsia="Arial" w:hAnsi="Arial"/>
          <w:sz w:val="17"/>
          <w:szCs w:val="17"/>
          <w:color w:val="auto"/>
        </w:rPr>
        <w:t>John R. Sevenich has been the Company’s Vice President – Industrial Group since May 2000. He was the Business Unit Manager of Manufacturing from 1998 to May 2000 and was a Sales Representative with the Company from 1989 to 1998.</w:t>
      </w:r>
    </w:p>
    <w:p>
      <w:pPr>
        <w:spacing w:after="0" w:line="56" w:lineRule="exact"/>
        <w:rPr>
          <w:sz w:val="20"/>
          <w:szCs w:val="20"/>
          <w:color w:val="auto"/>
        </w:rPr>
      </w:pPr>
    </w:p>
    <w:p>
      <w:pPr>
        <w:ind w:right="860" w:firstLine="685"/>
        <w:spacing w:after="0" w:line="296" w:lineRule="auto"/>
        <w:rPr>
          <w:sz w:val="20"/>
          <w:szCs w:val="20"/>
          <w:color w:val="auto"/>
        </w:rPr>
      </w:pPr>
      <w:r>
        <w:rPr>
          <w:rFonts w:ascii="Arial" w:cs="Arial" w:eastAsia="Arial" w:hAnsi="Arial"/>
          <w:sz w:val="17"/>
          <w:szCs w:val="17"/>
          <w:color w:val="auto"/>
        </w:rPr>
        <w:t>Daniel E. Soderlund has been the Company’s Vice President – Pharmaceutical Group since May 2000. He was the Business Unit Manager of Pharmaceuticals from April 1999 to May 2000 and was a Sales Representative with the Company from 1992 to April 1999.</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PART II</w:t>
      </w:r>
    </w:p>
    <w:p>
      <w:pPr>
        <w:spacing w:after="0" w:line="231" w:lineRule="exact"/>
        <w:rPr>
          <w:sz w:val="20"/>
          <w:szCs w:val="20"/>
          <w:color w:val="auto"/>
        </w:rPr>
      </w:pPr>
    </w:p>
    <w:p>
      <w:pPr>
        <w:ind w:left="1360" w:right="720" w:hanging="1357"/>
        <w:spacing w:after="0" w:line="249" w:lineRule="auto"/>
        <w:tabs>
          <w:tab w:leader="none" w:pos="134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22"/>
          <w:szCs w:val="22"/>
          <w:color w:val="auto"/>
        </w:rPr>
        <w:t>MARKET FOR THE COMPANY’S COMMON EQUITY, RELATED SHAREHOLDER MATTERS, AND ISSUER PURCHASES OF EQUITY SECURITIES</w:t>
      </w:r>
    </w:p>
    <w:p>
      <w:pPr>
        <w:spacing w:after="0" w:line="223"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3800" w:type="dxa"/>
            <w:vAlign w:val="bottom"/>
            <w:gridSpan w:val="2"/>
          </w:tcPr>
          <w:p>
            <w:pPr>
              <w:spacing w:after="0"/>
              <w:rPr>
                <w:sz w:val="20"/>
                <w:szCs w:val="20"/>
                <w:color w:val="auto"/>
              </w:rPr>
            </w:pPr>
            <w:r>
              <w:rPr>
                <w:rFonts w:ascii="Arial" w:cs="Arial" w:eastAsia="Arial" w:hAnsi="Arial"/>
                <w:sz w:val="13"/>
                <w:szCs w:val="13"/>
                <w:b w:val="1"/>
                <w:bCs w:val="1"/>
                <w:color w:val="auto"/>
              </w:rPr>
              <w:t>Quarterly Stock Data</w:t>
            </w:r>
          </w:p>
        </w:tc>
        <w:tc>
          <w:tcPr>
            <w:tcW w:w="2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6"/>
              </w:rPr>
              <w:t>High</w:t>
            </w:r>
          </w:p>
        </w:tc>
        <w:tc>
          <w:tcPr>
            <w:tcW w:w="220" w:type="dxa"/>
            <w:vAlign w:val="bottom"/>
          </w:tcPr>
          <w:p>
            <w:pPr>
              <w:spacing w:after="0"/>
              <w:rPr>
                <w:sz w:val="13"/>
                <w:szCs w:val="13"/>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Low</w:t>
            </w:r>
          </w:p>
        </w:tc>
      </w:tr>
      <w:tr>
        <w:trPr>
          <w:trHeight w:val="20"/>
        </w:trPr>
        <w:tc>
          <w:tcPr>
            <w:tcW w:w="20" w:type="dxa"/>
            <w:vAlign w:val="bottom"/>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8"/>
        </w:trPr>
        <w:tc>
          <w:tcPr>
            <w:tcW w:w="3800" w:type="dxa"/>
            <w:vAlign w:val="bottom"/>
            <w:gridSpan w:val="2"/>
          </w:tcPr>
          <w:p>
            <w:pPr>
              <w:spacing w:after="0"/>
              <w:rPr>
                <w:sz w:val="20"/>
                <w:szCs w:val="20"/>
                <w:color w:val="auto"/>
              </w:rPr>
            </w:pPr>
            <w:r>
              <w:rPr>
                <w:rFonts w:ascii="Arial" w:cs="Arial" w:eastAsia="Arial" w:hAnsi="Arial"/>
                <w:sz w:val="17"/>
                <w:szCs w:val="17"/>
                <w:color w:val="auto"/>
              </w:rPr>
              <w:t>Fiscal 2007</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97"/>
        </w:trPr>
        <w:tc>
          <w:tcPr>
            <w:tcW w:w="20" w:type="dxa"/>
            <w:vAlign w:val="bottom"/>
          </w:tcPr>
          <w:p>
            <w:pPr>
              <w:spacing w:after="0"/>
              <w:rPr>
                <w:sz w:val="24"/>
                <w:szCs w:val="24"/>
                <w:color w:val="auto"/>
              </w:rPr>
            </w:pPr>
          </w:p>
        </w:tc>
        <w:tc>
          <w:tcPr>
            <w:tcW w:w="3780" w:type="dxa"/>
            <w:vAlign w:val="bottom"/>
            <w:shd w:val="clear" w:color="auto" w:fill="D6F3E8"/>
          </w:tcPr>
          <w:p>
            <w:pPr>
              <w:ind w:left="440"/>
              <w:spacing w:after="0" w:line="296" w:lineRule="exact"/>
              <w:rPr>
                <w:sz w:val="20"/>
                <w:szCs w:val="20"/>
                <w:color w:val="auto"/>
              </w:rPr>
            </w:pPr>
            <w:r>
              <w:rPr>
                <w:rFonts w:ascii="Arial" w:cs="Arial" w:eastAsia="Arial" w:hAnsi="Arial"/>
                <w:sz w:val="17"/>
                <w:szCs w:val="17"/>
                <w:color w:val="auto"/>
              </w:rPr>
              <w:t>4</w:t>
            </w:r>
            <w:r>
              <w:rPr>
                <w:rFonts w:ascii="Arial" w:cs="Arial" w:eastAsia="Arial" w:hAnsi="Arial"/>
                <w:sz w:val="29"/>
                <w:szCs w:val="29"/>
                <w:color w:val="auto"/>
                <w:vertAlign w:val="superscript"/>
              </w:rPr>
              <w:t>th</w:t>
            </w:r>
            <w:r>
              <w:rPr>
                <w:rFonts w:ascii="Arial" w:cs="Arial" w:eastAsia="Arial" w:hAnsi="Arial"/>
                <w:sz w:val="17"/>
                <w:szCs w:val="17"/>
                <w:color w:val="auto"/>
              </w:rPr>
              <w:t xml:space="preserve"> Quarter</w:t>
            </w:r>
          </w:p>
        </w:tc>
        <w:tc>
          <w:tcPr>
            <w:tcW w:w="920" w:type="dxa"/>
            <w:vAlign w:val="bottom"/>
            <w:gridSpan w:val="2"/>
            <w:shd w:val="clear" w:color="auto" w:fill="D6F3E8"/>
          </w:tcPr>
          <w:p>
            <w:pPr>
              <w:jc w:val="right"/>
              <w:spacing w:after="0"/>
              <w:rPr>
                <w:sz w:val="20"/>
                <w:szCs w:val="20"/>
                <w:color w:val="auto"/>
              </w:rPr>
            </w:pPr>
            <w:r>
              <w:rPr>
                <w:rFonts w:ascii="Arial" w:cs="Arial" w:eastAsia="Arial" w:hAnsi="Arial"/>
                <w:sz w:val="17"/>
                <w:szCs w:val="17"/>
                <w:color w:val="auto"/>
              </w:rPr>
              <w:t>$  16.070</w:t>
            </w:r>
          </w:p>
        </w:tc>
        <w:tc>
          <w:tcPr>
            <w:tcW w:w="940" w:type="dxa"/>
            <w:vAlign w:val="bottom"/>
            <w:gridSpan w:val="2"/>
            <w:shd w:val="clear" w:color="auto" w:fill="D6F3E8"/>
          </w:tcPr>
          <w:p>
            <w:pPr>
              <w:jc w:val="right"/>
              <w:spacing w:after="0"/>
              <w:rPr>
                <w:sz w:val="20"/>
                <w:szCs w:val="20"/>
                <w:color w:val="auto"/>
              </w:rPr>
            </w:pPr>
            <w:r>
              <w:rPr>
                <w:rFonts w:ascii="Arial" w:cs="Arial" w:eastAsia="Arial" w:hAnsi="Arial"/>
                <w:sz w:val="17"/>
                <w:szCs w:val="17"/>
                <w:color w:val="auto"/>
              </w:rPr>
              <w:t>$  14.130</w:t>
            </w:r>
          </w:p>
        </w:tc>
        <w:tc>
          <w:tcPr>
            <w:tcW w:w="60" w:type="dxa"/>
            <w:vAlign w:val="bottom"/>
            <w:shd w:val="clear" w:color="auto" w:fill="D6F3E8"/>
          </w:tcPr>
          <w:p>
            <w:pPr>
              <w:spacing w:after="0"/>
              <w:rPr>
                <w:sz w:val="24"/>
                <w:szCs w:val="24"/>
                <w:color w:val="auto"/>
              </w:rPr>
            </w:pPr>
          </w:p>
        </w:tc>
      </w:tr>
    </w:tbl>
    <w:p>
      <w:pPr>
        <w:sectPr>
          <w:pgSz w:w="11900" w:h="16838" w:orient="portrait"/>
          <w:cols w:equalWidth="0" w:num="1">
            <w:col w:w="11420"/>
          </w:cols>
          <w:pgMar w:left="240" w:top="131" w:right="239" w:bottom="0" w:gutter="0" w:footer="0" w:header="0"/>
        </w:sectPr>
      </w:pPr>
    </w:p>
    <w:bookmarkStart w:id="6" w:name="page7"/>
    <w:bookmarkEnd w:id="6"/>
    <w:p>
      <w:pPr>
        <w:spacing w:after="0" w:line="1" w:lineRule="exact"/>
        <w:rPr>
          <w:sz w:val="20"/>
          <w:szCs w:val="20"/>
          <w:color w:val="auto"/>
        </w:rPr>
      </w:pPr>
    </w:p>
    <w:tbl>
      <w:tblPr>
        <w:tblLayout w:type="fixed"/>
        <w:tblInd w:w="2860" w:type="dxa"/>
        <w:tblCellMar>
          <w:top w:w="0" w:type="dxa"/>
          <w:left w:w="0" w:type="dxa"/>
          <w:bottom w:w="0" w:type="dxa"/>
          <w:right w:w="0" w:type="dxa"/>
        </w:tblCellMar>
      </w:tblPr>
      <w:tr>
        <w:trPr>
          <w:trHeight w:val="333"/>
        </w:trPr>
        <w:tc>
          <w:tcPr>
            <w:tcW w:w="20" w:type="dxa"/>
            <w:vAlign w:val="bottom"/>
          </w:tcPr>
          <w:p>
            <w:pPr>
              <w:spacing w:after="0"/>
              <w:rPr>
                <w:sz w:val="24"/>
                <w:szCs w:val="24"/>
                <w:color w:val="auto"/>
              </w:rPr>
            </w:pPr>
          </w:p>
        </w:tc>
        <w:tc>
          <w:tcPr>
            <w:tcW w:w="3780" w:type="dxa"/>
            <w:vAlign w:val="bottom"/>
          </w:tcPr>
          <w:p>
            <w:pPr>
              <w:ind w:left="440"/>
              <w:spacing w:after="0"/>
              <w:rPr>
                <w:sz w:val="20"/>
                <w:szCs w:val="20"/>
                <w:color w:val="auto"/>
              </w:rPr>
            </w:pPr>
            <w:r>
              <w:rPr>
                <w:rFonts w:ascii="Arial" w:cs="Arial" w:eastAsia="Arial" w:hAnsi="Arial"/>
                <w:sz w:val="17"/>
                <w:szCs w:val="17"/>
                <w:color w:val="auto"/>
              </w:rPr>
              <w:t>3</w:t>
            </w:r>
            <w:r>
              <w:rPr>
                <w:rFonts w:ascii="Arial" w:cs="Arial" w:eastAsia="Arial" w:hAnsi="Arial"/>
                <w:sz w:val="29"/>
                <w:szCs w:val="29"/>
                <w:color w:val="auto"/>
                <w:vertAlign w:val="superscript"/>
              </w:rPr>
              <w:t>rd</w:t>
            </w:r>
            <w:r>
              <w:rPr>
                <w:rFonts w:ascii="Arial" w:cs="Arial" w:eastAsia="Arial" w:hAnsi="Arial"/>
                <w:sz w:val="17"/>
                <w:szCs w:val="17"/>
                <w:color w:val="auto"/>
              </w:rPr>
              <w:t xml:space="preserve"> Quarter</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14.780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14.010</w:t>
            </w:r>
          </w:p>
        </w:tc>
        <w:tc>
          <w:tcPr>
            <w:tcW w:w="60" w:type="dxa"/>
            <w:vAlign w:val="bottom"/>
          </w:tcPr>
          <w:p>
            <w:pPr>
              <w:spacing w:after="0"/>
              <w:rPr>
                <w:sz w:val="24"/>
                <w:szCs w:val="24"/>
                <w:color w:val="auto"/>
              </w:rPr>
            </w:pPr>
          </w:p>
        </w:tc>
      </w:tr>
      <w:tr>
        <w:trPr>
          <w:trHeight w:val="296"/>
        </w:trPr>
        <w:tc>
          <w:tcPr>
            <w:tcW w:w="20" w:type="dxa"/>
            <w:vAlign w:val="bottom"/>
          </w:tcPr>
          <w:p>
            <w:pPr>
              <w:spacing w:after="0"/>
              <w:rPr>
                <w:sz w:val="24"/>
                <w:szCs w:val="24"/>
                <w:color w:val="auto"/>
              </w:rPr>
            </w:pPr>
          </w:p>
        </w:tc>
        <w:tc>
          <w:tcPr>
            <w:tcW w:w="3780" w:type="dxa"/>
            <w:vAlign w:val="bottom"/>
            <w:shd w:val="clear" w:color="auto" w:fill="D6F3E8"/>
          </w:tcPr>
          <w:p>
            <w:pPr>
              <w:ind w:left="440"/>
              <w:spacing w:after="0" w:line="295" w:lineRule="exact"/>
              <w:rPr>
                <w:sz w:val="20"/>
                <w:szCs w:val="20"/>
                <w:color w:val="auto"/>
              </w:rPr>
            </w:pPr>
            <w:r>
              <w:rPr>
                <w:rFonts w:ascii="Arial" w:cs="Arial" w:eastAsia="Arial" w:hAnsi="Arial"/>
                <w:sz w:val="17"/>
                <w:szCs w:val="17"/>
                <w:color w:val="auto"/>
              </w:rPr>
              <w:t>2</w:t>
            </w:r>
            <w:r>
              <w:rPr>
                <w:rFonts w:ascii="Arial" w:cs="Arial" w:eastAsia="Arial" w:hAnsi="Arial"/>
                <w:sz w:val="29"/>
                <w:szCs w:val="29"/>
                <w:color w:val="auto"/>
                <w:vertAlign w:val="superscript"/>
              </w:rPr>
              <w:t>nd</w:t>
            </w:r>
            <w:r>
              <w:rPr>
                <w:rFonts w:ascii="Arial" w:cs="Arial" w:eastAsia="Arial" w:hAnsi="Arial"/>
                <w:sz w:val="17"/>
                <w:szCs w:val="17"/>
                <w:color w:val="auto"/>
              </w:rPr>
              <w:t xml:space="preserve"> Quarter</w:t>
            </w:r>
          </w:p>
        </w:tc>
        <w:tc>
          <w:tcPr>
            <w:tcW w:w="220" w:type="dxa"/>
            <w:vAlign w:val="bottom"/>
            <w:shd w:val="clear" w:color="auto" w:fill="D6F3E8"/>
          </w:tcPr>
          <w:p>
            <w:pPr>
              <w:spacing w:after="0"/>
              <w:rPr>
                <w:sz w:val="24"/>
                <w:szCs w:val="24"/>
                <w:color w:val="auto"/>
              </w:rPr>
            </w:pPr>
          </w:p>
        </w:tc>
        <w:tc>
          <w:tcPr>
            <w:tcW w:w="80" w:type="dxa"/>
            <w:vAlign w:val="bottom"/>
            <w:shd w:val="clear" w:color="auto" w:fill="D6F3E8"/>
          </w:tcPr>
          <w:p>
            <w:pPr>
              <w:spacing w:after="0"/>
              <w:rPr>
                <w:sz w:val="24"/>
                <w:szCs w:val="24"/>
                <w:color w:val="auto"/>
              </w:rPr>
            </w:pPr>
          </w:p>
        </w:tc>
        <w:tc>
          <w:tcPr>
            <w:tcW w:w="62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14.250</w:t>
            </w:r>
          </w:p>
        </w:tc>
        <w:tc>
          <w:tcPr>
            <w:tcW w:w="220" w:type="dxa"/>
            <w:vAlign w:val="bottom"/>
            <w:shd w:val="clear" w:color="auto" w:fill="D6F3E8"/>
          </w:tcPr>
          <w:p>
            <w:pPr>
              <w:spacing w:after="0"/>
              <w:rPr>
                <w:sz w:val="24"/>
                <w:szCs w:val="24"/>
                <w:color w:val="auto"/>
              </w:rPr>
            </w:pPr>
          </w:p>
        </w:tc>
        <w:tc>
          <w:tcPr>
            <w:tcW w:w="160" w:type="dxa"/>
            <w:vAlign w:val="bottom"/>
            <w:shd w:val="clear" w:color="auto" w:fill="D6F3E8"/>
          </w:tcPr>
          <w:p>
            <w:pPr>
              <w:spacing w:after="0"/>
              <w:rPr>
                <w:sz w:val="24"/>
                <w:szCs w:val="24"/>
                <w:color w:val="auto"/>
              </w:rPr>
            </w:pPr>
          </w:p>
        </w:tc>
        <w:tc>
          <w:tcPr>
            <w:tcW w:w="5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13.250</w:t>
            </w:r>
          </w:p>
        </w:tc>
        <w:tc>
          <w:tcPr>
            <w:tcW w:w="60" w:type="dxa"/>
            <w:vAlign w:val="bottom"/>
            <w:shd w:val="clear" w:color="auto" w:fill="D6F3E8"/>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3780" w:type="dxa"/>
            <w:vAlign w:val="bottom"/>
          </w:tcPr>
          <w:p>
            <w:pPr>
              <w:ind w:left="440"/>
              <w:spacing w:after="0"/>
              <w:rPr>
                <w:sz w:val="20"/>
                <w:szCs w:val="20"/>
                <w:color w:val="auto"/>
              </w:rPr>
            </w:pPr>
            <w:r>
              <w:rPr>
                <w:rFonts w:ascii="Arial" w:cs="Arial" w:eastAsia="Arial" w:hAnsi="Arial"/>
                <w:sz w:val="17"/>
                <w:szCs w:val="17"/>
                <w:color w:val="auto"/>
              </w:rPr>
              <w:t>1</w:t>
            </w:r>
            <w:r>
              <w:rPr>
                <w:rFonts w:ascii="Arial" w:cs="Arial" w:eastAsia="Arial" w:hAnsi="Arial"/>
                <w:sz w:val="29"/>
                <w:szCs w:val="29"/>
                <w:color w:val="auto"/>
                <w:vertAlign w:val="superscript"/>
              </w:rPr>
              <w:t>st</w:t>
            </w:r>
            <w:r>
              <w:rPr>
                <w:rFonts w:ascii="Arial" w:cs="Arial" w:eastAsia="Arial" w:hAnsi="Arial"/>
                <w:sz w:val="17"/>
                <w:szCs w:val="17"/>
                <w:color w:val="auto"/>
              </w:rPr>
              <w:t xml:space="preserve"> Quarter</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14.380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13.350</w:t>
            </w:r>
          </w:p>
        </w:tc>
        <w:tc>
          <w:tcPr>
            <w:tcW w:w="60" w:type="dxa"/>
            <w:vAlign w:val="bottom"/>
          </w:tcPr>
          <w:p>
            <w:pPr>
              <w:spacing w:after="0"/>
              <w:rPr>
                <w:sz w:val="24"/>
                <w:szCs w:val="24"/>
                <w:color w:val="auto"/>
              </w:rPr>
            </w:pPr>
          </w:p>
        </w:tc>
      </w:tr>
      <w:tr>
        <w:trPr>
          <w:trHeight w:val="327"/>
        </w:trPr>
        <w:tc>
          <w:tcPr>
            <w:tcW w:w="3800" w:type="dxa"/>
            <w:vAlign w:val="bottom"/>
            <w:gridSpan w:val="2"/>
          </w:tcPr>
          <w:p>
            <w:pPr>
              <w:spacing w:after="0"/>
              <w:rPr>
                <w:sz w:val="20"/>
                <w:szCs w:val="20"/>
                <w:color w:val="auto"/>
              </w:rPr>
            </w:pPr>
            <w:r>
              <w:rPr>
                <w:rFonts w:ascii="Arial" w:cs="Arial" w:eastAsia="Arial" w:hAnsi="Arial"/>
                <w:sz w:val="17"/>
                <w:szCs w:val="17"/>
                <w:color w:val="auto"/>
              </w:rPr>
              <w:t>Fiscal 2006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3780" w:type="dxa"/>
            <w:vAlign w:val="bottom"/>
            <w:shd w:val="clear" w:color="auto" w:fill="D6F3E8"/>
          </w:tcPr>
          <w:p>
            <w:pPr>
              <w:ind w:left="440"/>
              <w:spacing w:after="0" w:line="296" w:lineRule="exact"/>
              <w:rPr>
                <w:sz w:val="20"/>
                <w:szCs w:val="20"/>
                <w:color w:val="auto"/>
              </w:rPr>
            </w:pPr>
            <w:r>
              <w:rPr>
                <w:rFonts w:ascii="Arial" w:cs="Arial" w:eastAsia="Arial" w:hAnsi="Arial"/>
                <w:sz w:val="17"/>
                <w:szCs w:val="17"/>
                <w:color w:val="auto"/>
              </w:rPr>
              <w:t>4</w:t>
            </w:r>
            <w:r>
              <w:rPr>
                <w:rFonts w:ascii="Arial" w:cs="Arial" w:eastAsia="Arial" w:hAnsi="Arial"/>
                <w:sz w:val="29"/>
                <w:szCs w:val="29"/>
                <w:color w:val="auto"/>
                <w:vertAlign w:val="superscript"/>
              </w:rPr>
              <w:t>th</w:t>
            </w:r>
            <w:r>
              <w:rPr>
                <w:rFonts w:ascii="Arial" w:cs="Arial" w:eastAsia="Arial" w:hAnsi="Arial"/>
                <w:sz w:val="17"/>
                <w:szCs w:val="17"/>
                <w:color w:val="auto"/>
              </w:rPr>
              <w:t xml:space="preserve"> Quarter</w:t>
            </w:r>
          </w:p>
        </w:tc>
        <w:tc>
          <w:tcPr>
            <w:tcW w:w="300" w:type="dxa"/>
            <w:vAlign w:val="bottom"/>
            <w:gridSpan w:val="2"/>
            <w:shd w:val="clear" w:color="auto" w:fill="D6F3E8"/>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14.380</w:t>
            </w:r>
          </w:p>
        </w:tc>
        <w:tc>
          <w:tcPr>
            <w:tcW w:w="380" w:type="dxa"/>
            <w:vAlign w:val="bottom"/>
            <w:gridSpan w:val="2"/>
            <w:shd w:val="clear" w:color="auto" w:fill="D6F3E8"/>
          </w:tcPr>
          <w:p>
            <w:pPr>
              <w:jc w:val="right"/>
              <w:ind w:right="80"/>
              <w:spacing w:after="0"/>
              <w:rPr>
                <w:sz w:val="20"/>
                <w:szCs w:val="20"/>
                <w:color w:val="auto"/>
              </w:rPr>
            </w:pPr>
            <w:r>
              <w:rPr>
                <w:rFonts w:ascii="Arial" w:cs="Arial" w:eastAsia="Arial" w:hAnsi="Arial"/>
                <w:sz w:val="17"/>
                <w:szCs w:val="17"/>
                <w:color w:val="auto"/>
              </w:rPr>
              <w:t>$</w:t>
            </w:r>
          </w:p>
        </w:tc>
        <w:tc>
          <w:tcPr>
            <w:tcW w:w="5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13.500</w:t>
            </w:r>
          </w:p>
        </w:tc>
        <w:tc>
          <w:tcPr>
            <w:tcW w:w="60" w:type="dxa"/>
            <w:vAlign w:val="bottom"/>
            <w:shd w:val="clear" w:color="auto" w:fill="D6F3E8"/>
          </w:tcPr>
          <w:p>
            <w:pPr>
              <w:spacing w:after="0"/>
              <w:rPr>
                <w:sz w:val="24"/>
                <w:szCs w:val="24"/>
                <w:color w:val="auto"/>
              </w:rPr>
            </w:pPr>
          </w:p>
        </w:tc>
      </w:tr>
      <w:tr>
        <w:trPr>
          <w:trHeight w:val="296"/>
        </w:trPr>
        <w:tc>
          <w:tcPr>
            <w:tcW w:w="20" w:type="dxa"/>
            <w:vAlign w:val="bottom"/>
          </w:tcPr>
          <w:p>
            <w:pPr>
              <w:spacing w:after="0"/>
              <w:rPr>
                <w:sz w:val="24"/>
                <w:szCs w:val="24"/>
                <w:color w:val="auto"/>
              </w:rPr>
            </w:pPr>
          </w:p>
        </w:tc>
        <w:tc>
          <w:tcPr>
            <w:tcW w:w="3780" w:type="dxa"/>
            <w:vAlign w:val="bottom"/>
          </w:tcPr>
          <w:p>
            <w:pPr>
              <w:ind w:left="440"/>
              <w:spacing w:after="0" w:line="295" w:lineRule="exact"/>
              <w:rPr>
                <w:sz w:val="20"/>
                <w:szCs w:val="20"/>
                <w:color w:val="auto"/>
              </w:rPr>
            </w:pPr>
            <w:r>
              <w:rPr>
                <w:rFonts w:ascii="Arial" w:cs="Arial" w:eastAsia="Arial" w:hAnsi="Arial"/>
                <w:sz w:val="17"/>
                <w:szCs w:val="17"/>
                <w:color w:val="auto"/>
              </w:rPr>
              <w:t>3</w:t>
            </w:r>
            <w:r>
              <w:rPr>
                <w:rFonts w:ascii="Arial" w:cs="Arial" w:eastAsia="Arial" w:hAnsi="Arial"/>
                <w:sz w:val="29"/>
                <w:szCs w:val="29"/>
                <w:color w:val="auto"/>
                <w:vertAlign w:val="superscript"/>
              </w:rPr>
              <w:t>rd</w:t>
            </w:r>
            <w:r>
              <w:rPr>
                <w:rFonts w:ascii="Arial" w:cs="Arial" w:eastAsia="Arial" w:hAnsi="Arial"/>
                <w:sz w:val="17"/>
                <w:szCs w:val="17"/>
                <w:color w:val="auto"/>
              </w:rPr>
              <w:t xml:space="preserve"> Quarter</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16.240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12.950</w:t>
            </w:r>
          </w:p>
        </w:tc>
        <w:tc>
          <w:tcPr>
            <w:tcW w:w="60" w:type="dxa"/>
            <w:vAlign w:val="bottom"/>
          </w:tcPr>
          <w:p>
            <w:pPr>
              <w:spacing w:after="0"/>
              <w:rPr>
                <w:sz w:val="24"/>
                <w:szCs w:val="24"/>
                <w:color w:val="auto"/>
              </w:rPr>
            </w:pPr>
          </w:p>
        </w:tc>
      </w:tr>
      <w:tr>
        <w:trPr>
          <w:trHeight w:val="296"/>
        </w:trPr>
        <w:tc>
          <w:tcPr>
            <w:tcW w:w="20" w:type="dxa"/>
            <w:vAlign w:val="bottom"/>
          </w:tcPr>
          <w:p>
            <w:pPr>
              <w:spacing w:after="0"/>
              <w:rPr>
                <w:sz w:val="24"/>
                <w:szCs w:val="24"/>
                <w:color w:val="auto"/>
              </w:rPr>
            </w:pPr>
          </w:p>
        </w:tc>
        <w:tc>
          <w:tcPr>
            <w:tcW w:w="3780" w:type="dxa"/>
            <w:vAlign w:val="bottom"/>
            <w:shd w:val="clear" w:color="auto" w:fill="D6F3E8"/>
          </w:tcPr>
          <w:p>
            <w:pPr>
              <w:ind w:left="440"/>
              <w:spacing w:after="0" w:line="295" w:lineRule="exact"/>
              <w:rPr>
                <w:sz w:val="20"/>
                <w:szCs w:val="20"/>
                <w:color w:val="auto"/>
              </w:rPr>
            </w:pPr>
            <w:r>
              <w:rPr>
                <w:rFonts w:ascii="Arial" w:cs="Arial" w:eastAsia="Arial" w:hAnsi="Arial"/>
                <w:sz w:val="17"/>
                <w:szCs w:val="17"/>
                <w:color w:val="auto"/>
              </w:rPr>
              <w:t>2</w:t>
            </w:r>
            <w:r>
              <w:rPr>
                <w:rFonts w:ascii="Arial" w:cs="Arial" w:eastAsia="Arial" w:hAnsi="Arial"/>
                <w:sz w:val="29"/>
                <w:szCs w:val="29"/>
                <w:color w:val="auto"/>
                <w:vertAlign w:val="superscript"/>
              </w:rPr>
              <w:t>nd</w:t>
            </w:r>
            <w:r>
              <w:rPr>
                <w:rFonts w:ascii="Arial" w:cs="Arial" w:eastAsia="Arial" w:hAnsi="Arial"/>
                <w:sz w:val="17"/>
                <w:szCs w:val="17"/>
                <w:color w:val="auto"/>
              </w:rPr>
              <w:t xml:space="preserve"> Quarter</w:t>
            </w:r>
          </w:p>
        </w:tc>
        <w:tc>
          <w:tcPr>
            <w:tcW w:w="220" w:type="dxa"/>
            <w:vAlign w:val="bottom"/>
            <w:shd w:val="clear" w:color="auto" w:fill="D6F3E8"/>
          </w:tcPr>
          <w:p>
            <w:pPr>
              <w:spacing w:after="0"/>
              <w:rPr>
                <w:sz w:val="24"/>
                <w:szCs w:val="24"/>
                <w:color w:val="auto"/>
              </w:rPr>
            </w:pPr>
          </w:p>
        </w:tc>
        <w:tc>
          <w:tcPr>
            <w:tcW w:w="80" w:type="dxa"/>
            <w:vAlign w:val="bottom"/>
            <w:shd w:val="clear" w:color="auto" w:fill="D6F3E8"/>
          </w:tcPr>
          <w:p>
            <w:pPr>
              <w:spacing w:after="0"/>
              <w:rPr>
                <w:sz w:val="24"/>
                <w:szCs w:val="24"/>
                <w:color w:val="auto"/>
              </w:rPr>
            </w:pPr>
          </w:p>
        </w:tc>
        <w:tc>
          <w:tcPr>
            <w:tcW w:w="62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14.230</w:t>
            </w:r>
          </w:p>
        </w:tc>
        <w:tc>
          <w:tcPr>
            <w:tcW w:w="220" w:type="dxa"/>
            <w:vAlign w:val="bottom"/>
            <w:shd w:val="clear" w:color="auto" w:fill="D6F3E8"/>
          </w:tcPr>
          <w:p>
            <w:pPr>
              <w:spacing w:after="0"/>
              <w:rPr>
                <w:sz w:val="24"/>
                <w:szCs w:val="24"/>
                <w:color w:val="auto"/>
              </w:rPr>
            </w:pPr>
          </w:p>
        </w:tc>
        <w:tc>
          <w:tcPr>
            <w:tcW w:w="160" w:type="dxa"/>
            <w:vAlign w:val="bottom"/>
            <w:shd w:val="clear" w:color="auto" w:fill="D6F3E8"/>
          </w:tcPr>
          <w:p>
            <w:pPr>
              <w:spacing w:after="0"/>
              <w:rPr>
                <w:sz w:val="24"/>
                <w:szCs w:val="24"/>
                <w:color w:val="auto"/>
              </w:rPr>
            </w:pPr>
          </w:p>
        </w:tc>
        <w:tc>
          <w:tcPr>
            <w:tcW w:w="5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11.900</w:t>
            </w:r>
          </w:p>
        </w:tc>
        <w:tc>
          <w:tcPr>
            <w:tcW w:w="60" w:type="dxa"/>
            <w:vAlign w:val="bottom"/>
            <w:shd w:val="clear" w:color="auto" w:fill="D6F3E8"/>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3780" w:type="dxa"/>
            <w:vAlign w:val="bottom"/>
          </w:tcPr>
          <w:p>
            <w:pPr>
              <w:ind w:left="440"/>
              <w:spacing w:after="0"/>
              <w:rPr>
                <w:sz w:val="20"/>
                <w:szCs w:val="20"/>
                <w:color w:val="auto"/>
              </w:rPr>
            </w:pPr>
            <w:r>
              <w:rPr>
                <w:rFonts w:ascii="Arial" w:cs="Arial" w:eastAsia="Arial" w:hAnsi="Arial"/>
                <w:sz w:val="17"/>
                <w:szCs w:val="17"/>
                <w:color w:val="auto"/>
              </w:rPr>
              <w:t>1</w:t>
            </w:r>
            <w:r>
              <w:rPr>
                <w:rFonts w:ascii="Arial" w:cs="Arial" w:eastAsia="Arial" w:hAnsi="Arial"/>
                <w:sz w:val="29"/>
                <w:szCs w:val="29"/>
                <w:color w:val="auto"/>
                <w:vertAlign w:val="superscript"/>
              </w:rPr>
              <w:t>st</w:t>
            </w:r>
            <w:r>
              <w:rPr>
                <w:rFonts w:ascii="Arial" w:cs="Arial" w:eastAsia="Arial" w:hAnsi="Arial"/>
                <w:sz w:val="17"/>
                <w:szCs w:val="17"/>
                <w:color w:val="auto"/>
              </w:rPr>
              <w:t xml:space="preserve"> Quarter</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12.500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11.910</w:t>
            </w:r>
          </w:p>
        </w:tc>
        <w:tc>
          <w:tcPr>
            <w:tcW w:w="60" w:type="dxa"/>
            <w:vAlign w:val="bottom"/>
          </w:tcPr>
          <w:p>
            <w:pPr>
              <w:spacing w:after="0"/>
              <w:rPr>
                <w:sz w:val="24"/>
                <w:szCs w:val="24"/>
                <w:color w:val="auto"/>
              </w:rPr>
            </w:pPr>
          </w:p>
        </w:tc>
      </w:tr>
      <w:tr>
        <w:trPr>
          <w:trHeight w:val="288"/>
        </w:trPr>
        <w:tc>
          <w:tcPr>
            <w:tcW w:w="3800" w:type="dxa"/>
            <w:vAlign w:val="bottom"/>
            <w:gridSpan w:val="2"/>
          </w:tcPr>
          <w:p>
            <w:pPr>
              <w:spacing w:after="0"/>
              <w:rPr>
                <w:sz w:val="20"/>
                <w:szCs w:val="20"/>
                <w:color w:val="auto"/>
              </w:rPr>
            </w:pPr>
            <w:r>
              <w:rPr>
                <w:rFonts w:ascii="Arial" w:cs="Arial" w:eastAsia="Arial" w:hAnsi="Arial"/>
                <w:sz w:val="13"/>
                <w:szCs w:val="13"/>
                <w:b w:val="1"/>
                <w:bCs w:val="1"/>
                <w:color w:val="auto"/>
              </w:rPr>
              <w:t>Cash Dividends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b w:val="1"/>
                <w:bCs w:val="1"/>
                <w:color w:val="auto"/>
                <w:w w:val="90"/>
              </w:rPr>
              <w:t>Declared</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Paid</w:t>
            </w:r>
          </w:p>
        </w:tc>
      </w:tr>
      <w:tr>
        <w:trPr>
          <w:trHeight w:val="20"/>
        </w:trPr>
        <w:tc>
          <w:tcPr>
            <w:tcW w:w="20" w:type="dxa"/>
            <w:vAlign w:val="bottom"/>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8"/>
        </w:trPr>
        <w:tc>
          <w:tcPr>
            <w:tcW w:w="3800" w:type="dxa"/>
            <w:vAlign w:val="bottom"/>
            <w:gridSpan w:val="2"/>
          </w:tcPr>
          <w:p>
            <w:pPr>
              <w:spacing w:after="0"/>
              <w:rPr>
                <w:sz w:val="20"/>
                <w:szCs w:val="20"/>
                <w:color w:val="auto"/>
              </w:rPr>
            </w:pPr>
            <w:r>
              <w:rPr>
                <w:rFonts w:ascii="Arial" w:cs="Arial" w:eastAsia="Arial" w:hAnsi="Arial"/>
                <w:sz w:val="17"/>
                <w:szCs w:val="17"/>
                <w:color w:val="auto"/>
              </w:rPr>
              <w:t>Fiscal 2008</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97"/>
        </w:trPr>
        <w:tc>
          <w:tcPr>
            <w:tcW w:w="20" w:type="dxa"/>
            <w:vAlign w:val="bottom"/>
          </w:tcPr>
          <w:p>
            <w:pPr>
              <w:spacing w:after="0"/>
              <w:rPr>
                <w:sz w:val="24"/>
                <w:szCs w:val="24"/>
                <w:color w:val="auto"/>
              </w:rPr>
            </w:pPr>
          </w:p>
        </w:tc>
        <w:tc>
          <w:tcPr>
            <w:tcW w:w="3780" w:type="dxa"/>
            <w:vAlign w:val="bottom"/>
            <w:shd w:val="clear" w:color="auto" w:fill="D6F3E8"/>
          </w:tcPr>
          <w:p>
            <w:pPr>
              <w:ind w:left="440"/>
              <w:spacing w:after="0" w:line="296" w:lineRule="exact"/>
              <w:rPr>
                <w:sz w:val="20"/>
                <w:szCs w:val="20"/>
                <w:color w:val="auto"/>
              </w:rPr>
            </w:pPr>
            <w:r>
              <w:rPr>
                <w:rFonts w:ascii="Arial" w:cs="Arial" w:eastAsia="Arial" w:hAnsi="Arial"/>
                <w:sz w:val="17"/>
                <w:szCs w:val="17"/>
                <w:color w:val="auto"/>
              </w:rPr>
              <w:t>1</w:t>
            </w:r>
            <w:r>
              <w:rPr>
                <w:rFonts w:ascii="Arial" w:cs="Arial" w:eastAsia="Arial" w:hAnsi="Arial"/>
                <w:sz w:val="29"/>
                <w:szCs w:val="29"/>
                <w:color w:val="auto"/>
                <w:vertAlign w:val="superscript"/>
              </w:rPr>
              <w:t>st</w:t>
            </w:r>
            <w:r>
              <w:rPr>
                <w:rFonts w:ascii="Arial" w:cs="Arial" w:eastAsia="Arial" w:hAnsi="Arial"/>
                <w:sz w:val="17"/>
                <w:szCs w:val="17"/>
                <w:color w:val="auto"/>
              </w:rPr>
              <w:t xml:space="preserve"> Quarter</w:t>
            </w:r>
          </w:p>
        </w:tc>
        <w:tc>
          <w:tcPr>
            <w:tcW w:w="220" w:type="dxa"/>
            <w:vAlign w:val="bottom"/>
            <w:shd w:val="clear" w:color="auto" w:fill="D6F3E8"/>
          </w:tcPr>
          <w:p>
            <w:pPr>
              <w:spacing w:after="0"/>
              <w:rPr>
                <w:sz w:val="24"/>
                <w:szCs w:val="24"/>
                <w:color w:val="auto"/>
              </w:rPr>
            </w:pPr>
          </w:p>
        </w:tc>
        <w:tc>
          <w:tcPr>
            <w:tcW w:w="80" w:type="dxa"/>
            <w:vAlign w:val="bottom"/>
            <w:shd w:val="clear" w:color="auto" w:fill="D6F3E8"/>
          </w:tcPr>
          <w:p>
            <w:pPr>
              <w:spacing w:after="0"/>
              <w:rPr>
                <w:sz w:val="24"/>
                <w:szCs w:val="24"/>
                <w:color w:val="auto"/>
              </w:rPr>
            </w:pPr>
          </w:p>
        </w:tc>
        <w:tc>
          <w:tcPr>
            <w:tcW w:w="620" w:type="dxa"/>
            <w:vAlign w:val="bottom"/>
            <w:shd w:val="clear" w:color="auto" w:fill="D6F3E8"/>
          </w:tcPr>
          <w:p>
            <w:pPr>
              <w:spacing w:after="0"/>
              <w:rPr>
                <w:sz w:val="24"/>
                <w:szCs w:val="24"/>
                <w:color w:val="auto"/>
              </w:rPr>
            </w:pPr>
          </w:p>
        </w:tc>
        <w:tc>
          <w:tcPr>
            <w:tcW w:w="380" w:type="dxa"/>
            <w:vAlign w:val="bottom"/>
            <w:gridSpan w:val="2"/>
            <w:shd w:val="clear" w:color="auto" w:fill="D6F3E8"/>
          </w:tcPr>
          <w:p>
            <w:pPr>
              <w:jc w:val="right"/>
              <w:ind w:right="80"/>
              <w:spacing w:after="0"/>
              <w:rPr>
                <w:sz w:val="20"/>
                <w:szCs w:val="20"/>
                <w:color w:val="auto"/>
              </w:rPr>
            </w:pPr>
            <w:r>
              <w:rPr>
                <w:rFonts w:ascii="Arial" w:cs="Arial" w:eastAsia="Arial" w:hAnsi="Arial"/>
                <w:sz w:val="17"/>
                <w:szCs w:val="17"/>
                <w:color w:val="auto"/>
              </w:rPr>
              <w:t>$</w:t>
            </w:r>
          </w:p>
        </w:tc>
        <w:tc>
          <w:tcPr>
            <w:tcW w:w="5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.22</w:t>
            </w:r>
          </w:p>
        </w:tc>
        <w:tc>
          <w:tcPr>
            <w:tcW w:w="60" w:type="dxa"/>
            <w:vAlign w:val="bottom"/>
            <w:shd w:val="clear" w:color="auto" w:fill="D6F3E8"/>
          </w:tcPr>
          <w:p>
            <w:pPr>
              <w:spacing w:after="0"/>
              <w:rPr>
                <w:sz w:val="24"/>
                <w:szCs w:val="24"/>
                <w:color w:val="auto"/>
              </w:rPr>
            </w:pPr>
          </w:p>
        </w:tc>
      </w:tr>
      <w:tr>
        <w:trPr>
          <w:trHeight w:val="442"/>
        </w:trPr>
        <w:tc>
          <w:tcPr>
            <w:tcW w:w="3800" w:type="dxa"/>
            <w:vAlign w:val="bottom"/>
            <w:gridSpan w:val="2"/>
          </w:tcPr>
          <w:p>
            <w:pPr>
              <w:spacing w:after="0"/>
              <w:rPr>
                <w:sz w:val="20"/>
                <w:szCs w:val="20"/>
                <w:color w:val="auto"/>
              </w:rPr>
            </w:pPr>
            <w:r>
              <w:rPr>
                <w:rFonts w:ascii="Arial" w:cs="Arial" w:eastAsia="Arial" w:hAnsi="Arial"/>
                <w:sz w:val="17"/>
                <w:szCs w:val="17"/>
                <w:color w:val="auto"/>
              </w:rPr>
              <w:t>Fiscal 2007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3780" w:type="dxa"/>
            <w:vAlign w:val="bottom"/>
          </w:tcPr>
          <w:p>
            <w:pPr>
              <w:ind w:left="440"/>
              <w:spacing w:after="0" w:line="298" w:lineRule="exact"/>
              <w:rPr>
                <w:sz w:val="20"/>
                <w:szCs w:val="20"/>
                <w:color w:val="auto"/>
              </w:rPr>
            </w:pPr>
            <w:r>
              <w:rPr>
                <w:rFonts w:ascii="Arial" w:cs="Arial" w:eastAsia="Arial" w:hAnsi="Arial"/>
                <w:sz w:val="17"/>
                <w:szCs w:val="17"/>
                <w:color w:val="auto"/>
              </w:rPr>
              <w:t>4</w:t>
            </w:r>
            <w:r>
              <w:rPr>
                <w:rFonts w:ascii="Arial" w:cs="Arial" w:eastAsia="Arial" w:hAnsi="Arial"/>
                <w:sz w:val="29"/>
                <w:szCs w:val="29"/>
                <w:color w:val="auto"/>
                <w:vertAlign w:val="superscript"/>
              </w:rPr>
              <w:t>th</w:t>
            </w:r>
            <w:r>
              <w:rPr>
                <w:rFonts w:ascii="Arial" w:cs="Arial" w:eastAsia="Arial" w:hAnsi="Arial"/>
                <w:sz w:val="17"/>
                <w:szCs w:val="17"/>
                <w:color w:val="auto"/>
              </w:rPr>
              <w:t xml:space="preserve"> Quarter</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6"/>
        </w:trPr>
        <w:tc>
          <w:tcPr>
            <w:tcW w:w="20" w:type="dxa"/>
            <w:vAlign w:val="bottom"/>
          </w:tcPr>
          <w:p>
            <w:pPr>
              <w:spacing w:after="0"/>
              <w:rPr>
                <w:sz w:val="24"/>
                <w:szCs w:val="24"/>
                <w:color w:val="auto"/>
              </w:rPr>
            </w:pPr>
          </w:p>
        </w:tc>
        <w:tc>
          <w:tcPr>
            <w:tcW w:w="3780" w:type="dxa"/>
            <w:vAlign w:val="bottom"/>
            <w:shd w:val="clear" w:color="auto" w:fill="D6F3E8"/>
          </w:tcPr>
          <w:p>
            <w:pPr>
              <w:ind w:left="440"/>
              <w:spacing w:after="0" w:line="295" w:lineRule="exact"/>
              <w:rPr>
                <w:sz w:val="20"/>
                <w:szCs w:val="20"/>
                <w:color w:val="auto"/>
              </w:rPr>
            </w:pPr>
            <w:r>
              <w:rPr>
                <w:rFonts w:ascii="Arial" w:cs="Arial" w:eastAsia="Arial" w:hAnsi="Arial"/>
                <w:sz w:val="17"/>
                <w:szCs w:val="17"/>
                <w:color w:val="auto"/>
              </w:rPr>
              <w:t>3</w:t>
            </w:r>
            <w:r>
              <w:rPr>
                <w:rFonts w:ascii="Arial" w:cs="Arial" w:eastAsia="Arial" w:hAnsi="Arial"/>
                <w:sz w:val="29"/>
                <w:szCs w:val="29"/>
                <w:color w:val="auto"/>
                <w:vertAlign w:val="superscript"/>
              </w:rPr>
              <w:t>rd</w:t>
            </w:r>
            <w:r>
              <w:rPr>
                <w:rFonts w:ascii="Arial" w:cs="Arial" w:eastAsia="Arial" w:hAnsi="Arial"/>
                <w:sz w:val="17"/>
                <w:szCs w:val="17"/>
                <w:color w:val="auto"/>
              </w:rPr>
              <w:t xml:space="preserve"> Quarter</w:t>
            </w:r>
          </w:p>
        </w:tc>
        <w:tc>
          <w:tcPr>
            <w:tcW w:w="220" w:type="dxa"/>
            <w:vAlign w:val="bottom"/>
            <w:shd w:val="clear" w:color="auto" w:fill="D6F3E8"/>
          </w:tcPr>
          <w:p>
            <w:pPr>
              <w:spacing w:after="0"/>
              <w:rPr>
                <w:sz w:val="24"/>
                <w:szCs w:val="24"/>
                <w:color w:val="auto"/>
              </w:rPr>
            </w:pPr>
          </w:p>
        </w:tc>
        <w:tc>
          <w:tcPr>
            <w:tcW w:w="80" w:type="dxa"/>
            <w:vAlign w:val="bottom"/>
            <w:shd w:val="clear" w:color="auto" w:fill="D6F3E8"/>
          </w:tcPr>
          <w:p>
            <w:pPr>
              <w:spacing w:after="0"/>
              <w:rPr>
                <w:sz w:val="24"/>
                <w:szCs w:val="24"/>
                <w:color w:val="auto"/>
              </w:rPr>
            </w:pPr>
          </w:p>
        </w:tc>
        <w:tc>
          <w:tcPr>
            <w:tcW w:w="620" w:type="dxa"/>
            <w:vAlign w:val="bottom"/>
            <w:shd w:val="clear" w:color="auto" w:fill="D6F3E8"/>
          </w:tcPr>
          <w:p>
            <w:pPr>
              <w:spacing w:after="0"/>
              <w:rPr>
                <w:sz w:val="24"/>
                <w:szCs w:val="24"/>
                <w:color w:val="auto"/>
              </w:rPr>
            </w:pPr>
          </w:p>
        </w:tc>
        <w:tc>
          <w:tcPr>
            <w:tcW w:w="380" w:type="dxa"/>
            <w:vAlign w:val="bottom"/>
            <w:gridSpan w:val="2"/>
            <w:shd w:val="clear" w:color="auto" w:fill="D6F3E8"/>
          </w:tcPr>
          <w:p>
            <w:pPr>
              <w:jc w:val="right"/>
              <w:ind w:right="80"/>
              <w:spacing w:after="0"/>
              <w:rPr>
                <w:sz w:val="20"/>
                <w:szCs w:val="20"/>
                <w:color w:val="auto"/>
              </w:rPr>
            </w:pPr>
            <w:r>
              <w:rPr>
                <w:rFonts w:ascii="Arial" w:cs="Arial" w:eastAsia="Arial" w:hAnsi="Arial"/>
                <w:sz w:val="17"/>
                <w:szCs w:val="17"/>
                <w:color w:val="auto"/>
              </w:rPr>
              <w:t>$</w:t>
            </w:r>
          </w:p>
        </w:tc>
        <w:tc>
          <w:tcPr>
            <w:tcW w:w="5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.22</w:t>
            </w:r>
          </w:p>
        </w:tc>
        <w:tc>
          <w:tcPr>
            <w:tcW w:w="60" w:type="dxa"/>
            <w:vAlign w:val="bottom"/>
            <w:shd w:val="clear" w:color="auto" w:fill="D6F3E8"/>
          </w:tcPr>
          <w:p>
            <w:pPr>
              <w:spacing w:after="0"/>
              <w:rPr>
                <w:sz w:val="24"/>
                <w:szCs w:val="24"/>
                <w:color w:val="auto"/>
              </w:rPr>
            </w:pPr>
          </w:p>
        </w:tc>
      </w:tr>
      <w:tr>
        <w:trPr>
          <w:trHeight w:val="296"/>
        </w:trPr>
        <w:tc>
          <w:tcPr>
            <w:tcW w:w="20" w:type="dxa"/>
            <w:vAlign w:val="bottom"/>
          </w:tcPr>
          <w:p>
            <w:pPr>
              <w:spacing w:after="0"/>
              <w:rPr>
                <w:sz w:val="24"/>
                <w:szCs w:val="24"/>
                <w:color w:val="auto"/>
              </w:rPr>
            </w:pPr>
          </w:p>
        </w:tc>
        <w:tc>
          <w:tcPr>
            <w:tcW w:w="3780" w:type="dxa"/>
            <w:vAlign w:val="bottom"/>
          </w:tcPr>
          <w:p>
            <w:pPr>
              <w:ind w:left="440"/>
              <w:spacing w:after="0" w:line="295" w:lineRule="exact"/>
              <w:rPr>
                <w:sz w:val="20"/>
                <w:szCs w:val="20"/>
                <w:color w:val="auto"/>
              </w:rPr>
            </w:pPr>
            <w:r>
              <w:rPr>
                <w:rFonts w:ascii="Arial" w:cs="Arial" w:eastAsia="Arial" w:hAnsi="Arial"/>
                <w:sz w:val="17"/>
                <w:szCs w:val="17"/>
                <w:color w:val="auto"/>
              </w:rPr>
              <w:t>2</w:t>
            </w:r>
            <w:r>
              <w:rPr>
                <w:rFonts w:ascii="Arial" w:cs="Arial" w:eastAsia="Arial" w:hAnsi="Arial"/>
                <w:sz w:val="29"/>
                <w:szCs w:val="29"/>
                <w:color w:val="auto"/>
                <w:vertAlign w:val="superscript"/>
              </w:rPr>
              <w:t>nd</w:t>
            </w:r>
            <w:r>
              <w:rPr>
                <w:rFonts w:ascii="Arial" w:cs="Arial" w:eastAsia="Arial" w:hAnsi="Arial"/>
                <w:sz w:val="17"/>
                <w:szCs w:val="17"/>
                <w:color w:val="auto"/>
              </w:rPr>
              <w:t xml:space="preserve"> Quarter</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6"/>
        </w:trPr>
        <w:tc>
          <w:tcPr>
            <w:tcW w:w="20" w:type="dxa"/>
            <w:vAlign w:val="bottom"/>
          </w:tcPr>
          <w:p>
            <w:pPr>
              <w:spacing w:after="0"/>
              <w:rPr>
                <w:sz w:val="24"/>
                <w:szCs w:val="24"/>
                <w:color w:val="auto"/>
              </w:rPr>
            </w:pPr>
          </w:p>
        </w:tc>
        <w:tc>
          <w:tcPr>
            <w:tcW w:w="3780" w:type="dxa"/>
            <w:vAlign w:val="bottom"/>
            <w:shd w:val="clear" w:color="auto" w:fill="D6F3E8"/>
          </w:tcPr>
          <w:p>
            <w:pPr>
              <w:ind w:left="440"/>
              <w:spacing w:after="0" w:line="295" w:lineRule="exact"/>
              <w:rPr>
                <w:sz w:val="20"/>
                <w:szCs w:val="20"/>
                <w:color w:val="auto"/>
              </w:rPr>
            </w:pPr>
            <w:r>
              <w:rPr>
                <w:rFonts w:ascii="Arial" w:cs="Arial" w:eastAsia="Arial" w:hAnsi="Arial"/>
                <w:sz w:val="17"/>
                <w:szCs w:val="17"/>
                <w:color w:val="auto"/>
              </w:rPr>
              <w:t>1</w:t>
            </w:r>
            <w:r>
              <w:rPr>
                <w:rFonts w:ascii="Arial" w:cs="Arial" w:eastAsia="Arial" w:hAnsi="Arial"/>
                <w:sz w:val="29"/>
                <w:szCs w:val="29"/>
                <w:color w:val="auto"/>
                <w:vertAlign w:val="superscript"/>
              </w:rPr>
              <w:t>st</w:t>
            </w:r>
            <w:r>
              <w:rPr>
                <w:rFonts w:ascii="Arial" w:cs="Arial" w:eastAsia="Arial" w:hAnsi="Arial"/>
                <w:sz w:val="17"/>
                <w:szCs w:val="17"/>
                <w:color w:val="auto"/>
              </w:rPr>
              <w:t xml:space="preserve"> Quarter</w:t>
            </w:r>
          </w:p>
        </w:tc>
        <w:tc>
          <w:tcPr>
            <w:tcW w:w="220" w:type="dxa"/>
            <w:vAlign w:val="bottom"/>
            <w:shd w:val="clear" w:color="auto" w:fill="D6F3E8"/>
          </w:tcPr>
          <w:p>
            <w:pPr>
              <w:spacing w:after="0"/>
              <w:rPr>
                <w:sz w:val="24"/>
                <w:szCs w:val="24"/>
                <w:color w:val="auto"/>
              </w:rPr>
            </w:pPr>
          </w:p>
        </w:tc>
        <w:tc>
          <w:tcPr>
            <w:tcW w:w="80" w:type="dxa"/>
            <w:vAlign w:val="bottom"/>
            <w:shd w:val="clear" w:color="auto" w:fill="D6F3E8"/>
          </w:tcPr>
          <w:p>
            <w:pPr>
              <w:spacing w:after="0"/>
              <w:rPr>
                <w:sz w:val="24"/>
                <w:szCs w:val="24"/>
                <w:color w:val="auto"/>
              </w:rPr>
            </w:pPr>
          </w:p>
        </w:tc>
        <w:tc>
          <w:tcPr>
            <w:tcW w:w="620" w:type="dxa"/>
            <w:vAlign w:val="bottom"/>
            <w:shd w:val="clear" w:color="auto" w:fill="D6F3E8"/>
          </w:tcPr>
          <w:p>
            <w:pPr>
              <w:spacing w:after="0"/>
              <w:rPr>
                <w:sz w:val="24"/>
                <w:szCs w:val="24"/>
                <w:color w:val="auto"/>
              </w:rPr>
            </w:pPr>
          </w:p>
        </w:tc>
        <w:tc>
          <w:tcPr>
            <w:tcW w:w="380" w:type="dxa"/>
            <w:vAlign w:val="bottom"/>
            <w:gridSpan w:val="2"/>
            <w:shd w:val="clear" w:color="auto" w:fill="D6F3E8"/>
          </w:tcPr>
          <w:p>
            <w:pPr>
              <w:jc w:val="right"/>
              <w:ind w:right="80"/>
              <w:spacing w:after="0"/>
              <w:rPr>
                <w:sz w:val="20"/>
                <w:szCs w:val="20"/>
                <w:color w:val="auto"/>
              </w:rPr>
            </w:pPr>
            <w:r>
              <w:rPr>
                <w:rFonts w:ascii="Arial" w:cs="Arial" w:eastAsia="Arial" w:hAnsi="Arial"/>
                <w:sz w:val="17"/>
                <w:szCs w:val="17"/>
                <w:color w:val="auto"/>
              </w:rPr>
              <w:t>$</w:t>
            </w:r>
          </w:p>
        </w:tc>
        <w:tc>
          <w:tcPr>
            <w:tcW w:w="5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.20</w:t>
            </w:r>
          </w:p>
        </w:tc>
        <w:tc>
          <w:tcPr>
            <w:tcW w:w="60" w:type="dxa"/>
            <w:vAlign w:val="bottom"/>
            <w:shd w:val="clear" w:color="auto" w:fill="D6F3E8"/>
          </w:tcPr>
          <w:p>
            <w:pPr>
              <w:spacing w:after="0"/>
              <w:rPr>
                <w:sz w:val="24"/>
                <w:szCs w:val="24"/>
                <w:color w:val="auto"/>
              </w:rPr>
            </w:pPr>
          </w:p>
        </w:tc>
      </w:tr>
      <w:tr>
        <w:trPr>
          <w:trHeight w:val="442"/>
        </w:trPr>
        <w:tc>
          <w:tcPr>
            <w:tcW w:w="3800" w:type="dxa"/>
            <w:vAlign w:val="bottom"/>
            <w:gridSpan w:val="2"/>
          </w:tcPr>
          <w:p>
            <w:pPr>
              <w:spacing w:after="0"/>
              <w:rPr>
                <w:sz w:val="20"/>
                <w:szCs w:val="20"/>
                <w:color w:val="auto"/>
              </w:rPr>
            </w:pPr>
            <w:r>
              <w:rPr>
                <w:rFonts w:ascii="Arial" w:cs="Arial" w:eastAsia="Arial" w:hAnsi="Arial"/>
                <w:sz w:val="17"/>
                <w:szCs w:val="17"/>
                <w:color w:val="auto"/>
              </w:rPr>
              <w:t>Fiscal 2006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8"/>
        </w:trPr>
        <w:tc>
          <w:tcPr>
            <w:tcW w:w="20" w:type="dxa"/>
            <w:vAlign w:val="bottom"/>
          </w:tcPr>
          <w:p>
            <w:pPr>
              <w:spacing w:after="0"/>
              <w:rPr>
                <w:sz w:val="24"/>
                <w:szCs w:val="24"/>
                <w:color w:val="auto"/>
              </w:rPr>
            </w:pPr>
          </w:p>
        </w:tc>
        <w:tc>
          <w:tcPr>
            <w:tcW w:w="3780" w:type="dxa"/>
            <w:vAlign w:val="bottom"/>
          </w:tcPr>
          <w:p>
            <w:pPr>
              <w:ind w:left="440"/>
              <w:spacing w:after="0" w:line="298" w:lineRule="exact"/>
              <w:rPr>
                <w:sz w:val="20"/>
                <w:szCs w:val="20"/>
                <w:color w:val="auto"/>
              </w:rPr>
            </w:pPr>
            <w:r>
              <w:rPr>
                <w:rFonts w:ascii="Arial" w:cs="Arial" w:eastAsia="Arial" w:hAnsi="Arial"/>
                <w:sz w:val="17"/>
                <w:szCs w:val="17"/>
                <w:color w:val="auto"/>
              </w:rPr>
              <w:t>4</w:t>
            </w:r>
            <w:r>
              <w:rPr>
                <w:rFonts w:ascii="Arial" w:cs="Arial" w:eastAsia="Arial" w:hAnsi="Arial"/>
                <w:sz w:val="29"/>
                <w:szCs w:val="29"/>
                <w:color w:val="auto"/>
                <w:vertAlign w:val="superscript"/>
              </w:rPr>
              <w:t>th</w:t>
            </w:r>
            <w:r>
              <w:rPr>
                <w:rFonts w:ascii="Arial" w:cs="Arial" w:eastAsia="Arial" w:hAnsi="Arial"/>
                <w:sz w:val="17"/>
                <w:szCs w:val="17"/>
                <w:color w:val="auto"/>
              </w:rPr>
              <w:t xml:space="preserve"> Quarter</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6"/>
        </w:trPr>
        <w:tc>
          <w:tcPr>
            <w:tcW w:w="20" w:type="dxa"/>
            <w:vAlign w:val="bottom"/>
          </w:tcPr>
          <w:p>
            <w:pPr>
              <w:spacing w:after="0"/>
              <w:rPr>
                <w:sz w:val="24"/>
                <w:szCs w:val="24"/>
                <w:color w:val="auto"/>
              </w:rPr>
            </w:pPr>
          </w:p>
        </w:tc>
        <w:tc>
          <w:tcPr>
            <w:tcW w:w="3780" w:type="dxa"/>
            <w:vAlign w:val="bottom"/>
            <w:shd w:val="clear" w:color="auto" w:fill="D6F3E8"/>
          </w:tcPr>
          <w:p>
            <w:pPr>
              <w:ind w:left="440"/>
              <w:spacing w:after="0" w:line="295" w:lineRule="exact"/>
              <w:rPr>
                <w:sz w:val="20"/>
                <w:szCs w:val="20"/>
                <w:color w:val="auto"/>
              </w:rPr>
            </w:pPr>
            <w:r>
              <w:rPr>
                <w:rFonts w:ascii="Arial" w:cs="Arial" w:eastAsia="Arial" w:hAnsi="Arial"/>
                <w:sz w:val="17"/>
                <w:szCs w:val="17"/>
                <w:color w:val="auto"/>
              </w:rPr>
              <w:t>3</w:t>
            </w:r>
            <w:r>
              <w:rPr>
                <w:rFonts w:ascii="Arial" w:cs="Arial" w:eastAsia="Arial" w:hAnsi="Arial"/>
                <w:sz w:val="29"/>
                <w:szCs w:val="29"/>
                <w:color w:val="auto"/>
                <w:vertAlign w:val="superscript"/>
              </w:rPr>
              <w:t>rd</w:t>
            </w:r>
            <w:r>
              <w:rPr>
                <w:rFonts w:ascii="Arial" w:cs="Arial" w:eastAsia="Arial" w:hAnsi="Arial"/>
                <w:sz w:val="17"/>
                <w:szCs w:val="17"/>
                <w:color w:val="auto"/>
              </w:rPr>
              <w:t xml:space="preserve"> Quarter</w:t>
            </w:r>
          </w:p>
        </w:tc>
        <w:tc>
          <w:tcPr>
            <w:tcW w:w="220" w:type="dxa"/>
            <w:vAlign w:val="bottom"/>
            <w:shd w:val="clear" w:color="auto" w:fill="D6F3E8"/>
          </w:tcPr>
          <w:p>
            <w:pPr>
              <w:spacing w:after="0"/>
              <w:rPr>
                <w:sz w:val="24"/>
                <w:szCs w:val="24"/>
                <w:color w:val="auto"/>
              </w:rPr>
            </w:pPr>
          </w:p>
        </w:tc>
        <w:tc>
          <w:tcPr>
            <w:tcW w:w="80" w:type="dxa"/>
            <w:vAlign w:val="bottom"/>
            <w:shd w:val="clear" w:color="auto" w:fill="D6F3E8"/>
          </w:tcPr>
          <w:p>
            <w:pPr>
              <w:spacing w:after="0"/>
              <w:rPr>
                <w:sz w:val="24"/>
                <w:szCs w:val="24"/>
                <w:color w:val="auto"/>
              </w:rPr>
            </w:pPr>
          </w:p>
        </w:tc>
        <w:tc>
          <w:tcPr>
            <w:tcW w:w="620" w:type="dxa"/>
            <w:vAlign w:val="bottom"/>
            <w:shd w:val="clear" w:color="auto" w:fill="D6F3E8"/>
          </w:tcPr>
          <w:p>
            <w:pPr>
              <w:spacing w:after="0"/>
              <w:rPr>
                <w:sz w:val="24"/>
                <w:szCs w:val="24"/>
                <w:color w:val="auto"/>
              </w:rPr>
            </w:pPr>
          </w:p>
        </w:tc>
        <w:tc>
          <w:tcPr>
            <w:tcW w:w="380" w:type="dxa"/>
            <w:vAlign w:val="bottom"/>
            <w:gridSpan w:val="2"/>
            <w:shd w:val="clear" w:color="auto" w:fill="D6F3E8"/>
          </w:tcPr>
          <w:p>
            <w:pPr>
              <w:jc w:val="right"/>
              <w:ind w:right="80"/>
              <w:spacing w:after="0"/>
              <w:rPr>
                <w:sz w:val="20"/>
                <w:szCs w:val="20"/>
                <w:color w:val="auto"/>
              </w:rPr>
            </w:pPr>
            <w:r>
              <w:rPr>
                <w:rFonts w:ascii="Arial" w:cs="Arial" w:eastAsia="Arial" w:hAnsi="Arial"/>
                <w:sz w:val="17"/>
                <w:szCs w:val="17"/>
                <w:color w:val="auto"/>
              </w:rPr>
              <w:t>$</w:t>
            </w:r>
          </w:p>
        </w:tc>
        <w:tc>
          <w:tcPr>
            <w:tcW w:w="5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.20</w:t>
            </w:r>
          </w:p>
        </w:tc>
        <w:tc>
          <w:tcPr>
            <w:tcW w:w="60" w:type="dxa"/>
            <w:vAlign w:val="bottom"/>
            <w:shd w:val="clear" w:color="auto" w:fill="D6F3E8"/>
          </w:tcPr>
          <w:p>
            <w:pPr>
              <w:spacing w:after="0"/>
              <w:rPr>
                <w:sz w:val="24"/>
                <w:szCs w:val="24"/>
                <w:color w:val="auto"/>
              </w:rPr>
            </w:pPr>
          </w:p>
        </w:tc>
      </w:tr>
      <w:tr>
        <w:trPr>
          <w:trHeight w:val="296"/>
        </w:trPr>
        <w:tc>
          <w:tcPr>
            <w:tcW w:w="20" w:type="dxa"/>
            <w:vAlign w:val="bottom"/>
          </w:tcPr>
          <w:p>
            <w:pPr>
              <w:spacing w:after="0"/>
              <w:rPr>
                <w:sz w:val="24"/>
                <w:szCs w:val="24"/>
                <w:color w:val="auto"/>
              </w:rPr>
            </w:pPr>
          </w:p>
        </w:tc>
        <w:tc>
          <w:tcPr>
            <w:tcW w:w="3780" w:type="dxa"/>
            <w:vAlign w:val="bottom"/>
          </w:tcPr>
          <w:p>
            <w:pPr>
              <w:ind w:left="440"/>
              <w:spacing w:after="0" w:line="295" w:lineRule="exact"/>
              <w:rPr>
                <w:sz w:val="20"/>
                <w:szCs w:val="20"/>
                <w:color w:val="auto"/>
              </w:rPr>
            </w:pPr>
            <w:r>
              <w:rPr>
                <w:rFonts w:ascii="Arial" w:cs="Arial" w:eastAsia="Arial" w:hAnsi="Arial"/>
                <w:sz w:val="17"/>
                <w:szCs w:val="17"/>
                <w:color w:val="auto"/>
              </w:rPr>
              <w:t>2</w:t>
            </w:r>
            <w:r>
              <w:rPr>
                <w:rFonts w:ascii="Arial" w:cs="Arial" w:eastAsia="Arial" w:hAnsi="Arial"/>
                <w:sz w:val="29"/>
                <w:szCs w:val="29"/>
                <w:color w:val="auto"/>
                <w:vertAlign w:val="superscript"/>
              </w:rPr>
              <w:t>nd</w:t>
            </w:r>
            <w:r>
              <w:rPr>
                <w:rFonts w:ascii="Arial" w:cs="Arial" w:eastAsia="Arial" w:hAnsi="Arial"/>
                <w:sz w:val="17"/>
                <w:szCs w:val="17"/>
                <w:color w:val="auto"/>
              </w:rPr>
              <w:t xml:space="preserve"> Quarter</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6"/>
        </w:trPr>
        <w:tc>
          <w:tcPr>
            <w:tcW w:w="20" w:type="dxa"/>
            <w:vAlign w:val="bottom"/>
          </w:tcPr>
          <w:p>
            <w:pPr>
              <w:spacing w:after="0"/>
              <w:rPr>
                <w:sz w:val="24"/>
                <w:szCs w:val="24"/>
                <w:color w:val="auto"/>
              </w:rPr>
            </w:pPr>
          </w:p>
        </w:tc>
        <w:tc>
          <w:tcPr>
            <w:tcW w:w="3780" w:type="dxa"/>
            <w:vAlign w:val="bottom"/>
            <w:shd w:val="clear" w:color="auto" w:fill="D6F3E8"/>
          </w:tcPr>
          <w:p>
            <w:pPr>
              <w:ind w:left="440"/>
              <w:spacing w:after="0" w:line="295" w:lineRule="exact"/>
              <w:rPr>
                <w:sz w:val="20"/>
                <w:szCs w:val="20"/>
                <w:color w:val="auto"/>
              </w:rPr>
            </w:pPr>
            <w:r>
              <w:rPr>
                <w:rFonts w:ascii="Arial" w:cs="Arial" w:eastAsia="Arial" w:hAnsi="Arial"/>
                <w:sz w:val="17"/>
                <w:szCs w:val="17"/>
                <w:color w:val="auto"/>
              </w:rPr>
              <w:t>1</w:t>
            </w:r>
            <w:r>
              <w:rPr>
                <w:rFonts w:ascii="Arial" w:cs="Arial" w:eastAsia="Arial" w:hAnsi="Arial"/>
                <w:sz w:val="29"/>
                <w:szCs w:val="29"/>
                <w:color w:val="auto"/>
                <w:vertAlign w:val="superscript"/>
              </w:rPr>
              <w:t>st</w:t>
            </w:r>
            <w:r>
              <w:rPr>
                <w:rFonts w:ascii="Arial" w:cs="Arial" w:eastAsia="Arial" w:hAnsi="Arial"/>
                <w:sz w:val="17"/>
                <w:szCs w:val="17"/>
                <w:color w:val="auto"/>
              </w:rPr>
              <w:t xml:space="preserve"> Quarter</w:t>
            </w:r>
          </w:p>
        </w:tc>
        <w:tc>
          <w:tcPr>
            <w:tcW w:w="220" w:type="dxa"/>
            <w:vAlign w:val="bottom"/>
            <w:shd w:val="clear" w:color="auto" w:fill="D6F3E8"/>
          </w:tcPr>
          <w:p>
            <w:pPr>
              <w:spacing w:after="0"/>
              <w:rPr>
                <w:sz w:val="24"/>
                <w:szCs w:val="24"/>
                <w:color w:val="auto"/>
              </w:rPr>
            </w:pPr>
          </w:p>
        </w:tc>
        <w:tc>
          <w:tcPr>
            <w:tcW w:w="80" w:type="dxa"/>
            <w:vAlign w:val="bottom"/>
            <w:shd w:val="clear" w:color="auto" w:fill="D6F3E8"/>
          </w:tcPr>
          <w:p>
            <w:pPr>
              <w:spacing w:after="0"/>
              <w:rPr>
                <w:sz w:val="24"/>
                <w:szCs w:val="24"/>
                <w:color w:val="auto"/>
              </w:rPr>
            </w:pPr>
          </w:p>
        </w:tc>
        <w:tc>
          <w:tcPr>
            <w:tcW w:w="620" w:type="dxa"/>
            <w:vAlign w:val="bottom"/>
            <w:shd w:val="clear" w:color="auto" w:fill="D6F3E8"/>
          </w:tcPr>
          <w:p>
            <w:pPr>
              <w:spacing w:after="0"/>
              <w:rPr>
                <w:sz w:val="24"/>
                <w:szCs w:val="24"/>
                <w:color w:val="auto"/>
              </w:rPr>
            </w:pPr>
          </w:p>
        </w:tc>
        <w:tc>
          <w:tcPr>
            <w:tcW w:w="380" w:type="dxa"/>
            <w:vAlign w:val="bottom"/>
            <w:gridSpan w:val="2"/>
            <w:shd w:val="clear" w:color="auto" w:fill="D6F3E8"/>
          </w:tcPr>
          <w:p>
            <w:pPr>
              <w:jc w:val="right"/>
              <w:ind w:right="80"/>
              <w:spacing w:after="0"/>
              <w:rPr>
                <w:sz w:val="20"/>
                <w:szCs w:val="20"/>
                <w:color w:val="auto"/>
              </w:rPr>
            </w:pPr>
            <w:r>
              <w:rPr>
                <w:rFonts w:ascii="Arial" w:cs="Arial" w:eastAsia="Arial" w:hAnsi="Arial"/>
                <w:sz w:val="17"/>
                <w:szCs w:val="17"/>
                <w:color w:val="auto"/>
              </w:rPr>
              <w:t>$</w:t>
            </w:r>
          </w:p>
        </w:tc>
        <w:tc>
          <w:tcPr>
            <w:tcW w:w="5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.18</w:t>
            </w:r>
          </w:p>
        </w:tc>
        <w:tc>
          <w:tcPr>
            <w:tcW w:w="60" w:type="dxa"/>
            <w:vAlign w:val="bottom"/>
            <w:shd w:val="clear" w:color="auto" w:fill="D6F3E8"/>
          </w:tcPr>
          <w:p>
            <w:pPr>
              <w:spacing w:after="0"/>
              <w:rPr>
                <w:sz w:val="24"/>
                <w:szCs w:val="24"/>
                <w:color w:val="auto"/>
              </w:rPr>
            </w:pPr>
          </w:p>
        </w:tc>
      </w:tr>
    </w:tbl>
    <w:p>
      <w:pPr>
        <w:spacing w:after="0" w:line="200" w:lineRule="exact"/>
        <w:rPr>
          <w:sz w:val="20"/>
          <w:szCs w:val="20"/>
          <w:color w:val="auto"/>
        </w:rPr>
      </w:pPr>
    </w:p>
    <w:p>
      <w:pPr>
        <w:spacing w:after="0" w:line="222" w:lineRule="exact"/>
        <w:rPr>
          <w:sz w:val="20"/>
          <w:szCs w:val="20"/>
          <w:color w:val="auto"/>
        </w:rPr>
      </w:pPr>
    </w:p>
    <w:p>
      <w:pPr>
        <w:ind w:firstLine="685"/>
        <w:spacing w:after="0" w:line="280" w:lineRule="auto"/>
        <w:rPr>
          <w:sz w:val="20"/>
          <w:szCs w:val="20"/>
          <w:color w:val="auto"/>
        </w:rPr>
      </w:pPr>
      <w:r>
        <w:rPr>
          <w:rFonts w:ascii="Arial" w:cs="Arial" w:eastAsia="Arial" w:hAnsi="Arial"/>
          <w:sz w:val="17"/>
          <w:szCs w:val="17"/>
          <w:color w:val="auto"/>
        </w:rPr>
        <w:t>The Company’s common shares are traded on The NASDAQ Stock Market under the symbol “HWKN.” The price information represents closing sale prices as reported by The NASDAQ Stock Market. As of April 1, 2007, there were approximately 625 registered common shareholders, which includes nominees or broker dealers holding stock on behalf of an estimated 1,380 beneficial owners.</w:t>
      </w:r>
    </w:p>
    <w:p>
      <w:pPr>
        <w:spacing w:after="0" w:line="69" w:lineRule="exact"/>
        <w:rPr>
          <w:sz w:val="20"/>
          <w:szCs w:val="20"/>
          <w:color w:val="auto"/>
        </w:rPr>
      </w:pPr>
    </w:p>
    <w:p>
      <w:pPr>
        <w:ind w:right="280" w:firstLine="685"/>
        <w:spacing w:after="0" w:line="296" w:lineRule="auto"/>
        <w:rPr>
          <w:sz w:val="20"/>
          <w:szCs w:val="20"/>
          <w:color w:val="auto"/>
        </w:rPr>
      </w:pPr>
      <w:r>
        <w:rPr>
          <w:rFonts w:ascii="Arial" w:cs="Arial" w:eastAsia="Arial" w:hAnsi="Arial"/>
          <w:sz w:val="17"/>
          <w:szCs w:val="17"/>
          <w:color w:val="auto"/>
        </w:rPr>
        <w:t>The Company first started paying cash dividends in 1985 and has continued to do so since. Future dividend levels will be dependent upon Hawkins’ results of operations, financial position, cash flows and other factors, and will be evaluated by our Board of Directors.</w:t>
      </w:r>
    </w:p>
    <w:p>
      <w:pPr>
        <w:spacing w:after="0" w:line="163"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The following is a graph comparing the cumulative total shareholder return on the Company’s common stock with the cumulative total returns of the NASDAQ Industrial Index and the NASDAQ Composite Index for the Company’s last five fiscal years. The graph assumes the investment of $100 in the Company’s stock, the NASDAQ Industrial Index and the NASDAQ Composite Index on April 1, 2002, and reinvestment of all dividends.</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35445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3544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20"/>
          <w:szCs w:val="20"/>
          <w:color w:val="auto"/>
        </w:rPr>
        <w:t>SELECTED FINANCIAL DATA</w:t>
      </w:r>
    </w:p>
    <w:p>
      <w:pPr>
        <w:sectPr>
          <w:pgSz w:w="11900" w:h="16838" w:orient="portrait"/>
          <w:cols w:equalWidth="0" w:num="1">
            <w:col w:w="11340"/>
          </w:cols>
          <w:pgMar w:left="240" w:top="115" w:right="31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3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Fiscal Year</w:t>
            </w:r>
          </w:p>
        </w:tc>
        <w:tc>
          <w:tcPr>
            <w:tcW w:w="200" w:type="dxa"/>
            <w:vAlign w:val="bottom"/>
          </w:tcPr>
          <w:p>
            <w:pPr>
              <w:spacing w:after="0"/>
              <w:rPr>
                <w:sz w:val="13"/>
                <w:szCs w:val="13"/>
                <w:color w:val="auto"/>
              </w:rPr>
            </w:pPr>
          </w:p>
        </w:tc>
        <w:tc>
          <w:tcPr>
            <w:tcW w:w="1100" w:type="dxa"/>
            <w:vAlign w:val="bottom"/>
          </w:tcPr>
          <w:p>
            <w:pPr>
              <w:jc w:val="center"/>
              <w:ind w:right="140"/>
              <w:spacing w:after="0"/>
              <w:rPr>
                <w:sz w:val="20"/>
                <w:szCs w:val="20"/>
                <w:color w:val="auto"/>
              </w:rPr>
            </w:pPr>
            <w:r>
              <w:rPr>
                <w:rFonts w:ascii="Arial" w:cs="Arial" w:eastAsia="Arial" w:hAnsi="Arial"/>
                <w:sz w:val="13"/>
                <w:szCs w:val="13"/>
                <w:b w:val="1"/>
                <w:bCs w:val="1"/>
                <w:color w:val="auto"/>
                <w:w w:val="93"/>
              </w:rPr>
              <w:t>Fiscal Year</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Fiscal Year</w:t>
            </w:r>
          </w:p>
        </w:tc>
        <w:tc>
          <w:tcPr>
            <w:tcW w:w="220" w:type="dxa"/>
            <w:vAlign w:val="bottom"/>
          </w:tcPr>
          <w:p>
            <w:pPr>
              <w:spacing w:after="0"/>
              <w:rPr>
                <w:sz w:val="13"/>
                <w:szCs w:val="13"/>
                <w:color w:val="auto"/>
              </w:rPr>
            </w:pPr>
          </w:p>
        </w:tc>
        <w:tc>
          <w:tcPr>
            <w:tcW w:w="1080" w:type="dxa"/>
            <w:vAlign w:val="bottom"/>
          </w:tcPr>
          <w:p>
            <w:pPr>
              <w:jc w:val="center"/>
              <w:ind w:right="120"/>
              <w:spacing w:after="0"/>
              <w:rPr>
                <w:sz w:val="20"/>
                <w:szCs w:val="20"/>
                <w:color w:val="auto"/>
              </w:rPr>
            </w:pPr>
            <w:r>
              <w:rPr>
                <w:rFonts w:ascii="Arial" w:cs="Arial" w:eastAsia="Arial" w:hAnsi="Arial"/>
                <w:sz w:val="13"/>
                <w:szCs w:val="13"/>
                <w:b w:val="1"/>
                <w:bCs w:val="1"/>
                <w:color w:val="auto"/>
                <w:w w:val="93"/>
              </w:rPr>
              <w:t>Fiscal Year</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3"/>
              </w:rPr>
              <w:t>Fiscal Year</w:t>
            </w:r>
          </w:p>
        </w:tc>
      </w:tr>
      <w:tr>
        <w:trPr>
          <w:trHeight w:val="148"/>
        </w:trPr>
        <w:tc>
          <w:tcPr>
            <w:tcW w:w="3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8" w:lineRule="exact"/>
              <w:rPr>
                <w:sz w:val="20"/>
                <w:szCs w:val="20"/>
                <w:color w:val="auto"/>
              </w:rPr>
            </w:pPr>
            <w:r>
              <w:rPr>
                <w:rFonts w:ascii="Arial" w:cs="Arial" w:eastAsia="Arial" w:hAnsi="Arial"/>
                <w:sz w:val="13"/>
                <w:szCs w:val="13"/>
                <w:b w:val="1"/>
                <w:bCs w:val="1"/>
                <w:color w:val="auto"/>
                <w:w w:val="95"/>
              </w:rPr>
              <w:t>Ended</w:t>
            </w:r>
          </w:p>
        </w:tc>
        <w:tc>
          <w:tcPr>
            <w:tcW w:w="200" w:type="dxa"/>
            <w:vAlign w:val="bottom"/>
          </w:tcPr>
          <w:p>
            <w:pPr>
              <w:spacing w:after="0"/>
              <w:rPr>
                <w:sz w:val="12"/>
                <w:szCs w:val="12"/>
                <w:color w:val="auto"/>
              </w:rPr>
            </w:pPr>
          </w:p>
        </w:tc>
        <w:tc>
          <w:tcPr>
            <w:tcW w:w="1100" w:type="dxa"/>
            <w:vAlign w:val="bottom"/>
          </w:tcPr>
          <w:p>
            <w:pPr>
              <w:jc w:val="center"/>
              <w:ind w:right="120"/>
              <w:spacing w:after="0" w:line="148" w:lineRule="exact"/>
              <w:rPr>
                <w:sz w:val="20"/>
                <w:szCs w:val="20"/>
                <w:color w:val="auto"/>
              </w:rPr>
            </w:pPr>
            <w:r>
              <w:rPr>
                <w:rFonts w:ascii="Arial" w:cs="Arial" w:eastAsia="Arial" w:hAnsi="Arial"/>
                <w:sz w:val="13"/>
                <w:szCs w:val="13"/>
                <w:b w:val="1"/>
                <w:bCs w:val="1"/>
                <w:color w:val="auto"/>
                <w:w w:val="95"/>
              </w:rPr>
              <w:t>Ended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8" w:lineRule="exact"/>
              <w:rPr>
                <w:sz w:val="20"/>
                <w:szCs w:val="20"/>
                <w:color w:val="auto"/>
              </w:rPr>
            </w:pPr>
            <w:r>
              <w:rPr>
                <w:rFonts w:ascii="Arial" w:cs="Arial" w:eastAsia="Arial" w:hAnsi="Arial"/>
                <w:sz w:val="13"/>
                <w:szCs w:val="13"/>
                <w:b w:val="1"/>
                <w:bCs w:val="1"/>
                <w:color w:val="auto"/>
                <w:w w:val="90"/>
              </w:rPr>
              <w:t>Ended</w:t>
            </w:r>
          </w:p>
        </w:tc>
        <w:tc>
          <w:tcPr>
            <w:tcW w:w="220" w:type="dxa"/>
            <w:vAlign w:val="bottom"/>
          </w:tcPr>
          <w:p>
            <w:pPr>
              <w:spacing w:after="0"/>
              <w:rPr>
                <w:sz w:val="12"/>
                <w:szCs w:val="12"/>
                <w:color w:val="auto"/>
              </w:rPr>
            </w:pPr>
          </w:p>
        </w:tc>
        <w:tc>
          <w:tcPr>
            <w:tcW w:w="1080" w:type="dxa"/>
            <w:vAlign w:val="bottom"/>
          </w:tcPr>
          <w:p>
            <w:pPr>
              <w:jc w:val="center"/>
              <w:ind w:right="140"/>
              <w:spacing w:after="0" w:line="148" w:lineRule="exact"/>
              <w:rPr>
                <w:sz w:val="20"/>
                <w:szCs w:val="20"/>
                <w:color w:val="auto"/>
              </w:rPr>
            </w:pPr>
            <w:r>
              <w:rPr>
                <w:rFonts w:ascii="Arial" w:cs="Arial" w:eastAsia="Arial" w:hAnsi="Arial"/>
                <w:sz w:val="13"/>
                <w:szCs w:val="13"/>
                <w:b w:val="1"/>
                <w:bCs w:val="1"/>
                <w:color w:val="auto"/>
                <w:w w:val="95"/>
              </w:rPr>
              <w:t>Ended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8" w:lineRule="exact"/>
              <w:rPr>
                <w:sz w:val="20"/>
                <w:szCs w:val="20"/>
                <w:color w:val="auto"/>
              </w:rPr>
            </w:pPr>
            <w:r>
              <w:rPr>
                <w:rFonts w:ascii="Arial" w:cs="Arial" w:eastAsia="Arial" w:hAnsi="Arial"/>
                <w:sz w:val="13"/>
                <w:szCs w:val="13"/>
                <w:b w:val="1"/>
                <w:bCs w:val="1"/>
                <w:color w:val="auto"/>
                <w:w w:val="95"/>
              </w:rPr>
              <w:t>Ended</w:t>
            </w:r>
          </w:p>
        </w:tc>
      </w:tr>
      <w:tr>
        <w:trPr>
          <w:trHeight w:val="148"/>
        </w:trPr>
        <w:tc>
          <w:tcPr>
            <w:tcW w:w="3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8" w:lineRule="exact"/>
              <w:rPr>
                <w:sz w:val="20"/>
                <w:szCs w:val="20"/>
                <w:color w:val="auto"/>
              </w:rPr>
            </w:pPr>
            <w:r>
              <w:rPr>
                <w:rFonts w:ascii="Arial" w:cs="Arial" w:eastAsia="Arial" w:hAnsi="Arial"/>
                <w:sz w:val="13"/>
                <w:szCs w:val="13"/>
                <w:b w:val="1"/>
                <w:bCs w:val="1"/>
                <w:color w:val="auto"/>
                <w:w w:val="99"/>
              </w:rPr>
              <w:t>April 1,</w:t>
            </w:r>
          </w:p>
        </w:tc>
        <w:tc>
          <w:tcPr>
            <w:tcW w:w="200" w:type="dxa"/>
            <w:vAlign w:val="bottom"/>
          </w:tcPr>
          <w:p>
            <w:pPr>
              <w:spacing w:after="0"/>
              <w:rPr>
                <w:sz w:val="12"/>
                <w:szCs w:val="12"/>
                <w:color w:val="auto"/>
              </w:rPr>
            </w:pPr>
          </w:p>
        </w:tc>
        <w:tc>
          <w:tcPr>
            <w:tcW w:w="1100" w:type="dxa"/>
            <w:vAlign w:val="bottom"/>
          </w:tcPr>
          <w:p>
            <w:pPr>
              <w:jc w:val="center"/>
              <w:ind w:right="140"/>
              <w:spacing w:after="0" w:line="148" w:lineRule="exact"/>
              <w:rPr>
                <w:sz w:val="20"/>
                <w:szCs w:val="20"/>
                <w:color w:val="auto"/>
              </w:rPr>
            </w:pPr>
            <w:r>
              <w:rPr>
                <w:rFonts w:ascii="Arial" w:cs="Arial" w:eastAsia="Arial" w:hAnsi="Arial"/>
                <w:sz w:val="13"/>
                <w:szCs w:val="13"/>
                <w:b w:val="1"/>
                <w:bCs w:val="1"/>
                <w:color w:val="auto"/>
                <w:w w:val="99"/>
              </w:rPr>
              <w:t>April 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8" w:lineRule="exact"/>
              <w:rPr>
                <w:sz w:val="20"/>
                <w:szCs w:val="20"/>
                <w:color w:val="auto"/>
              </w:rPr>
            </w:pPr>
            <w:r>
              <w:rPr>
                <w:rFonts w:ascii="Arial" w:cs="Arial" w:eastAsia="Arial" w:hAnsi="Arial"/>
                <w:sz w:val="13"/>
                <w:szCs w:val="13"/>
                <w:b w:val="1"/>
                <w:bCs w:val="1"/>
                <w:color w:val="auto"/>
                <w:w w:val="99"/>
              </w:rPr>
              <w:t>April 3,</w:t>
            </w:r>
          </w:p>
        </w:tc>
        <w:tc>
          <w:tcPr>
            <w:tcW w:w="220" w:type="dxa"/>
            <w:vAlign w:val="bottom"/>
          </w:tcPr>
          <w:p>
            <w:pPr>
              <w:spacing w:after="0"/>
              <w:rPr>
                <w:sz w:val="12"/>
                <w:szCs w:val="12"/>
                <w:color w:val="auto"/>
              </w:rPr>
            </w:pPr>
          </w:p>
        </w:tc>
        <w:tc>
          <w:tcPr>
            <w:tcW w:w="1080" w:type="dxa"/>
            <w:vAlign w:val="bottom"/>
          </w:tcPr>
          <w:p>
            <w:pPr>
              <w:jc w:val="center"/>
              <w:ind w:right="140"/>
              <w:spacing w:after="0" w:line="148" w:lineRule="exact"/>
              <w:rPr>
                <w:sz w:val="20"/>
                <w:szCs w:val="20"/>
                <w:color w:val="auto"/>
              </w:rPr>
            </w:pPr>
            <w:r>
              <w:rPr>
                <w:rFonts w:ascii="Arial" w:cs="Arial" w:eastAsia="Arial" w:hAnsi="Arial"/>
                <w:sz w:val="13"/>
                <w:szCs w:val="13"/>
                <w:b w:val="1"/>
                <w:bCs w:val="1"/>
                <w:color w:val="auto"/>
                <w:w w:val="96"/>
              </w:rPr>
              <w:t>March 28,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8" w:lineRule="exact"/>
              <w:rPr>
                <w:sz w:val="20"/>
                <w:szCs w:val="20"/>
                <w:color w:val="auto"/>
              </w:rPr>
            </w:pPr>
            <w:r>
              <w:rPr>
                <w:rFonts w:ascii="Arial" w:cs="Arial" w:eastAsia="Arial" w:hAnsi="Arial"/>
                <w:sz w:val="13"/>
                <w:szCs w:val="13"/>
                <w:b w:val="1"/>
                <w:bCs w:val="1"/>
                <w:color w:val="auto"/>
                <w:w w:val="96"/>
              </w:rPr>
              <w:t>March 30,</w:t>
            </w:r>
          </w:p>
        </w:tc>
      </w:tr>
      <w:tr>
        <w:trPr>
          <w:trHeight w:val="161"/>
        </w:trPr>
        <w:tc>
          <w:tcPr>
            <w:tcW w:w="3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89"/>
              </w:rPr>
              <w:t>2007</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89"/>
              </w:rPr>
              <w:t>2006</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96"/>
              </w:rPr>
              <w:t>2005</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96"/>
              </w:rPr>
              <w:t>2004</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89"/>
              </w:rPr>
              <w:t>2003</w:t>
            </w:r>
          </w:p>
        </w:tc>
        <w:tc>
          <w:tcPr>
            <w:tcW w:w="140" w:type="dxa"/>
            <w:vAlign w:val="bottom"/>
          </w:tcPr>
          <w:p>
            <w:pPr>
              <w:spacing w:after="0"/>
              <w:rPr>
                <w:sz w:val="13"/>
                <w:szCs w:val="13"/>
                <w:color w:val="auto"/>
              </w:rPr>
            </w:pPr>
          </w:p>
        </w:tc>
      </w:tr>
      <w:tr>
        <w:trPr>
          <w:trHeight w:val="182"/>
        </w:trPr>
        <w:tc>
          <w:tcPr>
            <w:tcW w:w="3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55"/>
        </w:trPr>
        <w:tc>
          <w:tcPr>
            <w:tcW w:w="3760" w:type="dxa"/>
            <w:vAlign w:val="bottom"/>
            <w:shd w:val="clear" w:color="auto" w:fill="D6F3E8"/>
          </w:tcPr>
          <w:p>
            <w:pPr>
              <w:spacing w:after="0"/>
              <w:rPr>
                <w:sz w:val="20"/>
                <w:szCs w:val="20"/>
                <w:color w:val="auto"/>
              </w:rPr>
            </w:pPr>
            <w:r>
              <w:rPr>
                <w:rFonts w:ascii="Arial" w:cs="Arial" w:eastAsia="Arial" w:hAnsi="Arial"/>
                <w:sz w:val="17"/>
                <w:szCs w:val="17"/>
                <w:color w:val="auto"/>
              </w:rPr>
              <w:t>Sales</w:t>
            </w:r>
          </w:p>
        </w:tc>
        <w:tc>
          <w:tcPr>
            <w:tcW w:w="76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160,405,080</w:t>
            </w:r>
          </w:p>
        </w:tc>
        <w:tc>
          <w:tcPr>
            <w:tcW w:w="200" w:type="dxa"/>
            <w:vAlign w:val="bottom"/>
            <w:shd w:val="clear" w:color="auto" w:fill="D6F3E8"/>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143,331,250</w:t>
            </w:r>
          </w:p>
        </w:tc>
        <w:tc>
          <w:tcPr>
            <w:tcW w:w="32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115,280,312</w:t>
            </w:r>
          </w:p>
        </w:tc>
        <w:tc>
          <w:tcPr>
            <w:tcW w:w="220" w:type="dxa"/>
            <w:vAlign w:val="bottom"/>
            <w:shd w:val="clear" w:color="auto" w:fill="D6F3E8"/>
          </w:tcPr>
          <w:p>
            <w:pPr>
              <w:jc w:val="right"/>
              <w:ind w:right="3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107,028,131</w:t>
            </w:r>
          </w:p>
        </w:tc>
        <w:tc>
          <w:tcPr>
            <w:tcW w:w="34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104,004,611</w:t>
            </w:r>
          </w:p>
        </w:tc>
        <w:tc>
          <w:tcPr>
            <w:tcW w:w="140" w:type="dxa"/>
            <w:vAlign w:val="bottom"/>
            <w:shd w:val="clear" w:color="auto" w:fill="D6F3E8"/>
          </w:tcPr>
          <w:p>
            <w:pPr>
              <w:spacing w:after="0"/>
              <w:rPr>
                <w:sz w:val="22"/>
                <w:szCs w:val="22"/>
                <w:color w:val="auto"/>
              </w:rPr>
            </w:pPr>
          </w:p>
        </w:tc>
      </w:tr>
      <w:tr>
        <w:trPr>
          <w:trHeight w:val="442"/>
        </w:trPr>
        <w:tc>
          <w:tcPr>
            <w:tcW w:w="3760" w:type="dxa"/>
            <w:vAlign w:val="bottom"/>
          </w:tcPr>
          <w:p>
            <w:pPr>
              <w:spacing w:after="0"/>
              <w:rPr>
                <w:sz w:val="20"/>
                <w:szCs w:val="20"/>
                <w:color w:val="auto"/>
              </w:rPr>
            </w:pPr>
            <w:r>
              <w:rPr>
                <w:rFonts w:ascii="Arial" w:cs="Arial" w:eastAsia="Arial" w:hAnsi="Arial"/>
                <w:sz w:val="17"/>
                <w:szCs w:val="17"/>
                <w:color w:val="auto"/>
              </w:rPr>
              <w:t>Gross margin</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37,236,977</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33,219,142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29,606,185</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27,974,289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27,957,852</w:t>
            </w:r>
          </w:p>
        </w:tc>
        <w:tc>
          <w:tcPr>
            <w:tcW w:w="140" w:type="dxa"/>
            <w:vAlign w:val="bottom"/>
          </w:tcPr>
          <w:p>
            <w:pPr>
              <w:spacing w:after="0"/>
              <w:rPr>
                <w:sz w:val="24"/>
                <w:szCs w:val="24"/>
                <w:color w:val="auto"/>
              </w:rPr>
            </w:pPr>
          </w:p>
        </w:tc>
      </w:tr>
      <w:tr>
        <w:trPr>
          <w:trHeight w:val="190"/>
        </w:trPr>
        <w:tc>
          <w:tcPr>
            <w:tcW w:w="3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55"/>
        </w:trPr>
        <w:tc>
          <w:tcPr>
            <w:tcW w:w="3760" w:type="dxa"/>
            <w:vAlign w:val="bottom"/>
            <w:shd w:val="clear" w:color="auto" w:fill="D6F3E8"/>
          </w:tcPr>
          <w:p>
            <w:pPr>
              <w:spacing w:after="0"/>
              <w:rPr>
                <w:sz w:val="20"/>
                <w:szCs w:val="20"/>
                <w:color w:val="auto"/>
              </w:rPr>
            </w:pPr>
            <w:r>
              <w:rPr>
                <w:rFonts w:ascii="Arial" w:cs="Arial" w:eastAsia="Arial" w:hAnsi="Arial"/>
                <w:sz w:val="17"/>
                <w:szCs w:val="17"/>
                <w:color w:val="auto"/>
              </w:rPr>
              <w:t>Net income</w:t>
            </w:r>
          </w:p>
        </w:tc>
        <w:tc>
          <w:tcPr>
            <w:tcW w:w="54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120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8,068,883</w:t>
            </w:r>
          </w:p>
        </w:tc>
        <w:tc>
          <w:tcPr>
            <w:tcW w:w="200" w:type="dxa"/>
            <w:vAlign w:val="bottom"/>
            <w:shd w:val="clear" w:color="auto" w:fill="D6F3E8"/>
          </w:tcPr>
          <w:p>
            <w:pPr>
              <w:spacing w:after="0"/>
              <w:rPr>
                <w:sz w:val="22"/>
                <w:szCs w:val="22"/>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8,886,153</w:t>
            </w:r>
          </w:p>
        </w:tc>
        <w:tc>
          <w:tcPr>
            <w:tcW w:w="12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20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8,092,009</w:t>
            </w:r>
          </w:p>
        </w:tc>
        <w:tc>
          <w:tcPr>
            <w:tcW w:w="220" w:type="dxa"/>
            <w:vAlign w:val="bottom"/>
            <w:shd w:val="clear" w:color="auto" w:fill="D6F3E8"/>
          </w:tcPr>
          <w:p>
            <w:pPr>
              <w:spacing w:after="0"/>
              <w:rPr>
                <w:sz w:val="22"/>
                <w:szCs w:val="22"/>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7"/>
                <w:szCs w:val="17"/>
                <w:color w:val="auto"/>
              </w:rPr>
              <w:t>5,751,884</w:t>
            </w:r>
          </w:p>
        </w:tc>
        <w:tc>
          <w:tcPr>
            <w:tcW w:w="12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8,430,172</w:t>
            </w:r>
          </w:p>
        </w:tc>
        <w:tc>
          <w:tcPr>
            <w:tcW w:w="140" w:type="dxa"/>
            <w:vAlign w:val="bottom"/>
            <w:shd w:val="clear" w:color="auto" w:fill="D6F3E8"/>
          </w:tcPr>
          <w:p>
            <w:pPr>
              <w:spacing w:after="0"/>
              <w:rPr>
                <w:sz w:val="22"/>
                <w:szCs w:val="22"/>
                <w:color w:val="auto"/>
              </w:rPr>
            </w:pPr>
          </w:p>
        </w:tc>
      </w:tr>
      <w:tr>
        <w:trPr>
          <w:trHeight w:val="442"/>
        </w:trPr>
        <w:tc>
          <w:tcPr>
            <w:tcW w:w="3760" w:type="dxa"/>
            <w:vAlign w:val="bottom"/>
          </w:tcPr>
          <w:p>
            <w:pPr>
              <w:spacing w:after="0"/>
              <w:rPr>
                <w:sz w:val="20"/>
                <w:szCs w:val="20"/>
                <w:color w:val="auto"/>
              </w:rPr>
            </w:pPr>
            <w:r>
              <w:rPr>
                <w:rFonts w:ascii="Arial" w:cs="Arial" w:eastAsia="Arial" w:hAnsi="Arial"/>
                <w:sz w:val="17"/>
                <w:szCs w:val="17"/>
                <w:color w:val="auto"/>
              </w:rPr>
              <w:t>Basic and diluted earnings per common share</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.79</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.79</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.83</w:t>
            </w:r>
          </w:p>
        </w:tc>
        <w:tc>
          <w:tcPr>
            <w:tcW w:w="140" w:type="dxa"/>
            <w:vAlign w:val="bottom"/>
          </w:tcPr>
          <w:p>
            <w:pPr>
              <w:spacing w:after="0"/>
              <w:rPr>
                <w:sz w:val="24"/>
                <w:szCs w:val="24"/>
                <w:color w:val="auto"/>
              </w:rPr>
            </w:pPr>
          </w:p>
        </w:tc>
      </w:tr>
      <w:tr>
        <w:trPr>
          <w:trHeight w:val="190"/>
        </w:trPr>
        <w:tc>
          <w:tcPr>
            <w:tcW w:w="3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55"/>
        </w:trPr>
        <w:tc>
          <w:tcPr>
            <w:tcW w:w="3760" w:type="dxa"/>
            <w:vAlign w:val="bottom"/>
            <w:shd w:val="clear" w:color="auto" w:fill="D6F3E8"/>
          </w:tcPr>
          <w:p>
            <w:pPr>
              <w:spacing w:after="0"/>
              <w:rPr>
                <w:sz w:val="20"/>
                <w:szCs w:val="20"/>
                <w:color w:val="auto"/>
              </w:rPr>
            </w:pPr>
            <w:r>
              <w:rPr>
                <w:rFonts w:ascii="Arial" w:cs="Arial" w:eastAsia="Arial" w:hAnsi="Arial"/>
                <w:sz w:val="17"/>
                <w:szCs w:val="17"/>
                <w:color w:val="auto"/>
              </w:rPr>
              <w:t>Cash dividends declared per common share</w:t>
            </w:r>
          </w:p>
        </w:tc>
        <w:tc>
          <w:tcPr>
            <w:tcW w:w="54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120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.44</w:t>
            </w:r>
          </w:p>
        </w:tc>
        <w:tc>
          <w:tcPr>
            <w:tcW w:w="200" w:type="dxa"/>
            <w:vAlign w:val="bottom"/>
            <w:shd w:val="clear" w:color="auto" w:fill="D6F3E8"/>
          </w:tcPr>
          <w:p>
            <w:pPr>
              <w:spacing w:after="0"/>
              <w:rPr>
                <w:sz w:val="22"/>
                <w:szCs w:val="22"/>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20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.36</w:t>
            </w:r>
          </w:p>
        </w:tc>
        <w:tc>
          <w:tcPr>
            <w:tcW w:w="220" w:type="dxa"/>
            <w:vAlign w:val="bottom"/>
            <w:shd w:val="clear" w:color="auto" w:fill="D6F3E8"/>
          </w:tcPr>
          <w:p>
            <w:pPr>
              <w:spacing w:after="0"/>
              <w:rPr>
                <w:sz w:val="22"/>
                <w:szCs w:val="22"/>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7"/>
                <w:szCs w:val="17"/>
                <w:color w:val="auto"/>
              </w:rPr>
              <w:t>.36</w:t>
            </w:r>
          </w:p>
        </w:tc>
        <w:tc>
          <w:tcPr>
            <w:tcW w:w="12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.33</w:t>
            </w:r>
          </w:p>
        </w:tc>
        <w:tc>
          <w:tcPr>
            <w:tcW w:w="140" w:type="dxa"/>
            <w:vAlign w:val="bottom"/>
            <w:shd w:val="clear" w:color="auto" w:fill="D6F3E8"/>
          </w:tcPr>
          <w:p>
            <w:pPr>
              <w:spacing w:after="0"/>
              <w:rPr>
                <w:sz w:val="22"/>
                <w:szCs w:val="22"/>
                <w:color w:val="auto"/>
              </w:rPr>
            </w:pPr>
          </w:p>
        </w:tc>
      </w:tr>
      <w:tr>
        <w:trPr>
          <w:trHeight w:val="442"/>
        </w:trPr>
        <w:tc>
          <w:tcPr>
            <w:tcW w:w="3760" w:type="dxa"/>
            <w:vAlign w:val="bottom"/>
          </w:tcPr>
          <w:p>
            <w:pPr>
              <w:spacing w:after="0"/>
              <w:rPr>
                <w:sz w:val="20"/>
                <w:szCs w:val="20"/>
                <w:color w:val="auto"/>
              </w:rPr>
            </w:pPr>
            <w:r>
              <w:rPr>
                <w:rFonts w:ascii="Arial" w:cs="Arial" w:eastAsia="Arial" w:hAnsi="Arial"/>
                <w:sz w:val="17"/>
                <w:szCs w:val="17"/>
                <w:color w:val="auto"/>
              </w:rPr>
              <w:t>Cash dividends paid per common share</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.42</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.36</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w:t>
            </w:r>
          </w:p>
        </w:tc>
        <w:tc>
          <w:tcPr>
            <w:tcW w:w="140" w:type="dxa"/>
            <w:vAlign w:val="bottom"/>
          </w:tcPr>
          <w:p>
            <w:pPr>
              <w:spacing w:after="0"/>
              <w:rPr>
                <w:sz w:val="24"/>
                <w:szCs w:val="24"/>
                <w:color w:val="auto"/>
              </w:rPr>
            </w:pPr>
          </w:p>
        </w:tc>
      </w:tr>
      <w:tr>
        <w:trPr>
          <w:trHeight w:val="190"/>
        </w:trPr>
        <w:tc>
          <w:tcPr>
            <w:tcW w:w="3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55"/>
        </w:trPr>
        <w:tc>
          <w:tcPr>
            <w:tcW w:w="3760" w:type="dxa"/>
            <w:vAlign w:val="bottom"/>
            <w:shd w:val="clear" w:color="auto" w:fill="D6F3E8"/>
          </w:tcPr>
          <w:p>
            <w:pPr>
              <w:spacing w:after="0"/>
              <w:rPr>
                <w:sz w:val="20"/>
                <w:szCs w:val="20"/>
                <w:color w:val="auto"/>
              </w:rPr>
            </w:pPr>
            <w:r>
              <w:rPr>
                <w:rFonts w:ascii="Arial" w:cs="Arial" w:eastAsia="Arial" w:hAnsi="Arial"/>
                <w:sz w:val="17"/>
                <w:szCs w:val="17"/>
                <w:color w:val="auto"/>
              </w:rPr>
              <w:t>Total assets</w:t>
            </w:r>
          </w:p>
        </w:tc>
        <w:tc>
          <w:tcPr>
            <w:tcW w:w="54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120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101,268,594</w:t>
            </w:r>
          </w:p>
        </w:tc>
        <w:tc>
          <w:tcPr>
            <w:tcW w:w="200" w:type="dxa"/>
            <w:vAlign w:val="bottom"/>
            <w:shd w:val="clear" w:color="auto" w:fill="D6F3E8"/>
          </w:tcPr>
          <w:p>
            <w:pPr>
              <w:spacing w:after="0"/>
              <w:rPr>
                <w:sz w:val="22"/>
                <w:szCs w:val="22"/>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94,056,734</w:t>
            </w:r>
          </w:p>
        </w:tc>
        <w:tc>
          <w:tcPr>
            <w:tcW w:w="12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20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87,658,118</w:t>
            </w:r>
          </w:p>
        </w:tc>
        <w:tc>
          <w:tcPr>
            <w:tcW w:w="220" w:type="dxa"/>
            <w:vAlign w:val="bottom"/>
            <w:shd w:val="clear" w:color="auto" w:fill="D6F3E8"/>
          </w:tcPr>
          <w:p>
            <w:pPr>
              <w:spacing w:after="0"/>
              <w:rPr>
                <w:sz w:val="22"/>
                <w:szCs w:val="22"/>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7"/>
                <w:szCs w:val="17"/>
                <w:color w:val="auto"/>
              </w:rPr>
              <w:t>82,616,905</w:t>
            </w:r>
          </w:p>
        </w:tc>
        <w:tc>
          <w:tcPr>
            <w:tcW w:w="12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81,098,739</w:t>
            </w:r>
          </w:p>
        </w:tc>
        <w:tc>
          <w:tcPr>
            <w:tcW w:w="140" w:type="dxa"/>
            <w:vAlign w:val="bottom"/>
            <w:shd w:val="clear" w:color="auto" w:fill="D6F3E8"/>
          </w:tcPr>
          <w:p>
            <w:pPr>
              <w:spacing w:after="0"/>
              <w:rPr>
                <w:sz w:val="22"/>
                <w:szCs w:val="22"/>
                <w:color w:val="auto"/>
              </w:rPr>
            </w:pPr>
          </w:p>
        </w:tc>
      </w:tr>
      <w:tr>
        <w:trPr>
          <w:trHeight w:val="215"/>
        </w:trPr>
        <w:tc>
          <w:tcPr>
            <w:tcW w:w="37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60" w:right="760" w:hanging="1357"/>
        <w:spacing w:after="0" w:line="249" w:lineRule="auto"/>
        <w:tabs>
          <w:tab w:leader="none" w:pos="134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22"/>
          <w:szCs w:val="22"/>
          <w:color w:val="auto"/>
        </w:rPr>
        <w:t>MANAGEMENT’S DISCUSSION AND ANALYSIS OF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FORWARD-LOOKING INFORMATION</w:t>
      </w:r>
    </w:p>
    <w:p>
      <w:pPr>
        <w:spacing w:after="0" w:line="235" w:lineRule="exact"/>
        <w:rPr>
          <w:sz w:val="20"/>
          <w:szCs w:val="20"/>
          <w:color w:val="auto"/>
        </w:rPr>
      </w:pPr>
    </w:p>
    <w:p>
      <w:pPr>
        <w:ind w:right="40" w:firstLine="685"/>
        <w:spacing w:after="0" w:line="284" w:lineRule="auto"/>
        <w:rPr>
          <w:sz w:val="20"/>
          <w:szCs w:val="20"/>
          <w:color w:val="auto"/>
        </w:rPr>
      </w:pPr>
      <w:r>
        <w:rPr>
          <w:rFonts w:ascii="Arial" w:cs="Arial" w:eastAsia="Arial" w:hAnsi="Arial"/>
          <w:sz w:val="16"/>
          <w:szCs w:val="16"/>
          <w:color w:val="auto"/>
        </w:rPr>
        <w:t>The information contained in this Annual Report on Form 10-K for the year ended April 1, 2007, contains statements that we believe to be “forward-looking statements” within the meaning of the Private Securities Litigation Reform Act of 1995, and within the meaning of Section 27A of the Securities Act of 1933, as amended, and Section 21E of the Securities Exchange Act of 1934, as amended. Forward-looking statements give our current expectations or forecasts of future events. Forward-looking statements generally can be identified by the use of forward-looking terminology such as “may,” “will,” “expect,” “intend,” “estimate,” “anticipate,” “believe,” “project,” or “continue,” or the negative thereof or similar words. From time to time, we also may provide oral or written forward-looking statements in other materials we release to the public. Any or all of our forward-looking statements in this Annual Report on Form 10-K and in any public statements we make could be materially different from actual results. They can be affected by assumptions we might make or by known or unknown risks or uncertainties, including those described in Item 1A “Risk Factors” and other factors disclosed throughout this Annual Report on Form 10-K and the Company’s other filings with the Securities and Exchange Commission. Consequently, we cannot guarantee any forward-looking statements and undertake no obligation to revise any forward-looking statements in order to reflect events or circumstances that may arise after the date of this Annual Report on Form 10-K. Investors are cautioned not to place undue reliance on any forward-looking statements. Investors should also understand that it is not possible to predict or identify all factors that might affect actual results and should not consider these factors to be a complete statement of all potential risks and uncertainties. We assume no obligation and disclaim any duty to update the forward-looking statements in this Annual Report on Form 10-K or any other public statement.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GENERAL</w:t>
      </w:r>
    </w:p>
    <w:p>
      <w:pPr>
        <w:spacing w:after="0" w:line="235" w:lineRule="exact"/>
        <w:rPr>
          <w:sz w:val="20"/>
          <w:szCs w:val="20"/>
          <w:color w:val="auto"/>
        </w:rPr>
      </w:pPr>
    </w:p>
    <w:p>
      <w:pPr>
        <w:jc w:val="both"/>
        <w:ind w:right="120" w:firstLine="685"/>
        <w:spacing w:after="0" w:line="280" w:lineRule="auto"/>
        <w:rPr>
          <w:sz w:val="20"/>
          <w:szCs w:val="20"/>
          <w:color w:val="auto"/>
        </w:rPr>
      </w:pPr>
      <w:r>
        <w:rPr>
          <w:rFonts w:ascii="Arial" w:cs="Arial" w:eastAsia="Arial" w:hAnsi="Arial"/>
          <w:sz w:val="17"/>
          <w:szCs w:val="17"/>
          <w:color w:val="auto"/>
        </w:rPr>
        <w:t>The following is a discussion and analysis of our financial condition and results of operations for the Company’s fiscal years ended April 1, 2007, April 2, 2006, and April 3, 2005. This discussion should be read in conjunction with the Financial Statements and Notes to Financial Statements included in ITEM 8 of this Annual Report on Form 10-K.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OVERALL SUMMARY</w:t>
      </w:r>
    </w:p>
    <w:p>
      <w:pPr>
        <w:spacing w:after="0" w:line="235" w:lineRule="exact"/>
        <w:rPr>
          <w:sz w:val="20"/>
          <w:szCs w:val="20"/>
          <w:color w:val="auto"/>
        </w:rPr>
      </w:pPr>
    </w:p>
    <w:p>
      <w:pPr>
        <w:ind w:right="140" w:firstLine="685"/>
        <w:spacing w:after="0" w:line="280" w:lineRule="auto"/>
        <w:rPr>
          <w:sz w:val="20"/>
          <w:szCs w:val="20"/>
          <w:color w:val="auto"/>
        </w:rPr>
      </w:pPr>
      <w:r>
        <w:rPr>
          <w:rFonts w:ascii="Arial" w:cs="Arial" w:eastAsia="Arial" w:hAnsi="Arial"/>
          <w:sz w:val="17"/>
          <w:szCs w:val="17"/>
          <w:color w:val="auto"/>
        </w:rPr>
        <w:t>Sales for the fiscal year ended April 1, 2007 were $160,405,080 versus $143,331,250 for the fiscal year ended April 2, 2006 and $115,280,312 for the fiscal year ended April 3, 2005. Net income for the fiscal year ended April 1, 2007 was $8,068,883, or $.79 per share, compared to $8,886,153, or $.87 per share, for the fiscal year ended April 2, 2006 and $8,092,009, or $.79 per share, for the fiscal year ended April 3, 2005.</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sets forth the percentage relationship of certain items to sales for the period indicated:</w:t>
      </w:r>
    </w:p>
    <w:p>
      <w:pPr>
        <w:spacing w:after="0" w:line="200" w:lineRule="exact"/>
        <w:rPr>
          <w:sz w:val="20"/>
          <w:szCs w:val="20"/>
          <w:color w:val="auto"/>
        </w:rPr>
      </w:pPr>
    </w:p>
    <w:p>
      <w:pPr>
        <w:spacing w:after="0" w:line="244" w:lineRule="exact"/>
        <w:rPr>
          <w:sz w:val="20"/>
          <w:szCs w:val="20"/>
          <w:color w:val="auto"/>
        </w:rPr>
      </w:pPr>
    </w:p>
    <w:tbl>
      <w:tblPr>
        <w:tblLayout w:type="fixed"/>
        <w:tblInd w:w="5680" w:type="dxa"/>
        <w:tblCellMar>
          <w:top w:w="0" w:type="dxa"/>
          <w:left w:w="0" w:type="dxa"/>
          <w:bottom w:w="0" w:type="dxa"/>
          <w:right w:w="0" w:type="dxa"/>
        </w:tblCellMar>
      </w:tblPr>
      <w:tr>
        <w:trPr>
          <w:trHeight w:val="149"/>
        </w:trPr>
        <w:tc>
          <w:tcPr>
            <w:tcW w:w="15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2"/>
              </w:rPr>
              <w:t>Fiscal</w:t>
            </w:r>
          </w:p>
        </w:tc>
        <w:tc>
          <w:tcPr>
            <w:tcW w:w="152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2"/>
              </w:rPr>
              <w:t>Fiscal</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2"/>
              </w:rPr>
              <w:t>Fiscal</w:t>
            </w:r>
          </w:p>
        </w:tc>
      </w:tr>
      <w:tr>
        <w:trPr>
          <w:trHeight w:val="148"/>
        </w:trPr>
        <w:tc>
          <w:tcPr>
            <w:tcW w:w="1540" w:type="dxa"/>
            <w:vAlign w:val="bottom"/>
            <w:gridSpan w:val="2"/>
          </w:tcPr>
          <w:p>
            <w:pPr>
              <w:jc w:val="center"/>
              <w:ind w:right="460"/>
              <w:spacing w:after="0" w:line="148" w:lineRule="exact"/>
              <w:rPr>
                <w:sz w:val="20"/>
                <w:szCs w:val="20"/>
                <w:color w:val="auto"/>
              </w:rPr>
            </w:pPr>
            <w:r>
              <w:rPr>
                <w:rFonts w:ascii="Arial" w:cs="Arial" w:eastAsia="Arial" w:hAnsi="Arial"/>
                <w:sz w:val="13"/>
                <w:szCs w:val="13"/>
                <w:b w:val="1"/>
                <w:bCs w:val="1"/>
                <w:color w:val="auto"/>
                <w:w w:val="95"/>
              </w:rPr>
              <w:t>Year Ended</w:t>
            </w:r>
          </w:p>
        </w:tc>
        <w:tc>
          <w:tcPr>
            <w:tcW w:w="1520" w:type="dxa"/>
            <w:vAlign w:val="bottom"/>
            <w:gridSpan w:val="2"/>
          </w:tcPr>
          <w:p>
            <w:pPr>
              <w:jc w:val="center"/>
              <w:ind w:right="440"/>
              <w:spacing w:after="0" w:line="148" w:lineRule="exact"/>
              <w:rPr>
                <w:sz w:val="20"/>
                <w:szCs w:val="20"/>
                <w:color w:val="auto"/>
              </w:rPr>
            </w:pPr>
            <w:r>
              <w:rPr>
                <w:rFonts w:ascii="Arial" w:cs="Arial" w:eastAsia="Arial" w:hAnsi="Arial"/>
                <w:sz w:val="13"/>
                <w:szCs w:val="13"/>
                <w:b w:val="1"/>
                <w:bCs w:val="1"/>
                <w:color w:val="auto"/>
                <w:w w:val="95"/>
              </w:rPr>
              <w:t>Year Ended</w:t>
            </w:r>
          </w:p>
        </w:tc>
        <w:tc>
          <w:tcPr>
            <w:tcW w:w="11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Year Ended</w:t>
            </w:r>
          </w:p>
        </w:tc>
      </w:tr>
      <w:tr>
        <w:trPr>
          <w:trHeight w:val="161"/>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April 1, 2007</w:t>
            </w:r>
          </w:p>
        </w:tc>
        <w:tc>
          <w:tcPr>
            <w:tcW w:w="46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April 2, 2006</w:t>
            </w:r>
          </w:p>
        </w:tc>
        <w:tc>
          <w:tcPr>
            <w:tcW w:w="44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April 3, 2005</w:t>
            </w:r>
          </w:p>
        </w:tc>
      </w:tr>
    </w:tbl>
    <w:p>
      <w:pPr>
        <w:spacing w:after="0" w:line="166" w:lineRule="exact"/>
        <w:rPr>
          <w:sz w:val="20"/>
          <w:szCs w:val="20"/>
          <w:color w:val="auto"/>
        </w:rPr>
      </w:pPr>
    </w:p>
    <w:p>
      <w:pPr>
        <w:sectPr>
          <w:pgSz w:w="11900" w:h="16838" w:orient="portrait"/>
          <w:cols w:equalWidth="0" w:num="1">
            <w:col w:w="11420"/>
          </w:cols>
          <w:pgMar w:left="240" w:top="179" w:right="239" w:bottom="31" w:gutter="0" w:footer="0" w:header="0"/>
        </w:sectPr>
      </w:pPr>
    </w:p>
    <w:p>
      <w:pPr>
        <w:ind w:left="1160"/>
        <w:spacing w:after="0"/>
        <w:rPr>
          <w:sz w:val="20"/>
          <w:szCs w:val="20"/>
          <w:color w:val="auto"/>
        </w:rPr>
      </w:pPr>
      <w:r>
        <w:rPr>
          <w:rFonts w:ascii="Arial" w:cs="Arial" w:eastAsia="Arial" w:hAnsi="Arial"/>
          <w:sz w:val="17"/>
          <w:szCs w:val="17"/>
          <w:color w:val="auto"/>
        </w:rPr>
        <w:t>Sales</w:t>
      </w:r>
    </w:p>
    <w:p>
      <w:pPr>
        <w:spacing w:after="0" w:line="7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Cost of sales</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Gross margin</w:t>
      </w:r>
    </w:p>
    <w:p>
      <w:pPr>
        <w:spacing w:after="0" w:line="60" w:lineRule="exact"/>
        <w:rPr>
          <w:sz w:val="20"/>
          <w:szCs w:val="20"/>
          <w:color w:val="auto"/>
        </w:rPr>
      </w:pPr>
    </w:p>
    <w:p>
      <w:pPr>
        <w:ind w:left="1160" w:right="700"/>
        <w:spacing w:after="0" w:line="321" w:lineRule="auto"/>
        <w:rPr>
          <w:sz w:val="20"/>
          <w:szCs w:val="20"/>
          <w:color w:val="auto"/>
        </w:rPr>
      </w:pPr>
      <w:r>
        <w:rPr>
          <w:rFonts w:ascii="Arial" w:cs="Arial" w:eastAsia="Arial" w:hAnsi="Arial"/>
          <w:sz w:val="17"/>
          <w:szCs w:val="17"/>
          <w:color w:val="auto"/>
        </w:rPr>
        <w:t>Selling, general and administrative expenses Litigation settlement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1540" w:type="dxa"/>
            <w:vAlign w:val="bottom"/>
            <w:gridSpan w:val="2"/>
          </w:tcPr>
          <w:p>
            <w:pPr>
              <w:jc w:val="right"/>
              <w:ind w:right="300"/>
              <w:spacing w:after="0"/>
              <w:rPr>
                <w:sz w:val="20"/>
                <w:szCs w:val="20"/>
                <w:color w:val="auto"/>
              </w:rPr>
            </w:pPr>
            <w:r>
              <w:rPr>
                <w:rFonts w:ascii="Arial" w:cs="Arial" w:eastAsia="Arial" w:hAnsi="Arial"/>
                <w:sz w:val="17"/>
                <w:szCs w:val="17"/>
                <w:color w:val="auto"/>
              </w:rPr>
              <w:t>100.0%</w:t>
            </w:r>
          </w:p>
        </w:tc>
        <w:tc>
          <w:tcPr>
            <w:tcW w:w="1520" w:type="dxa"/>
            <w:vAlign w:val="bottom"/>
            <w:gridSpan w:val="2"/>
          </w:tcPr>
          <w:p>
            <w:pPr>
              <w:jc w:val="right"/>
              <w:ind w:right="300"/>
              <w:spacing w:after="0"/>
              <w:rPr>
                <w:sz w:val="20"/>
                <w:szCs w:val="20"/>
                <w:color w:val="auto"/>
              </w:rPr>
            </w:pPr>
            <w:r>
              <w:rPr>
                <w:rFonts w:ascii="Arial" w:cs="Arial" w:eastAsia="Arial" w:hAnsi="Arial"/>
                <w:sz w:val="17"/>
                <w:szCs w:val="17"/>
                <w:color w:val="auto"/>
              </w:rPr>
              <w:t>100.0%</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100.0%</w:t>
            </w:r>
          </w:p>
        </w:tc>
      </w:tr>
      <w:tr>
        <w:trPr>
          <w:trHeight w:val="243"/>
        </w:trPr>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(76.8)%</w:t>
            </w:r>
          </w:p>
        </w:tc>
        <w:tc>
          <w:tcPr>
            <w:tcW w:w="1520" w:type="dxa"/>
            <w:vAlign w:val="bottom"/>
            <w:gridSpan w:val="2"/>
          </w:tcPr>
          <w:p>
            <w:pPr>
              <w:jc w:val="right"/>
              <w:ind w:right="240"/>
              <w:spacing w:after="0"/>
              <w:rPr>
                <w:sz w:val="20"/>
                <w:szCs w:val="20"/>
                <w:color w:val="auto"/>
              </w:rPr>
            </w:pPr>
            <w:r>
              <w:rPr>
                <w:rFonts w:ascii="Arial" w:cs="Arial" w:eastAsia="Arial" w:hAnsi="Arial"/>
                <w:sz w:val="17"/>
                <w:szCs w:val="17"/>
                <w:color w:val="auto"/>
              </w:rPr>
              <w:t>(76.8)%</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(74.3)%</w:t>
            </w:r>
          </w:p>
        </w:tc>
      </w:tr>
      <w:tr>
        <w:trPr>
          <w:trHeight w:val="20"/>
        </w:trPr>
        <w:tc>
          <w:tcPr>
            <w:tcW w:w="10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5"/>
        </w:trPr>
        <w:tc>
          <w:tcPr>
            <w:tcW w:w="1540" w:type="dxa"/>
            <w:vAlign w:val="bottom"/>
            <w:gridSpan w:val="2"/>
          </w:tcPr>
          <w:p>
            <w:pPr>
              <w:jc w:val="right"/>
              <w:ind w:right="300"/>
              <w:spacing w:after="0"/>
              <w:rPr>
                <w:sz w:val="20"/>
                <w:szCs w:val="20"/>
                <w:color w:val="auto"/>
              </w:rPr>
            </w:pPr>
            <w:r>
              <w:rPr>
                <w:rFonts w:ascii="Arial" w:cs="Arial" w:eastAsia="Arial" w:hAnsi="Arial"/>
                <w:sz w:val="17"/>
                <w:szCs w:val="17"/>
                <w:color w:val="auto"/>
              </w:rPr>
              <w:t>23.2%</w:t>
            </w:r>
          </w:p>
        </w:tc>
        <w:tc>
          <w:tcPr>
            <w:tcW w:w="1520" w:type="dxa"/>
            <w:vAlign w:val="bottom"/>
            <w:gridSpan w:val="2"/>
          </w:tcPr>
          <w:p>
            <w:pPr>
              <w:jc w:val="right"/>
              <w:ind w:right="300"/>
              <w:spacing w:after="0"/>
              <w:rPr>
                <w:sz w:val="20"/>
                <w:szCs w:val="20"/>
                <w:color w:val="auto"/>
              </w:rPr>
            </w:pPr>
            <w:r>
              <w:rPr>
                <w:rFonts w:ascii="Arial" w:cs="Arial" w:eastAsia="Arial" w:hAnsi="Arial"/>
                <w:sz w:val="17"/>
                <w:szCs w:val="17"/>
                <w:color w:val="auto"/>
              </w:rPr>
              <w:t>23.2%</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25.7%</w:t>
            </w:r>
          </w:p>
        </w:tc>
      </w:tr>
      <w:tr>
        <w:trPr>
          <w:trHeight w:val="255"/>
        </w:trPr>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(16.2)%</w:t>
            </w:r>
          </w:p>
        </w:tc>
        <w:tc>
          <w:tcPr>
            <w:tcW w:w="1520" w:type="dxa"/>
            <w:vAlign w:val="bottom"/>
            <w:gridSpan w:val="2"/>
          </w:tcPr>
          <w:p>
            <w:pPr>
              <w:jc w:val="right"/>
              <w:ind w:right="240"/>
              <w:spacing w:after="0"/>
              <w:rPr>
                <w:sz w:val="20"/>
                <w:szCs w:val="20"/>
                <w:color w:val="auto"/>
              </w:rPr>
            </w:pPr>
            <w:r>
              <w:rPr>
                <w:rFonts w:ascii="Arial" w:cs="Arial" w:eastAsia="Arial" w:hAnsi="Arial"/>
                <w:sz w:val="17"/>
                <w:szCs w:val="17"/>
                <w:color w:val="auto"/>
              </w:rPr>
              <w:t>(15.0)%</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(15.7)%</w:t>
            </w:r>
          </w:p>
        </w:tc>
      </w:tr>
      <w:tr>
        <w:trPr>
          <w:trHeight w:val="242"/>
        </w:trPr>
        <w:tc>
          <w:tcPr>
            <w:tcW w:w="154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7"/>
                <w:szCs w:val="17"/>
                <w:color w:val="auto"/>
              </w:rPr>
              <w:t>.7%</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-2875915</wp:posOffset>
            </wp:positionH>
            <wp:positionV relativeFrom="paragraph">
              <wp:posOffset>-791845</wp:posOffset>
            </wp:positionV>
            <wp:extent cx="5796280" cy="161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6280" cy="16192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-476250</wp:posOffset>
            </wp:positionV>
            <wp:extent cx="5796280" cy="161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6280" cy="16192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-151765</wp:posOffset>
            </wp:positionV>
            <wp:extent cx="5796280" cy="153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6280" cy="15367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960" w:space="720"/>
            <w:col w:w="5740"/>
          </w:cols>
          <w:pgMar w:left="240" w:top="179" w:right="239" w:bottom="31" w:gutter="0" w:footer="0" w:header="0"/>
          <w:type w:val="continuous"/>
        </w:sectPr>
      </w:pPr>
    </w:p>
    <w:tbl>
      <w:tblPr>
        <w:tblLayout w:type="fixed"/>
        <w:tblInd w:w="1160" w:type="dxa"/>
        <w:tblCellMar>
          <w:top w:w="0" w:type="dxa"/>
          <w:left w:w="0" w:type="dxa"/>
          <w:bottom w:w="0" w:type="dxa"/>
          <w:right w:w="0" w:type="dxa"/>
        </w:tblCellMar>
      </w:tblPr>
      <w:tr>
        <w:trPr>
          <w:trHeight w:val="20"/>
        </w:trPr>
        <w:tc>
          <w:tcPr>
            <w:tcW w:w="4520" w:type="dxa"/>
            <w:vAlign w:val="bottom"/>
            <w:vMerge w:val="restart"/>
          </w:tcPr>
          <w:p>
            <w:pPr>
              <w:spacing w:after="0"/>
              <w:rPr>
                <w:sz w:val="20"/>
                <w:szCs w:val="20"/>
                <w:color w:val="auto"/>
              </w:rPr>
            </w:pPr>
            <w:r>
              <w:rPr>
                <w:rFonts w:ascii="Arial" w:cs="Arial" w:eastAsia="Arial" w:hAnsi="Arial"/>
                <w:sz w:val="17"/>
                <w:szCs w:val="17"/>
                <w:color w:val="auto"/>
              </w:rPr>
              <w:t>Income from operations</w:t>
            </w:r>
          </w:p>
        </w:tc>
        <w:tc>
          <w:tcPr>
            <w:tcW w:w="10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20" w:type="dxa"/>
            <w:vAlign w:val="bottom"/>
            <w:vMerge w:val="continue"/>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7"/>
                <w:szCs w:val="17"/>
                <w:color w:val="auto"/>
              </w:rPr>
              <w:t>7.0%</w:t>
            </w:r>
          </w:p>
        </w:tc>
        <w:tc>
          <w:tcPr>
            <w:tcW w:w="1520" w:type="dxa"/>
            <w:vAlign w:val="bottom"/>
            <w:gridSpan w:val="2"/>
          </w:tcPr>
          <w:p>
            <w:pPr>
              <w:jc w:val="right"/>
              <w:ind w:right="300"/>
              <w:spacing w:after="0"/>
              <w:rPr>
                <w:sz w:val="20"/>
                <w:szCs w:val="20"/>
                <w:color w:val="auto"/>
              </w:rPr>
            </w:pPr>
            <w:r>
              <w:rPr>
                <w:rFonts w:ascii="Arial" w:cs="Arial" w:eastAsia="Arial" w:hAnsi="Arial"/>
                <w:sz w:val="17"/>
                <w:szCs w:val="17"/>
                <w:color w:val="auto"/>
              </w:rPr>
              <w:t>8.9%</w:t>
            </w:r>
          </w:p>
        </w:tc>
        <w:tc>
          <w:tcPr>
            <w:tcW w:w="1540" w:type="dxa"/>
            <w:vAlign w:val="bottom"/>
            <w:gridSpan w:val="3"/>
          </w:tcPr>
          <w:p>
            <w:pPr>
              <w:jc w:val="right"/>
              <w:ind w:right="3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42"/>
        </w:trPr>
        <w:tc>
          <w:tcPr>
            <w:tcW w:w="4520" w:type="dxa"/>
            <w:vAlign w:val="bottom"/>
            <w:shd w:val="clear" w:color="auto" w:fill="D6F3E8"/>
          </w:tcPr>
          <w:p>
            <w:pPr>
              <w:spacing w:after="0"/>
              <w:rPr>
                <w:sz w:val="20"/>
                <w:szCs w:val="20"/>
                <w:color w:val="auto"/>
              </w:rPr>
            </w:pPr>
            <w:r>
              <w:rPr>
                <w:rFonts w:ascii="Arial" w:cs="Arial" w:eastAsia="Arial" w:hAnsi="Arial"/>
                <w:sz w:val="17"/>
                <w:szCs w:val="17"/>
                <w:color w:val="auto"/>
              </w:rPr>
              <w:t>Investment income</w:t>
            </w:r>
          </w:p>
        </w:tc>
        <w:tc>
          <w:tcPr>
            <w:tcW w:w="1540" w:type="dxa"/>
            <w:vAlign w:val="bottom"/>
            <w:gridSpan w:val="2"/>
            <w:shd w:val="clear" w:color="auto" w:fill="D6F3E8"/>
          </w:tcPr>
          <w:p>
            <w:pPr>
              <w:jc w:val="right"/>
              <w:ind w:right="300"/>
              <w:spacing w:after="0"/>
              <w:rPr>
                <w:sz w:val="20"/>
                <w:szCs w:val="20"/>
                <w:color w:val="auto"/>
              </w:rPr>
            </w:pPr>
            <w:r>
              <w:rPr>
                <w:rFonts w:ascii="Arial" w:cs="Arial" w:eastAsia="Arial" w:hAnsi="Arial"/>
                <w:sz w:val="17"/>
                <w:szCs w:val="17"/>
                <w:color w:val="auto"/>
              </w:rPr>
              <w:t>1.1%</w:t>
            </w:r>
          </w:p>
        </w:tc>
        <w:tc>
          <w:tcPr>
            <w:tcW w:w="1520" w:type="dxa"/>
            <w:vAlign w:val="bottom"/>
            <w:gridSpan w:val="2"/>
            <w:shd w:val="clear" w:color="auto" w:fill="D6F3E8"/>
          </w:tcPr>
          <w:p>
            <w:pPr>
              <w:jc w:val="right"/>
              <w:ind w:right="300"/>
              <w:spacing w:after="0"/>
              <w:rPr>
                <w:sz w:val="20"/>
                <w:szCs w:val="20"/>
                <w:color w:val="auto"/>
              </w:rPr>
            </w:pPr>
            <w:r>
              <w:rPr>
                <w:rFonts w:ascii="Arial" w:cs="Arial" w:eastAsia="Arial" w:hAnsi="Arial"/>
                <w:sz w:val="17"/>
                <w:szCs w:val="17"/>
                <w:color w:val="auto"/>
              </w:rPr>
              <w:t>.6%</w:t>
            </w:r>
          </w:p>
        </w:tc>
        <w:tc>
          <w:tcPr>
            <w:tcW w:w="1540" w:type="dxa"/>
            <w:vAlign w:val="bottom"/>
            <w:gridSpan w:val="3"/>
            <w:shd w:val="clear" w:color="auto" w:fill="D6F3E8"/>
          </w:tcPr>
          <w:p>
            <w:pPr>
              <w:jc w:val="right"/>
              <w:ind w:right="30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7"/>
                <w:szCs w:val="17"/>
                <w:color w:val="auto"/>
              </w:rPr>
              <w:t>Income before income taxes</w:t>
            </w:r>
          </w:p>
        </w:tc>
        <w:tc>
          <w:tcPr>
            <w:tcW w:w="10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520" w:type="dxa"/>
            <w:vAlign w:val="bottom"/>
            <w:vMerge w:val="continue"/>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7"/>
                <w:szCs w:val="17"/>
                <w:color w:val="auto"/>
              </w:rPr>
              <w:t>8.1%</w:t>
            </w:r>
          </w:p>
        </w:tc>
        <w:tc>
          <w:tcPr>
            <w:tcW w:w="1520" w:type="dxa"/>
            <w:vAlign w:val="bottom"/>
            <w:gridSpan w:val="2"/>
          </w:tcPr>
          <w:p>
            <w:pPr>
              <w:jc w:val="right"/>
              <w:ind w:right="300"/>
              <w:spacing w:after="0"/>
              <w:rPr>
                <w:sz w:val="20"/>
                <w:szCs w:val="20"/>
                <w:color w:val="auto"/>
              </w:rPr>
            </w:pPr>
            <w:r>
              <w:rPr>
                <w:rFonts w:ascii="Arial" w:cs="Arial" w:eastAsia="Arial" w:hAnsi="Arial"/>
                <w:sz w:val="17"/>
                <w:szCs w:val="17"/>
                <w:color w:val="auto"/>
              </w:rPr>
              <w:t>9.5%</w:t>
            </w:r>
          </w:p>
        </w:tc>
        <w:tc>
          <w:tcPr>
            <w:tcW w:w="1540" w:type="dxa"/>
            <w:vAlign w:val="bottom"/>
            <w:gridSpan w:val="3"/>
          </w:tcPr>
          <w:p>
            <w:pPr>
              <w:jc w:val="right"/>
              <w:ind w:right="30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43"/>
        </w:trPr>
        <w:tc>
          <w:tcPr>
            <w:tcW w:w="4520" w:type="dxa"/>
            <w:vAlign w:val="bottom"/>
            <w:shd w:val="clear" w:color="auto" w:fill="D6F3E8"/>
          </w:tcPr>
          <w:p>
            <w:pPr>
              <w:spacing w:after="0"/>
              <w:rPr>
                <w:sz w:val="20"/>
                <w:szCs w:val="20"/>
                <w:color w:val="auto"/>
              </w:rPr>
            </w:pPr>
            <w:r>
              <w:rPr>
                <w:rFonts w:ascii="Arial" w:cs="Arial" w:eastAsia="Arial" w:hAnsi="Arial"/>
                <w:sz w:val="17"/>
                <w:szCs w:val="17"/>
                <w:color w:val="auto"/>
              </w:rPr>
              <w:t>Provision for income taxes</w:t>
            </w:r>
          </w:p>
        </w:tc>
        <w:tc>
          <w:tcPr>
            <w:tcW w:w="1540" w:type="dxa"/>
            <w:vAlign w:val="bottom"/>
            <w:gridSpan w:val="2"/>
            <w:shd w:val="clear" w:color="auto" w:fill="D6F3E8"/>
          </w:tcPr>
          <w:p>
            <w:pPr>
              <w:jc w:val="right"/>
              <w:ind w:right="240"/>
              <w:spacing w:after="0"/>
              <w:rPr>
                <w:sz w:val="20"/>
                <w:szCs w:val="20"/>
                <w:color w:val="auto"/>
              </w:rPr>
            </w:pPr>
            <w:r>
              <w:rPr>
                <w:rFonts w:ascii="Arial" w:cs="Arial" w:eastAsia="Arial" w:hAnsi="Arial"/>
                <w:sz w:val="17"/>
                <w:szCs w:val="17"/>
                <w:color w:val="auto"/>
              </w:rPr>
              <w:t>(3.0)%</w:t>
            </w:r>
          </w:p>
        </w:tc>
        <w:tc>
          <w:tcPr>
            <w:tcW w:w="1520" w:type="dxa"/>
            <w:vAlign w:val="bottom"/>
            <w:gridSpan w:val="2"/>
            <w:shd w:val="clear" w:color="auto" w:fill="D6F3E8"/>
          </w:tcPr>
          <w:p>
            <w:pPr>
              <w:jc w:val="right"/>
              <w:ind w:right="240"/>
              <w:spacing w:after="0"/>
              <w:rPr>
                <w:sz w:val="20"/>
                <w:szCs w:val="20"/>
                <w:color w:val="auto"/>
              </w:rPr>
            </w:pPr>
            <w:r>
              <w:rPr>
                <w:rFonts w:ascii="Arial" w:cs="Arial" w:eastAsia="Arial" w:hAnsi="Arial"/>
                <w:sz w:val="17"/>
                <w:szCs w:val="17"/>
                <w:color w:val="auto"/>
              </w:rPr>
              <w:t>(3.3)%</w:t>
            </w:r>
          </w:p>
        </w:tc>
        <w:tc>
          <w:tcPr>
            <w:tcW w:w="1540" w:type="dxa"/>
            <w:vAlign w:val="bottom"/>
            <w:gridSpan w:val="3"/>
            <w:shd w:val="clear" w:color="auto" w:fill="D6F3E8"/>
          </w:tcPr>
          <w:p>
            <w:pPr>
              <w:jc w:val="right"/>
              <w:ind w:right="24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10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520" w:type="dxa"/>
            <w:vAlign w:val="bottom"/>
            <w:vMerge w:val="continue"/>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7"/>
                <w:szCs w:val="17"/>
                <w:color w:val="auto"/>
              </w:rPr>
              <w:t>5.0%</w:t>
            </w:r>
          </w:p>
        </w:tc>
        <w:tc>
          <w:tcPr>
            <w:tcW w:w="1520" w:type="dxa"/>
            <w:vAlign w:val="bottom"/>
            <w:gridSpan w:val="2"/>
          </w:tcPr>
          <w:p>
            <w:pPr>
              <w:jc w:val="right"/>
              <w:ind w:right="300"/>
              <w:spacing w:after="0"/>
              <w:rPr>
                <w:sz w:val="20"/>
                <w:szCs w:val="20"/>
                <w:color w:val="auto"/>
              </w:rPr>
            </w:pPr>
            <w:r>
              <w:rPr>
                <w:rFonts w:ascii="Arial" w:cs="Arial" w:eastAsia="Arial" w:hAnsi="Arial"/>
                <w:sz w:val="17"/>
                <w:szCs w:val="17"/>
                <w:color w:val="auto"/>
              </w:rPr>
              <w:t>6.2%</w:t>
            </w:r>
          </w:p>
        </w:tc>
        <w:tc>
          <w:tcPr>
            <w:tcW w:w="1540" w:type="dxa"/>
            <w:vAlign w:val="bottom"/>
            <w:gridSpan w:val="3"/>
          </w:tcPr>
          <w:p>
            <w:pPr>
              <w:jc w:val="right"/>
              <w:ind w:right="300"/>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SALES</w:t>
      </w:r>
    </w:p>
    <w:p>
      <w:pPr>
        <w:sectPr>
          <w:pgSz w:w="11900" w:h="16838" w:orient="portrait"/>
          <w:cols w:equalWidth="0" w:num="1">
            <w:col w:w="11420"/>
          </w:cols>
          <w:pgMar w:left="240" w:top="179" w:right="239" w:bottom="31" w:gutter="0" w:footer="0" w:header="0"/>
          <w:type w:val="continuous"/>
        </w:sectPr>
      </w:pPr>
    </w:p>
    <w:bookmarkStart w:id="8" w:name="page9"/>
    <w:bookmarkEnd w:id="8"/>
    <w:p>
      <w:pPr>
        <w:spacing w:after="0" w:line="3" w:lineRule="exact"/>
        <w:rPr>
          <w:sz w:val="20"/>
          <w:szCs w:val="20"/>
          <w:color w:val="auto"/>
        </w:rPr>
      </w:pPr>
    </w:p>
    <w:p>
      <w:pPr>
        <w:ind w:right="120" w:firstLine="685"/>
        <w:spacing w:after="0" w:line="292" w:lineRule="auto"/>
        <w:rPr>
          <w:sz w:val="20"/>
          <w:szCs w:val="20"/>
          <w:color w:val="auto"/>
        </w:rPr>
      </w:pPr>
      <w:r>
        <w:rPr>
          <w:rFonts w:ascii="Arial" w:cs="Arial" w:eastAsia="Arial" w:hAnsi="Arial"/>
          <w:sz w:val="16"/>
          <w:szCs w:val="16"/>
          <w:color w:val="auto"/>
        </w:rPr>
        <w:t>Sales increased $17,073,830, or 11.9%, to $160,405,080 for the fiscal year ended April 1, 2007 as compared to sales of $143,331,250 for the fiscal year ended April 2, 2006. Sales of bulk chemicals, including caustic soda, were approximately 34% of sales compared to 35% in the previous year. Industrial segment sales increased $11,202,506, or 13.3%, to $95,394,903, and Water Treatment segment sales increased $7,424,323, or 15.2%, to $56,371,237. Pharmaceutical segment sales decreased $1,552,999, or 15.2%, to $8,638,940. The increase in the Industrial segment sales was primarily due to increased sales volumes within existing product lines. Caustic soda volumes sold were comparable to the prior year. Water Treatment segment sales increases were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60"/>
        <w:spacing w:after="0" w:line="305" w:lineRule="auto"/>
        <w:rPr>
          <w:sz w:val="20"/>
          <w:szCs w:val="20"/>
          <w:color w:val="auto"/>
        </w:rPr>
      </w:pPr>
      <w:r>
        <w:rPr>
          <w:rFonts w:ascii="Arial" w:cs="Arial" w:eastAsia="Arial" w:hAnsi="Arial"/>
          <w:sz w:val="16"/>
          <w:szCs w:val="16"/>
          <w:color w:val="auto"/>
        </w:rPr>
        <w:t>attributable to selling price increases connected with material cost increases and successful expansion of existing product lines to new and existing customers. The decrease in Pharmaceutical segment sales was due primarily to restrictions placed on the Company’s ability to sell certain products by the Minneapolis District Office of the Food and Drug Administration (the “FDA”) and, to a lesser extent, competitive pressures. The FDA matter is described in more detail below.</w:t>
      </w:r>
    </w:p>
    <w:p>
      <w:pPr>
        <w:spacing w:after="0" w:line="159" w:lineRule="exact"/>
        <w:rPr>
          <w:sz w:val="20"/>
          <w:szCs w:val="20"/>
          <w:color w:val="auto"/>
        </w:rPr>
      </w:pPr>
    </w:p>
    <w:p>
      <w:pPr>
        <w:ind w:right="20" w:firstLine="685"/>
        <w:spacing w:after="0" w:line="268" w:lineRule="auto"/>
        <w:rPr>
          <w:sz w:val="20"/>
          <w:szCs w:val="20"/>
          <w:color w:val="auto"/>
        </w:rPr>
      </w:pPr>
      <w:r>
        <w:rPr>
          <w:rFonts w:ascii="Arial" w:cs="Arial" w:eastAsia="Arial" w:hAnsi="Arial"/>
          <w:sz w:val="17"/>
          <w:szCs w:val="17"/>
          <w:color w:val="auto"/>
        </w:rPr>
        <w:t>In September 2006, the Company received a warning letter from the FDA. The Company responded to this letter and subsequently received a letter from the FDA in November 2006 requesting that the Company cease shipments of certain products until it resolved certain issues with the FDA with respect to the validation of packaging configurations and expiration dating for those products. The Company is working to resolve this matter as promptly as possible and suspended shipment of the affected products to customers until the matter is resolved. The FDA has also requested that the Company cease shipments of certain other pharmaceutical products until this matter is resolved and the Company is complying with this request. The Company has received clearance from the FDA to sell some of the products initially affected, however sales for the second half of fiscal 2007 were negatively impacted. The Company currently has approximately $45,000 of Pharmaceutical products in inventory that it is not permitted to sell as a result of this matter. At this time, the Company is unable to determine the impact of the FDA letter on future results of operations for the Pharmaceutical segment, however the Company does not expect a material impact to the Company’s results of operations or cash flows.</w:t>
      </w:r>
    </w:p>
    <w:p>
      <w:pPr>
        <w:spacing w:after="0" w:line="186" w:lineRule="exact"/>
        <w:rPr>
          <w:sz w:val="20"/>
          <w:szCs w:val="20"/>
          <w:color w:val="auto"/>
        </w:rPr>
      </w:pPr>
    </w:p>
    <w:p>
      <w:pPr>
        <w:ind w:right="80" w:firstLine="685"/>
        <w:spacing w:after="0" w:line="287" w:lineRule="auto"/>
        <w:rPr>
          <w:sz w:val="20"/>
          <w:szCs w:val="20"/>
          <w:color w:val="auto"/>
        </w:rPr>
      </w:pPr>
      <w:r>
        <w:rPr>
          <w:rFonts w:ascii="Arial" w:cs="Arial" w:eastAsia="Arial" w:hAnsi="Arial"/>
          <w:sz w:val="16"/>
          <w:szCs w:val="16"/>
          <w:color w:val="auto"/>
        </w:rPr>
        <w:t>Sales increased $28,050,938, or 24.3%, to $143,331,250 for the fiscal year ended April 2, 2006 as compared to sales of $115,280,312 for the fiscal year ended April 3, 2005. Sales of bulk chemicals, including caustic soda, were approximately 35.1% of sales compared to 33.3% in the previous year. All three operating segments contributed to the increase in sales. Industrial segment sales increased $20,062,330, or 31.3%, to $84,192,397, Water Treatment segment sales increased $7,417,284, or 17.9%, to $48,946,914 and Pharmaceutical segment sales increased $571,324, or 5.9%, to $10,191,939. The increase in the Industrial segment sales was primarily due to improved sales across several product lines combined with selling price increases related to material cost increases, including caustic soda, in comparison to the prior year. Caustic soda volumes sold were comparable to the prior year. Water Treatment segment sales increases were attributable to selling price increases connected with material cost increases and successful expansion of existing product lines in comparison to the prior year. Increased volumes along several existing product lines drove the increase in Pharmaceutical segment sales.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GROSS MARGIN</w:t>
      </w:r>
    </w:p>
    <w:p>
      <w:pPr>
        <w:spacing w:after="0" w:line="235" w:lineRule="exact"/>
        <w:rPr>
          <w:sz w:val="20"/>
          <w:szCs w:val="20"/>
          <w:color w:val="auto"/>
        </w:rPr>
      </w:pPr>
    </w:p>
    <w:p>
      <w:pPr>
        <w:ind w:right="40" w:firstLine="685"/>
        <w:spacing w:after="0" w:line="296" w:lineRule="auto"/>
        <w:rPr>
          <w:sz w:val="20"/>
          <w:szCs w:val="20"/>
          <w:color w:val="auto"/>
        </w:rPr>
      </w:pPr>
      <w:r>
        <w:rPr>
          <w:rFonts w:ascii="Arial" w:cs="Arial" w:eastAsia="Arial" w:hAnsi="Arial"/>
          <w:sz w:val="17"/>
          <w:szCs w:val="17"/>
          <w:color w:val="auto"/>
        </w:rPr>
        <w:t>Gross margin, as a percentage of sales, was 23.2% for the fiscal years ended April 1, 2007 and April 2, 2006 and 25.7% for the fiscal year ended April 3, 2005. Changes in gross margin are due to a number of variables as explained below.</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Industrial Segment</w:t>
      </w:r>
    </w:p>
    <w:p>
      <w:pPr>
        <w:spacing w:after="0" w:line="235" w:lineRule="exact"/>
        <w:rPr>
          <w:sz w:val="20"/>
          <w:szCs w:val="20"/>
          <w:color w:val="auto"/>
        </w:rPr>
      </w:pPr>
    </w:p>
    <w:p>
      <w:pPr>
        <w:ind w:firstLine="685"/>
        <w:spacing w:after="0" w:line="267" w:lineRule="auto"/>
        <w:rPr>
          <w:sz w:val="20"/>
          <w:szCs w:val="20"/>
          <w:color w:val="auto"/>
        </w:rPr>
      </w:pPr>
      <w:r>
        <w:rPr>
          <w:rFonts w:ascii="Arial" w:cs="Arial" w:eastAsia="Arial" w:hAnsi="Arial"/>
          <w:sz w:val="17"/>
          <w:szCs w:val="17"/>
          <w:color w:val="auto"/>
        </w:rPr>
        <w:t>Gross margin, as a percentage of sales, for the Industrial segment was 19.0% for the fiscal year ended April 1, 2007, 17.9% for the fiscal year ended April 2, 2006 and 20.9% for the fiscal year ended April 3, 2005. The LIFO method of valuing inventory combined with changes in product mix and volumes of inventory on hand positively impacted gross margins by approximately 2.2% in fiscal 2007 as compared to fiscal 2006. This was partially offset by a portion of the sales increase related to high-volume, lower-margin products. The decrease for the fiscal year ended April 2, 2006 as compared to the fiscal year ended April 3, 2005 relates to changes in the cost and selling price of caustic soda during fiscal 2005 and 2006, increased product costs, a highly competitive market environment, and changes in product mix along several product lines. Additionally, since we are on the LIFO method of valuing inventory, the increased caustic soda costs and the higher cost of inventory on hand as of April 2, 2006 negatively impacted gross margins by 0.3% as compared to fiscal 2005. The cost of caustic soda is normally subject to fluctuations, which are expected to continue in future periods. The Company attempts to maintain relatively constant dollar margins as the cost of caustic soda increases or decreases. Therefore, the gross margin percentage will decrease when the cost of the product is increasing and will increase when the cost of the product is decreasing.</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Water Treatment Segment</w:t>
      </w:r>
    </w:p>
    <w:p>
      <w:pPr>
        <w:spacing w:after="0" w:line="235" w:lineRule="exact"/>
        <w:rPr>
          <w:sz w:val="20"/>
          <w:szCs w:val="20"/>
          <w:color w:val="auto"/>
        </w:rPr>
      </w:pPr>
    </w:p>
    <w:p>
      <w:pPr>
        <w:ind w:right="40" w:firstLine="685"/>
        <w:spacing w:after="0" w:line="270" w:lineRule="auto"/>
        <w:rPr>
          <w:sz w:val="20"/>
          <w:szCs w:val="20"/>
          <w:color w:val="auto"/>
        </w:rPr>
      </w:pPr>
      <w:r>
        <w:rPr>
          <w:rFonts w:ascii="Arial" w:cs="Arial" w:eastAsia="Arial" w:hAnsi="Arial"/>
          <w:sz w:val="17"/>
          <w:szCs w:val="17"/>
          <w:color w:val="auto"/>
        </w:rPr>
        <w:t>Gross margin, as a percentage of sales, for the Water Treatment segment was 29.6% for the fiscal year ended April 1, 2007, 30.8% for the fiscal year ended April 2, 2006 and 31.3% for the fiscal year ended April 3, 2005. The decrease for the fiscal year ended April 1, 2007 as compared to the fiscal year ended April 2, 2006 was primarily attributable to changes in product mix as a result of the increased sales volumes. The decrease for the fiscal year ended April 2, 2006 as compared to the fiscal year ended April 3, 2005 was primarily attributable to rising product costs, which to some extent, the Company was unable to pass on to customers due to competitive pressures. Additionally, due to the LIFO method of valuing inventory, the margin was negatively impacted by higher inventory costs and changes in product mix of inventory on hand as compared to the prior year.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Pharmaceutical Segment</w:t>
      </w:r>
    </w:p>
    <w:p>
      <w:pPr>
        <w:spacing w:after="0" w:line="235" w:lineRule="exact"/>
        <w:rPr>
          <w:sz w:val="20"/>
          <w:szCs w:val="20"/>
          <w:color w:val="auto"/>
        </w:rPr>
      </w:pPr>
    </w:p>
    <w:p>
      <w:pPr>
        <w:ind w:right="160" w:firstLine="685"/>
        <w:spacing w:after="0" w:line="292" w:lineRule="auto"/>
        <w:rPr>
          <w:sz w:val="20"/>
          <w:szCs w:val="20"/>
          <w:color w:val="auto"/>
        </w:rPr>
      </w:pPr>
      <w:r>
        <w:rPr>
          <w:rFonts w:ascii="Arial" w:cs="Arial" w:eastAsia="Arial" w:hAnsi="Arial"/>
          <w:sz w:val="16"/>
          <w:szCs w:val="16"/>
          <w:color w:val="auto"/>
        </w:rPr>
        <w:t>Gross margin, as a percentage of sales, for the Pharmaceutical segment was 28.3% for the fiscal year ended April 1, 2007, 30.4% for the fiscal year ended April 2, 2006 and 33.0% for the fiscal year ended April 3, 2005. The decrease for the fiscal year ended April 1, 2007 as compared to the fiscal year ended April 2, 2006 was primarily attributable to the decrease in sales associated with the FDA matter as discussed above as sales were not at a level sufficient to cover fixed costs. The decrease for the fiscal year ended April 2, 2006 as compared to the fiscal year ended April 3, 2005 related primarily to an increase in operating costs for staffing increases to facilitate future growth, changes in product mix and competitive pressures.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Selling, general and administrative expenses, as a percentage of sales, were 16.2% ($25,972,636) for the fiscal year ended April 1, 2007, 15.0%</w:t>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($21,513,444) for the fiscal year ended April 2, 2006 and 15.7% ($18,089,829) for the fiscal year ended April 3, 2005. A significant portion of the increase during</w:t>
      </w:r>
    </w:p>
    <w:p>
      <w:pPr>
        <w:sectPr>
          <w:pgSz w:w="11900" w:h="16842" w:orient="portrait"/>
          <w:cols w:equalWidth="0" w:num="1">
            <w:col w:w="11420"/>
          </w:cols>
          <w:pgMar w:left="240" w:top="131" w:right="239" w:bottom="0" w:gutter="0" w:footer="0" w:header="0"/>
        </w:sectPr>
      </w:pPr>
    </w:p>
    <w:bookmarkStart w:id="9" w:name="page10"/>
    <w:bookmarkEnd w:id="9"/>
    <w:p>
      <w:pPr>
        <w:ind w:right="20"/>
        <w:spacing w:after="0" w:line="267" w:lineRule="auto"/>
        <w:rPr>
          <w:sz w:val="20"/>
          <w:szCs w:val="20"/>
          <w:color w:val="auto"/>
        </w:rPr>
      </w:pPr>
      <w:r>
        <w:rPr>
          <w:rFonts w:ascii="Arial" w:cs="Arial" w:eastAsia="Arial" w:hAnsi="Arial"/>
          <w:sz w:val="17"/>
          <w:szCs w:val="17"/>
          <w:color w:val="auto"/>
        </w:rPr>
        <w:t>the year ended April 1, 2007 was due to costs associated with the Company’s implementation of an Enterprise Resource Planning (ERP) system, including consultants and contractors, depreciation, and employee overtime. Consulting and contractor fees were approximately $1,800,000 during the fiscal year ended April 1, 2007, which are expected to gradually decrease in fiscal 2008. To a lesser extent, increased staff to support sales growth also contributed to the increase in selling, general and administrative expenses. The dollar increases for the fiscal year ended April 2, 2006 as compared to the fiscal year ended April 3, 2005 were mainly due to increased sales staff, and, to a lesser extent, contractor fees associated with the Company’s efforts in complying with the requirements of the Sarbanes-Oxley Act and the Company’s implementation of an ERP system. Additionally, in fiscal 2006 bad debt expense increased by $564,445 due primarily to the bankruptcy of a large customer and the $176,000 impairment of intangible assets resulted in an increase in selling, general and administrative expenses. This customer’s bankruptcy did not have a material impact on the Company’s results of operations, financial condition or liquidity during fiscal 2007. Excluding the costs associated with the implementation of the ERP, employee compensation and benefits comprise the majority of the selling, general and administrative expenditures.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LITIGATION SETTLEMENTS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completed the acquisition of Universal Chemicals on May 26, 2000. As consideration for this acquisition the Company paid cash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$2,700,000 and issued 75,358 shares of unregistered common stock valued at $600,000 to Universal Chemicals’ shareholders. The stock issued was not subject to</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any contingencies at the time of the acquisition. In the fourth quarter of fiscal 2004, the Company paid $3.0 million to resolve a personal injury lawsuit</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encaptioned Chavarria et al v. Hawkins, Inc., Panorama Compounding Pharmacy, and Valley Drug and Compounding, et al that arose from the alleged mislabeling</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of certain inventory the Company purchased in connection with its acquisition of St. Mary’s Chemicals, Inc. (d/b/a Universal Chemicals) in May 2000. The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lawsuit alleged that the inventory was purchased in conjunction with the acquisition, however, subsequent information confirmed that the inventory was purchased</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from Universal Chemicals prior to the acquisition and was not related to assets purchased in the acquisition and accordingly was determined not to be an</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adjustment to the purchase price for Universal Chemicals. Pursuant to the terms of the settlement, the Company denied all liability and reserved its right to pursue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indemnification and contribution from third parties. In July 2004, the Company filed suit in Hennepin County, Minnesota against the former principals of</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Universal Chemicals, seeking indemnification for the costs the Company incurred in defending and resolving the prior litigation.</w:t>
      </w:r>
    </w:p>
    <w:p>
      <w:pPr>
        <w:spacing w:after="0" w:line="228" w:lineRule="exact"/>
        <w:rPr>
          <w:sz w:val="20"/>
          <w:szCs w:val="20"/>
          <w:color w:val="auto"/>
        </w:rPr>
      </w:pPr>
    </w:p>
    <w:p>
      <w:pPr>
        <w:ind w:right="60" w:firstLine="699"/>
        <w:spacing w:after="0" w:line="286" w:lineRule="auto"/>
        <w:rPr>
          <w:sz w:val="20"/>
          <w:szCs w:val="20"/>
          <w:color w:val="auto"/>
        </w:rPr>
      </w:pPr>
      <w:r>
        <w:rPr>
          <w:rFonts w:ascii="Arial" w:cs="Arial" w:eastAsia="Arial" w:hAnsi="Arial"/>
          <w:sz w:val="16"/>
          <w:szCs w:val="16"/>
          <w:color w:val="auto"/>
        </w:rPr>
        <w:t>On June 23, 2005, the Company and the former Universal Chemicals principals (the “defendants”) executed a settlement agreement in full and final resolution of the Company’s claims, as well as any claims the defendants may have or may have had against the Company. The settlement agreement required the defendants to surrender to the Company 75,358 shares of the Company’s common stock, which they received as consideration for the May 2000 acquisition. The 75,358 shares represent a partial reimbursement for the $3.0 million settlement paid by the Company in fiscal 2004. Both the original $3.0 million settlement paid by the Company and the settlement received from the Universal Chemicals shareholders were recorded within the litigation settlement line of the Statements of Income. The agreement also terminated the non-competition provisions of the Company’s agreements with the defendants, relieving the Company of the obligation to pay $500,000 to the defendants over the next five years as consideration for these provisions. The settlement agreement called for the parties to execute mutual releases and a stipulation of dismissal. Litigation settlement income of $1,056,520 was recorded in the Pharmaceutical segment during the fiscal year ended April 2, 2006 as the Company received the 75,358 shares and the executed final releases and stipulations.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INVESTMENT INCOME</w:t>
      </w:r>
    </w:p>
    <w:p>
      <w:pPr>
        <w:spacing w:after="0" w:line="235" w:lineRule="exact"/>
        <w:rPr>
          <w:sz w:val="20"/>
          <w:szCs w:val="20"/>
          <w:color w:val="auto"/>
        </w:rPr>
      </w:pPr>
    </w:p>
    <w:p>
      <w:pPr>
        <w:ind w:right="20" w:firstLine="685"/>
        <w:spacing w:after="0" w:line="290" w:lineRule="auto"/>
        <w:rPr>
          <w:sz w:val="20"/>
          <w:szCs w:val="20"/>
          <w:color w:val="auto"/>
        </w:rPr>
      </w:pPr>
      <w:r>
        <w:rPr>
          <w:rFonts w:ascii="Arial" w:cs="Arial" w:eastAsia="Arial" w:hAnsi="Arial"/>
          <w:sz w:val="16"/>
          <w:szCs w:val="16"/>
          <w:color w:val="auto"/>
        </w:rPr>
        <w:t>Investment income increased approximately $800,000 to $1,692,332 for the fiscal year ended April 1, 2007 compared to $892,289 for the fiscal year ended April 2, 2006. The increase was primarily related to an approximately $300,000 difference between the amount realized on the repayment and the carrying value of three notes receivable that were paid in full during the fourth quarter of fiscal 2007, and an approximately $229,000 increase due to higher average investment balances and yields. Additionally, an approximately $281,000 loss was recognized in fiscal 2006 due to other than temporary declines in the market value of an investment, which decreased investment income in comparison to fiscal years 2007 and 2005. The $228,000 decrease in fiscal 2006 compared to fiscal 2005 was partially offset by higher returns on the Company’s cash equivalents and marketable securities.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PROVISION FOR INCOME TAXES</w:t>
      </w:r>
    </w:p>
    <w:p>
      <w:pPr>
        <w:spacing w:after="0" w:line="235" w:lineRule="exact"/>
        <w:rPr>
          <w:sz w:val="20"/>
          <w:szCs w:val="20"/>
          <w:color w:val="auto"/>
        </w:rPr>
      </w:pPr>
    </w:p>
    <w:p>
      <w:pPr>
        <w:ind w:right="120" w:firstLine="685"/>
        <w:spacing w:after="0" w:line="280" w:lineRule="auto"/>
        <w:rPr>
          <w:sz w:val="20"/>
          <w:szCs w:val="20"/>
          <w:color w:val="auto"/>
        </w:rPr>
      </w:pPr>
      <w:r>
        <w:rPr>
          <w:rFonts w:ascii="Arial" w:cs="Arial" w:eastAsia="Arial" w:hAnsi="Arial"/>
          <w:sz w:val="17"/>
          <w:szCs w:val="17"/>
          <w:color w:val="auto"/>
        </w:rPr>
        <w:t>The effective income tax rate was 37.7% for the fiscal year ended April 1, 2007, 34.9% for the fiscal year ended April 2, 2006, and 36.0% for the fiscal year ended April 3, 2005. The higher effective tax rates for the fiscal years ended April 1, 2007 and April 3, 2005 as compared to the fiscal year ended April 2, 2006 was primarily due to a tax benefit recognized for adjustments to deferred tax estimates in fiscal 2006.</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SELECTED QUARTERLY FINANCIAL DATA</w:t>
      </w:r>
    </w:p>
    <w:p>
      <w:pPr>
        <w:spacing w:after="0" w:line="25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Fiscal Year Ended April 1, 2007 (Unaudited)</w:t>
            </w: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center"/>
              <w:ind w:right="121"/>
              <w:spacing w:after="0" w:line="129" w:lineRule="exact"/>
              <w:rPr>
                <w:sz w:val="20"/>
                <w:szCs w:val="20"/>
                <w:color w:val="auto"/>
              </w:rPr>
            </w:pPr>
            <w:r>
              <w:rPr>
                <w:rFonts w:ascii="Arial" w:cs="Arial" w:eastAsia="Arial" w:hAnsi="Arial"/>
                <w:sz w:val="13"/>
                <w:szCs w:val="13"/>
                <w:b w:val="1"/>
                <w:bCs w:val="1"/>
                <w:color w:val="auto"/>
                <w:w w:val="92"/>
              </w:rPr>
              <w:t>First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tcPr>
          <w:p>
            <w:pPr>
              <w:jc w:val="center"/>
              <w:ind w:right="320"/>
              <w:spacing w:after="0" w:line="129" w:lineRule="exact"/>
              <w:rPr>
                <w:sz w:val="20"/>
                <w:szCs w:val="20"/>
                <w:color w:val="auto"/>
              </w:rPr>
            </w:pPr>
            <w:r>
              <w:rPr>
                <w:rFonts w:ascii="Arial" w:cs="Arial" w:eastAsia="Arial" w:hAnsi="Arial"/>
                <w:sz w:val="13"/>
                <w:szCs w:val="13"/>
                <w:b w:val="1"/>
                <w:bCs w:val="1"/>
                <w:color w:val="auto"/>
                <w:w w:val="85"/>
              </w:rPr>
              <w:t>Second</w:t>
            </w:r>
          </w:p>
        </w:tc>
        <w:tc>
          <w:tcPr>
            <w:tcW w:w="160" w:type="dxa"/>
            <w:vAlign w:val="bottom"/>
          </w:tcPr>
          <w:p>
            <w:pPr>
              <w:spacing w:after="0"/>
              <w:rPr>
                <w:sz w:val="11"/>
                <w:szCs w:val="11"/>
                <w:color w:val="auto"/>
              </w:rPr>
            </w:pPr>
          </w:p>
        </w:tc>
        <w:tc>
          <w:tcPr>
            <w:tcW w:w="1580" w:type="dxa"/>
            <w:vAlign w:val="bottom"/>
            <w:gridSpan w:val="2"/>
          </w:tcPr>
          <w:p>
            <w:pPr>
              <w:jc w:val="center"/>
              <w:ind w:right="320"/>
              <w:spacing w:after="0" w:line="129" w:lineRule="exact"/>
              <w:rPr>
                <w:sz w:val="20"/>
                <w:szCs w:val="20"/>
                <w:color w:val="auto"/>
              </w:rPr>
            </w:pPr>
            <w:r>
              <w:rPr>
                <w:rFonts w:ascii="Arial" w:cs="Arial" w:eastAsia="Arial" w:hAnsi="Arial"/>
                <w:sz w:val="13"/>
                <w:szCs w:val="13"/>
                <w:b w:val="1"/>
                <w:bCs w:val="1"/>
                <w:color w:val="auto"/>
              </w:rPr>
              <w:t>Third</w:t>
            </w:r>
          </w:p>
        </w:tc>
        <w:tc>
          <w:tcPr>
            <w:tcW w:w="200" w:type="dxa"/>
            <w:vAlign w:val="bottom"/>
          </w:tcPr>
          <w:p>
            <w:pPr>
              <w:spacing w:after="0"/>
              <w:rPr>
                <w:sz w:val="11"/>
                <w:szCs w:val="11"/>
                <w:color w:val="auto"/>
              </w:rPr>
            </w:pPr>
          </w:p>
        </w:tc>
        <w:tc>
          <w:tcPr>
            <w:tcW w:w="1320" w:type="dxa"/>
            <w:vAlign w:val="bottom"/>
          </w:tcPr>
          <w:p>
            <w:pPr>
              <w:jc w:val="center"/>
              <w:ind w:right="121"/>
              <w:spacing w:after="0" w:line="129" w:lineRule="exact"/>
              <w:rPr>
                <w:sz w:val="20"/>
                <w:szCs w:val="20"/>
                <w:color w:val="auto"/>
              </w:rPr>
            </w:pPr>
            <w:r>
              <w:rPr>
                <w:rFonts w:ascii="Arial" w:cs="Arial" w:eastAsia="Arial" w:hAnsi="Arial"/>
                <w:sz w:val="13"/>
                <w:szCs w:val="13"/>
                <w:b w:val="1"/>
                <w:bCs w:val="1"/>
                <w:color w:val="auto"/>
                <w:w w:val="97"/>
              </w:rPr>
              <w:t>Fourth</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41"/>
              <w:spacing w:after="0" w:line="148" w:lineRule="exact"/>
              <w:rPr>
                <w:sz w:val="20"/>
                <w:szCs w:val="20"/>
                <w:color w:val="auto"/>
              </w:rPr>
            </w:pPr>
            <w:r>
              <w:rPr>
                <w:rFonts w:ascii="Arial" w:cs="Arial" w:eastAsia="Arial" w:hAnsi="Arial"/>
                <w:sz w:val="13"/>
                <w:szCs w:val="13"/>
                <w:b w:val="1"/>
                <w:bCs w:val="1"/>
                <w:color w:val="auto"/>
                <w:w w:val="97"/>
              </w:rPr>
              <w:t>Quarter 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320"/>
              <w:spacing w:after="0" w:line="148" w:lineRule="exact"/>
              <w:rPr>
                <w:sz w:val="20"/>
                <w:szCs w:val="20"/>
                <w:color w:val="auto"/>
              </w:rPr>
            </w:pPr>
            <w:r>
              <w:rPr>
                <w:rFonts w:ascii="Arial" w:cs="Arial" w:eastAsia="Arial" w:hAnsi="Arial"/>
                <w:sz w:val="13"/>
                <w:szCs w:val="13"/>
                <w:b w:val="1"/>
                <w:bCs w:val="1"/>
                <w:color w:val="auto"/>
                <w:w w:val="97"/>
              </w:rPr>
              <w:t>Quarter Ended</w:t>
            </w:r>
          </w:p>
        </w:tc>
        <w:tc>
          <w:tcPr>
            <w:tcW w:w="160" w:type="dxa"/>
            <w:vAlign w:val="bottom"/>
          </w:tcPr>
          <w:p>
            <w:pPr>
              <w:spacing w:after="0"/>
              <w:rPr>
                <w:sz w:val="12"/>
                <w:szCs w:val="12"/>
                <w:color w:val="auto"/>
              </w:rPr>
            </w:pPr>
          </w:p>
        </w:tc>
        <w:tc>
          <w:tcPr>
            <w:tcW w:w="1580" w:type="dxa"/>
            <w:vAlign w:val="bottom"/>
            <w:gridSpan w:val="2"/>
          </w:tcPr>
          <w:p>
            <w:pPr>
              <w:jc w:val="center"/>
              <w:ind w:right="340"/>
              <w:spacing w:after="0" w:line="148" w:lineRule="exact"/>
              <w:rPr>
                <w:sz w:val="20"/>
                <w:szCs w:val="20"/>
                <w:color w:val="auto"/>
              </w:rPr>
            </w:pPr>
            <w:r>
              <w:rPr>
                <w:rFonts w:ascii="Arial" w:cs="Arial" w:eastAsia="Arial" w:hAnsi="Arial"/>
                <w:sz w:val="13"/>
                <w:szCs w:val="13"/>
                <w:b w:val="1"/>
                <w:bCs w:val="1"/>
                <w:color w:val="auto"/>
                <w:w w:val="97"/>
              </w:rPr>
              <w:t>Quarter Ended</w:t>
            </w:r>
          </w:p>
        </w:tc>
        <w:tc>
          <w:tcPr>
            <w:tcW w:w="200" w:type="dxa"/>
            <w:vAlign w:val="bottom"/>
          </w:tcPr>
          <w:p>
            <w:pPr>
              <w:spacing w:after="0"/>
              <w:rPr>
                <w:sz w:val="12"/>
                <w:szCs w:val="12"/>
                <w:color w:val="auto"/>
              </w:rPr>
            </w:pPr>
          </w:p>
        </w:tc>
        <w:tc>
          <w:tcPr>
            <w:tcW w:w="150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w w:val="97"/>
              </w:rPr>
              <w:t>Quarter Ended</w:t>
            </w:r>
          </w:p>
        </w:tc>
        <w:tc>
          <w:tcPr>
            <w:tcW w:w="0" w:type="dxa"/>
            <w:vAlign w:val="bottom"/>
          </w:tcPr>
          <w:p>
            <w:pPr>
              <w:spacing w:after="0"/>
              <w:rPr>
                <w:sz w:val="1"/>
                <w:szCs w:val="1"/>
                <w:color w:val="auto"/>
              </w:rPr>
            </w:pPr>
          </w:p>
        </w:tc>
      </w:tr>
      <w:tr>
        <w:trPr>
          <w:trHeight w:val="161"/>
        </w:trPr>
        <w:tc>
          <w:tcPr>
            <w:tcW w:w="1920" w:type="dxa"/>
            <w:vAlign w:val="bottom"/>
            <w:tcBorders>
              <w:bottom w:val="single" w:sz="8" w:color="D6F3E8"/>
            </w:tcBorders>
          </w:tcPr>
          <w:p>
            <w:pPr>
              <w:spacing w:after="0"/>
              <w:rPr>
                <w:sz w:val="13"/>
                <w:szCs w:val="13"/>
                <w:color w:val="auto"/>
              </w:rPr>
            </w:pPr>
          </w:p>
        </w:tc>
        <w:tc>
          <w:tcPr>
            <w:tcW w:w="340" w:type="dxa"/>
            <w:vAlign w:val="bottom"/>
            <w:tcBorders>
              <w:bottom w:val="single" w:sz="8" w:color="D6F3E8"/>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21"/>
              <w:spacing w:after="0"/>
              <w:rPr>
                <w:sz w:val="20"/>
                <w:szCs w:val="20"/>
                <w:color w:val="auto"/>
              </w:rPr>
            </w:pPr>
            <w:r>
              <w:rPr>
                <w:rFonts w:ascii="Arial" w:cs="Arial" w:eastAsia="Arial" w:hAnsi="Arial"/>
                <w:sz w:val="13"/>
                <w:szCs w:val="13"/>
                <w:b w:val="1"/>
                <w:bCs w:val="1"/>
                <w:color w:val="auto"/>
                <w:w w:val="92"/>
              </w:rPr>
              <w:t>June 30, 2006</w:t>
            </w:r>
          </w:p>
        </w:tc>
        <w:tc>
          <w:tcPr>
            <w:tcW w:w="160" w:type="dxa"/>
            <w:vAlign w:val="bottom"/>
            <w:tcBorders>
              <w:bottom w:val="single" w:sz="8" w:color="D6F3E8"/>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92"/>
              </w:rPr>
              <w:t>September 30, 2006</w:t>
            </w:r>
          </w:p>
        </w:tc>
        <w:tc>
          <w:tcPr>
            <w:tcW w:w="160" w:type="dxa"/>
            <w:vAlign w:val="bottom"/>
            <w:tcBorders>
              <w:bottom w:val="single" w:sz="8" w:color="D6F3E8"/>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81"/>
              <w:spacing w:after="0"/>
              <w:rPr>
                <w:sz w:val="20"/>
                <w:szCs w:val="20"/>
                <w:color w:val="auto"/>
              </w:rPr>
            </w:pPr>
            <w:r>
              <w:rPr>
                <w:rFonts w:ascii="Arial" w:cs="Arial" w:eastAsia="Arial" w:hAnsi="Arial"/>
                <w:sz w:val="13"/>
                <w:szCs w:val="13"/>
                <w:b w:val="1"/>
                <w:bCs w:val="1"/>
                <w:color w:val="auto"/>
                <w:w w:val="92"/>
              </w:rPr>
              <w:t>December 31, 2006</w:t>
            </w:r>
          </w:p>
        </w:tc>
        <w:tc>
          <w:tcPr>
            <w:tcW w:w="180" w:type="dxa"/>
            <w:vAlign w:val="bottom"/>
            <w:tcBorders>
              <w:bottom w:val="single" w:sz="8" w:color="D6F3E8"/>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41"/>
              <w:spacing w:after="0"/>
              <w:rPr>
                <w:sz w:val="20"/>
                <w:szCs w:val="20"/>
                <w:color w:val="auto"/>
              </w:rPr>
            </w:pPr>
            <w:r>
              <w:rPr>
                <w:rFonts w:ascii="Arial" w:cs="Arial" w:eastAsia="Arial" w:hAnsi="Arial"/>
                <w:sz w:val="13"/>
                <w:szCs w:val="13"/>
                <w:b w:val="1"/>
                <w:bCs w:val="1"/>
                <w:color w:val="auto"/>
                <w:w w:val="96"/>
              </w:rPr>
              <w:t>April 1, 2007</w:t>
            </w:r>
          </w:p>
        </w:tc>
        <w:tc>
          <w:tcPr>
            <w:tcW w:w="180" w:type="dxa"/>
            <w:vAlign w:val="bottom"/>
            <w:tcBorders>
              <w:bottom w:val="single" w:sz="8" w:color="D6F3E8"/>
            </w:tcBorders>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920" w:type="dxa"/>
            <w:vAlign w:val="bottom"/>
            <w:shd w:val="clear" w:color="auto" w:fill="D6F3E8"/>
          </w:tcPr>
          <w:p>
            <w:pPr>
              <w:spacing w:after="0"/>
              <w:rPr>
                <w:sz w:val="20"/>
                <w:szCs w:val="20"/>
                <w:color w:val="auto"/>
              </w:rPr>
            </w:pPr>
            <w:r>
              <w:rPr>
                <w:rFonts w:ascii="Arial" w:cs="Arial" w:eastAsia="Arial" w:hAnsi="Arial"/>
                <w:sz w:val="17"/>
                <w:szCs w:val="17"/>
                <w:color w:val="auto"/>
              </w:rPr>
              <w:t>Sales</w:t>
            </w:r>
          </w:p>
        </w:tc>
        <w:tc>
          <w:tcPr>
            <w:tcW w:w="540" w:type="dxa"/>
            <w:vAlign w:val="bottom"/>
            <w:gridSpan w:val="2"/>
            <w:shd w:val="clear" w:color="auto" w:fill="D6F3E8"/>
          </w:tcPr>
          <w:p>
            <w:pPr>
              <w:jc w:val="right"/>
              <w:ind w:right="44"/>
              <w:spacing w:after="0"/>
              <w:rPr>
                <w:sz w:val="20"/>
                <w:szCs w:val="20"/>
                <w:color w:val="auto"/>
              </w:rPr>
            </w:pPr>
            <w:r>
              <w:rPr>
                <w:rFonts w:ascii="Arial" w:cs="Arial" w:eastAsia="Arial" w:hAnsi="Arial"/>
                <w:sz w:val="17"/>
                <w:szCs w:val="17"/>
                <w:color w:val="auto"/>
              </w:rPr>
              <w:t>$</w:t>
            </w:r>
          </w:p>
        </w:tc>
        <w:tc>
          <w:tcPr>
            <w:tcW w:w="1340" w:type="dxa"/>
            <w:vAlign w:val="bottom"/>
            <w:shd w:val="clear" w:color="auto" w:fill="D6F3E8"/>
          </w:tcPr>
          <w:p>
            <w:pPr>
              <w:jc w:val="right"/>
              <w:spacing w:after="0"/>
              <w:rPr>
                <w:sz w:val="20"/>
                <w:szCs w:val="20"/>
                <w:color w:val="auto"/>
              </w:rPr>
            </w:pPr>
            <w:r>
              <w:rPr>
                <w:rFonts w:ascii="Arial" w:cs="Arial" w:eastAsia="Arial" w:hAnsi="Arial"/>
                <w:sz w:val="17"/>
                <w:szCs w:val="17"/>
                <w:color w:val="auto"/>
              </w:rPr>
              <w:t>41,460,663</w:t>
            </w:r>
          </w:p>
        </w:tc>
        <w:tc>
          <w:tcPr>
            <w:tcW w:w="320" w:type="dxa"/>
            <w:vAlign w:val="bottom"/>
            <w:gridSpan w:val="2"/>
            <w:shd w:val="clear" w:color="auto" w:fill="D6F3E8"/>
          </w:tcPr>
          <w:p>
            <w:pPr>
              <w:jc w:val="right"/>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D6F3E8"/>
          </w:tcPr>
          <w:p>
            <w:pPr>
              <w:jc w:val="right"/>
              <w:ind w:right="160"/>
              <w:spacing w:after="0"/>
              <w:rPr>
                <w:sz w:val="20"/>
                <w:szCs w:val="20"/>
                <w:color w:val="auto"/>
              </w:rPr>
            </w:pPr>
            <w:r>
              <w:rPr>
                <w:rFonts w:ascii="Arial" w:cs="Arial" w:eastAsia="Arial" w:hAnsi="Arial"/>
                <w:sz w:val="17"/>
                <w:szCs w:val="17"/>
                <w:color w:val="auto"/>
              </w:rPr>
              <w:t>42,200,162</w:t>
            </w:r>
          </w:p>
        </w:tc>
        <w:tc>
          <w:tcPr>
            <w:tcW w:w="160" w:type="dxa"/>
            <w:vAlign w:val="bottom"/>
            <w:shd w:val="clear" w:color="auto" w:fill="D6F3E8"/>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37,039,181</w:t>
            </w:r>
          </w:p>
        </w:tc>
        <w:tc>
          <w:tcPr>
            <w:tcW w:w="180" w:type="dxa"/>
            <w:vAlign w:val="bottom"/>
            <w:shd w:val="clear" w:color="auto" w:fill="D6F3E8"/>
          </w:tcPr>
          <w:p>
            <w:pPr>
              <w:spacing w:after="0"/>
              <w:rPr>
                <w:sz w:val="21"/>
                <w:szCs w:val="21"/>
                <w:color w:val="auto"/>
              </w:rPr>
            </w:pPr>
          </w:p>
        </w:tc>
        <w:tc>
          <w:tcPr>
            <w:tcW w:w="200" w:type="dxa"/>
            <w:vAlign w:val="bottom"/>
            <w:shd w:val="clear" w:color="auto" w:fill="D6F3E8"/>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D6F3E8"/>
          </w:tcPr>
          <w:p>
            <w:pPr>
              <w:jc w:val="right"/>
              <w:spacing w:after="0"/>
              <w:rPr>
                <w:sz w:val="20"/>
                <w:szCs w:val="20"/>
                <w:color w:val="auto"/>
              </w:rPr>
            </w:pPr>
            <w:r>
              <w:rPr>
                <w:rFonts w:ascii="Arial" w:cs="Arial" w:eastAsia="Arial" w:hAnsi="Arial"/>
                <w:sz w:val="17"/>
                <w:szCs w:val="17"/>
                <w:color w:val="auto"/>
              </w:rPr>
              <w:t>39,705,074</w:t>
            </w:r>
          </w:p>
        </w:tc>
        <w:tc>
          <w:tcPr>
            <w:tcW w:w="1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920" w:type="dxa"/>
            <w:vAlign w:val="bottom"/>
          </w:tcPr>
          <w:p>
            <w:pPr>
              <w:spacing w:after="0"/>
              <w:rPr>
                <w:sz w:val="20"/>
                <w:szCs w:val="20"/>
                <w:color w:val="auto"/>
              </w:rPr>
            </w:pPr>
            <w:r>
              <w:rPr>
                <w:rFonts w:ascii="Arial" w:cs="Arial" w:eastAsia="Arial" w:hAnsi="Arial"/>
                <w:sz w:val="17"/>
                <w:szCs w:val="17"/>
                <w:color w:val="auto"/>
              </w:rPr>
              <w:t>Gross margin</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10,823,085</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11,176,647</w:t>
            </w: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6,991,206</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8,246,039</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920" w:type="dxa"/>
            <w:vAlign w:val="bottom"/>
            <w:shd w:val="clear" w:color="auto" w:fill="D6F3E8"/>
          </w:tcPr>
          <w:p>
            <w:pPr>
              <w:spacing w:after="0"/>
              <w:rPr>
                <w:sz w:val="20"/>
                <w:szCs w:val="20"/>
                <w:color w:val="auto"/>
              </w:rPr>
            </w:pPr>
            <w:r>
              <w:rPr>
                <w:rFonts w:ascii="Arial" w:cs="Arial" w:eastAsia="Arial" w:hAnsi="Arial"/>
                <w:sz w:val="17"/>
                <w:szCs w:val="17"/>
                <w:color w:val="auto"/>
              </w:rPr>
              <w:t>Net income</w:t>
            </w:r>
          </w:p>
        </w:tc>
        <w:tc>
          <w:tcPr>
            <w:tcW w:w="340" w:type="dxa"/>
            <w:vAlign w:val="bottom"/>
            <w:shd w:val="clear" w:color="auto" w:fill="D6F3E8"/>
          </w:tcPr>
          <w:p>
            <w:pPr>
              <w:spacing w:after="0"/>
              <w:rPr>
                <w:sz w:val="22"/>
                <w:szCs w:val="22"/>
                <w:color w:val="auto"/>
              </w:rPr>
            </w:pPr>
          </w:p>
        </w:tc>
        <w:tc>
          <w:tcPr>
            <w:tcW w:w="200" w:type="dxa"/>
            <w:vAlign w:val="bottom"/>
            <w:tcBorders>
              <w:bottom w:val="single" w:sz="8" w:color="auto"/>
            </w:tcBorders>
            <w:shd w:val="clear" w:color="auto" w:fill="D6F3E8"/>
          </w:tcPr>
          <w:p>
            <w:pPr>
              <w:spacing w:after="0"/>
              <w:rPr>
                <w:sz w:val="22"/>
                <w:szCs w:val="22"/>
                <w:color w:val="auto"/>
              </w:rPr>
            </w:pPr>
          </w:p>
        </w:tc>
        <w:tc>
          <w:tcPr>
            <w:tcW w:w="13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7"/>
                <w:szCs w:val="17"/>
                <w:color w:val="auto"/>
              </w:rPr>
              <w:t>2,799,967</w:t>
            </w:r>
          </w:p>
        </w:tc>
        <w:tc>
          <w:tcPr>
            <w:tcW w:w="160" w:type="dxa"/>
            <w:vAlign w:val="bottom"/>
            <w:shd w:val="clear" w:color="auto" w:fill="D6F3E8"/>
          </w:tcPr>
          <w:p>
            <w:pPr>
              <w:spacing w:after="0"/>
              <w:rPr>
                <w:sz w:val="22"/>
                <w:szCs w:val="22"/>
                <w:color w:val="auto"/>
              </w:rPr>
            </w:pPr>
          </w:p>
        </w:tc>
        <w:tc>
          <w:tcPr>
            <w:tcW w:w="160" w:type="dxa"/>
            <w:vAlign w:val="bottom"/>
            <w:tcBorders>
              <w:bottom w:val="single" w:sz="8" w:color="auto"/>
            </w:tcBorders>
            <w:shd w:val="clear" w:color="auto" w:fill="D6F3E8"/>
          </w:tcPr>
          <w:p>
            <w:pPr>
              <w:spacing w:after="0"/>
              <w:rPr>
                <w:sz w:val="22"/>
                <w:szCs w:val="22"/>
                <w:color w:val="auto"/>
              </w:rPr>
            </w:pPr>
          </w:p>
        </w:tc>
        <w:tc>
          <w:tcPr>
            <w:tcW w:w="14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7"/>
                <w:szCs w:val="17"/>
                <w:color w:val="auto"/>
              </w:rPr>
              <w:t>3,146,128</w:t>
            </w:r>
          </w:p>
        </w:tc>
        <w:tc>
          <w:tcPr>
            <w:tcW w:w="160" w:type="dxa"/>
            <w:vAlign w:val="bottom"/>
            <w:shd w:val="clear" w:color="auto" w:fill="D6F3E8"/>
          </w:tcPr>
          <w:p>
            <w:pPr>
              <w:spacing w:after="0"/>
              <w:rPr>
                <w:sz w:val="22"/>
                <w:szCs w:val="22"/>
                <w:color w:val="auto"/>
              </w:rPr>
            </w:pPr>
          </w:p>
        </w:tc>
        <w:tc>
          <w:tcPr>
            <w:tcW w:w="160" w:type="dxa"/>
            <w:vAlign w:val="bottom"/>
            <w:tcBorders>
              <w:bottom w:val="single" w:sz="8" w:color="auto"/>
            </w:tcBorders>
            <w:shd w:val="clear" w:color="auto" w:fill="D6F3E8"/>
          </w:tcPr>
          <w:p>
            <w:pPr>
              <w:spacing w:after="0"/>
              <w:rPr>
                <w:sz w:val="22"/>
                <w:szCs w:val="22"/>
                <w:color w:val="auto"/>
              </w:rPr>
            </w:pPr>
          </w:p>
        </w:tc>
        <w:tc>
          <w:tcPr>
            <w:tcW w:w="14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7"/>
                <w:szCs w:val="17"/>
                <w:color w:val="auto"/>
              </w:rPr>
              <w:t>314,273</w:t>
            </w:r>
          </w:p>
        </w:tc>
        <w:tc>
          <w:tcPr>
            <w:tcW w:w="180" w:type="dxa"/>
            <w:vAlign w:val="bottom"/>
            <w:shd w:val="clear" w:color="auto" w:fill="D6F3E8"/>
          </w:tcPr>
          <w:p>
            <w:pPr>
              <w:spacing w:after="0"/>
              <w:rPr>
                <w:sz w:val="22"/>
                <w:szCs w:val="22"/>
                <w:color w:val="auto"/>
              </w:rPr>
            </w:pPr>
          </w:p>
        </w:tc>
        <w:tc>
          <w:tcPr>
            <w:tcW w:w="200" w:type="dxa"/>
            <w:vAlign w:val="bottom"/>
            <w:tcBorders>
              <w:bottom w:val="single" w:sz="8" w:color="auto"/>
            </w:tcBorders>
            <w:shd w:val="clear" w:color="auto" w:fill="D6F3E8"/>
          </w:tcPr>
          <w:p>
            <w:pPr>
              <w:spacing w:after="0"/>
              <w:rPr>
                <w:sz w:val="22"/>
                <w:szCs w:val="22"/>
                <w:color w:val="auto"/>
              </w:rPr>
            </w:pPr>
          </w:p>
        </w:tc>
        <w:tc>
          <w:tcPr>
            <w:tcW w:w="13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7"/>
                <w:szCs w:val="17"/>
                <w:color w:val="auto"/>
              </w:rPr>
              <w:t>1,808,515</w:t>
            </w:r>
          </w:p>
        </w:tc>
        <w:tc>
          <w:tcPr>
            <w:tcW w:w="18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1920" w:type="dxa"/>
            <w:vAlign w:val="bottom"/>
          </w:tcPr>
          <w:p>
            <w:pPr>
              <w:spacing w:after="0"/>
              <w:rPr>
                <w:sz w:val="20"/>
                <w:szCs w:val="20"/>
                <w:color w:val="auto"/>
              </w:rPr>
            </w:pPr>
            <w:r>
              <w:rPr>
                <w:rFonts w:ascii="Arial" w:cs="Arial" w:eastAsia="Arial" w:hAnsi="Arial"/>
                <w:sz w:val="17"/>
                <w:szCs w:val="17"/>
                <w:color w:val="auto"/>
              </w:rPr>
              <w:t>Basic and diluted</w:t>
            </w:r>
          </w:p>
        </w:tc>
        <w:tc>
          <w:tcPr>
            <w:tcW w:w="340" w:type="dxa"/>
            <w:vAlign w:val="bottom"/>
            <w:vMerge w:val="restart"/>
          </w:tcPr>
          <w:p>
            <w:pPr>
              <w:spacing w:after="0"/>
              <w:rPr>
                <w:sz w:val="18"/>
                <w:szCs w:val="18"/>
                <w:color w:val="auto"/>
              </w:rPr>
            </w:pPr>
          </w:p>
        </w:tc>
        <w:tc>
          <w:tcPr>
            <w:tcW w:w="200" w:type="dxa"/>
            <w:vAlign w:val="bottom"/>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.28</w:t>
            </w:r>
          </w:p>
        </w:tc>
        <w:tc>
          <w:tcPr>
            <w:tcW w:w="160" w:type="dxa"/>
            <w:vAlign w:val="bottom"/>
            <w:vMerge w:val="restart"/>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.31</w:t>
            </w:r>
          </w:p>
        </w:tc>
        <w:tc>
          <w:tcPr>
            <w:tcW w:w="160" w:type="dxa"/>
            <w:vAlign w:val="bottom"/>
            <w:vMerge w:val="restart"/>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.03</w:t>
            </w:r>
          </w:p>
        </w:tc>
        <w:tc>
          <w:tcPr>
            <w:tcW w:w="180" w:type="dxa"/>
            <w:vAlign w:val="bottom"/>
          </w:tcPr>
          <w:p>
            <w:pPr>
              <w:spacing w:after="0"/>
              <w:rPr>
                <w:sz w:val="18"/>
                <w:szCs w:val="18"/>
                <w:color w:val="auto"/>
              </w:rPr>
            </w:pPr>
          </w:p>
        </w:tc>
        <w:tc>
          <w:tcPr>
            <w:tcW w:w="200" w:type="dxa"/>
            <w:vAlign w:val="bottom"/>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920" w:type="dxa"/>
            <w:vAlign w:val="bottom"/>
          </w:tcPr>
          <w:p>
            <w:pPr>
              <w:ind w:left="320"/>
              <w:spacing w:after="0"/>
              <w:rPr>
                <w:sz w:val="20"/>
                <w:szCs w:val="20"/>
                <w:color w:val="auto"/>
              </w:rPr>
            </w:pPr>
            <w:r>
              <w:rPr>
                <w:rFonts w:ascii="Arial" w:cs="Arial" w:eastAsia="Arial" w:hAnsi="Arial"/>
                <w:sz w:val="17"/>
                <w:szCs w:val="17"/>
                <w:color w:val="auto"/>
              </w:rPr>
              <w:t>earnings per share</w:t>
            </w:r>
          </w:p>
        </w:tc>
        <w:tc>
          <w:tcPr>
            <w:tcW w:w="340" w:type="dxa"/>
            <w:vAlign w:val="bottom"/>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Fiscal Year Ended April 2, 2006 (Unaudited)</w:t>
            </w: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center"/>
              <w:ind w:right="121"/>
              <w:spacing w:after="0" w:line="129" w:lineRule="exact"/>
              <w:rPr>
                <w:sz w:val="20"/>
                <w:szCs w:val="20"/>
                <w:color w:val="auto"/>
              </w:rPr>
            </w:pPr>
            <w:r>
              <w:rPr>
                <w:rFonts w:ascii="Arial" w:cs="Arial" w:eastAsia="Arial" w:hAnsi="Arial"/>
                <w:sz w:val="13"/>
                <w:szCs w:val="13"/>
                <w:b w:val="1"/>
                <w:bCs w:val="1"/>
                <w:color w:val="auto"/>
                <w:w w:val="92"/>
              </w:rPr>
              <w:t>First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tcPr>
          <w:p>
            <w:pPr>
              <w:jc w:val="center"/>
              <w:ind w:right="320"/>
              <w:spacing w:after="0" w:line="129" w:lineRule="exact"/>
              <w:rPr>
                <w:sz w:val="20"/>
                <w:szCs w:val="20"/>
                <w:color w:val="auto"/>
              </w:rPr>
            </w:pPr>
            <w:r>
              <w:rPr>
                <w:rFonts w:ascii="Arial" w:cs="Arial" w:eastAsia="Arial" w:hAnsi="Arial"/>
                <w:sz w:val="13"/>
                <w:szCs w:val="13"/>
                <w:b w:val="1"/>
                <w:bCs w:val="1"/>
                <w:color w:val="auto"/>
                <w:w w:val="85"/>
              </w:rPr>
              <w:t>Second</w:t>
            </w:r>
          </w:p>
        </w:tc>
        <w:tc>
          <w:tcPr>
            <w:tcW w:w="160" w:type="dxa"/>
            <w:vAlign w:val="bottom"/>
          </w:tcPr>
          <w:p>
            <w:pPr>
              <w:spacing w:after="0"/>
              <w:rPr>
                <w:sz w:val="11"/>
                <w:szCs w:val="11"/>
                <w:color w:val="auto"/>
              </w:rPr>
            </w:pPr>
          </w:p>
        </w:tc>
        <w:tc>
          <w:tcPr>
            <w:tcW w:w="1580" w:type="dxa"/>
            <w:vAlign w:val="bottom"/>
            <w:gridSpan w:val="2"/>
          </w:tcPr>
          <w:p>
            <w:pPr>
              <w:jc w:val="center"/>
              <w:ind w:right="320"/>
              <w:spacing w:after="0" w:line="129" w:lineRule="exact"/>
              <w:rPr>
                <w:sz w:val="20"/>
                <w:szCs w:val="20"/>
                <w:color w:val="auto"/>
              </w:rPr>
            </w:pPr>
            <w:r>
              <w:rPr>
                <w:rFonts w:ascii="Arial" w:cs="Arial" w:eastAsia="Arial" w:hAnsi="Arial"/>
                <w:sz w:val="13"/>
                <w:szCs w:val="13"/>
                <w:b w:val="1"/>
                <w:bCs w:val="1"/>
                <w:color w:val="auto"/>
              </w:rPr>
              <w:t>Third</w:t>
            </w:r>
          </w:p>
        </w:tc>
        <w:tc>
          <w:tcPr>
            <w:tcW w:w="200" w:type="dxa"/>
            <w:vAlign w:val="bottom"/>
          </w:tcPr>
          <w:p>
            <w:pPr>
              <w:spacing w:after="0"/>
              <w:rPr>
                <w:sz w:val="11"/>
                <w:szCs w:val="11"/>
                <w:color w:val="auto"/>
              </w:rPr>
            </w:pPr>
          </w:p>
        </w:tc>
        <w:tc>
          <w:tcPr>
            <w:tcW w:w="1320" w:type="dxa"/>
            <w:vAlign w:val="bottom"/>
          </w:tcPr>
          <w:p>
            <w:pPr>
              <w:jc w:val="center"/>
              <w:ind w:right="121"/>
              <w:spacing w:after="0" w:line="129" w:lineRule="exact"/>
              <w:rPr>
                <w:sz w:val="20"/>
                <w:szCs w:val="20"/>
                <w:color w:val="auto"/>
              </w:rPr>
            </w:pPr>
            <w:r>
              <w:rPr>
                <w:rFonts w:ascii="Arial" w:cs="Arial" w:eastAsia="Arial" w:hAnsi="Arial"/>
                <w:sz w:val="13"/>
                <w:szCs w:val="13"/>
                <w:b w:val="1"/>
                <w:bCs w:val="1"/>
                <w:color w:val="auto"/>
                <w:w w:val="97"/>
              </w:rPr>
              <w:t>Fourth</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41"/>
              <w:spacing w:after="0" w:line="148" w:lineRule="exact"/>
              <w:rPr>
                <w:sz w:val="20"/>
                <w:szCs w:val="20"/>
                <w:color w:val="auto"/>
              </w:rPr>
            </w:pPr>
            <w:r>
              <w:rPr>
                <w:rFonts w:ascii="Arial" w:cs="Arial" w:eastAsia="Arial" w:hAnsi="Arial"/>
                <w:sz w:val="13"/>
                <w:szCs w:val="13"/>
                <w:b w:val="1"/>
                <w:bCs w:val="1"/>
                <w:color w:val="auto"/>
                <w:w w:val="97"/>
              </w:rPr>
              <w:t>Quarter 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320"/>
              <w:spacing w:after="0" w:line="148" w:lineRule="exact"/>
              <w:rPr>
                <w:sz w:val="20"/>
                <w:szCs w:val="20"/>
                <w:color w:val="auto"/>
              </w:rPr>
            </w:pPr>
            <w:r>
              <w:rPr>
                <w:rFonts w:ascii="Arial" w:cs="Arial" w:eastAsia="Arial" w:hAnsi="Arial"/>
                <w:sz w:val="13"/>
                <w:szCs w:val="13"/>
                <w:b w:val="1"/>
                <w:bCs w:val="1"/>
                <w:color w:val="auto"/>
                <w:w w:val="97"/>
              </w:rPr>
              <w:t>Quarter Ended</w:t>
            </w:r>
          </w:p>
        </w:tc>
        <w:tc>
          <w:tcPr>
            <w:tcW w:w="160" w:type="dxa"/>
            <w:vAlign w:val="bottom"/>
          </w:tcPr>
          <w:p>
            <w:pPr>
              <w:spacing w:after="0"/>
              <w:rPr>
                <w:sz w:val="12"/>
                <w:szCs w:val="12"/>
                <w:color w:val="auto"/>
              </w:rPr>
            </w:pPr>
          </w:p>
        </w:tc>
        <w:tc>
          <w:tcPr>
            <w:tcW w:w="1580" w:type="dxa"/>
            <w:vAlign w:val="bottom"/>
            <w:gridSpan w:val="2"/>
          </w:tcPr>
          <w:p>
            <w:pPr>
              <w:jc w:val="center"/>
              <w:ind w:right="340"/>
              <w:spacing w:after="0" w:line="148" w:lineRule="exact"/>
              <w:rPr>
                <w:sz w:val="20"/>
                <w:szCs w:val="20"/>
                <w:color w:val="auto"/>
              </w:rPr>
            </w:pPr>
            <w:r>
              <w:rPr>
                <w:rFonts w:ascii="Arial" w:cs="Arial" w:eastAsia="Arial" w:hAnsi="Arial"/>
                <w:sz w:val="13"/>
                <w:szCs w:val="13"/>
                <w:b w:val="1"/>
                <w:bCs w:val="1"/>
                <w:color w:val="auto"/>
                <w:w w:val="97"/>
              </w:rPr>
              <w:t>Quarter Ended</w:t>
            </w:r>
          </w:p>
        </w:tc>
        <w:tc>
          <w:tcPr>
            <w:tcW w:w="200" w:type="dxa"/>
            <w:vAlign w:val="bottom"/>
          </w:tcPr>
          <w:p>
            <w:pPr>
              <w:spacing w:after="0"/>
              <w:rPr>
                <w:sz w:val="12"/>
                <w:szCs w:val="12"/>
                <w:color w:val="auto"/>
              </w:rPr>
            </w:pPr>
          </w:p>
        </w:tc>
        <w:tc>
          <w:tcPr>
            <w:tcW w:w="150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w w:val="97"/>
              </w:rPr>
              <w:t>Quarter Ended</w:t>
            </w:r>
          </w:p>
        </w:tc>
        <w:tc>
          <w:tcPr>
            <w:tcW w:w="0" w:type="dxa"/>
            <w:vAlign w:val="bottom"/>
          </w:tcPr>
          <w:p>
            <w:pPr>
              <w:spacing w:after="0"/>
              <w:rPr>
                <w:sz w:val="1"/>
                <w:szCs w:val="1"/>
                <w:color w:val="auto"/>
              </w:rPr>
            </w:pPr>
          </w:p>
        </w:tc>
      </w:tr>
      <w:tr>
        <w:trPr>
          <w:trHeight w:val="161"/>
        </w:trPr>
        <w:tc>
          <w:tcPr>
            <w:tcW w:w="1920" w:type="dxa"/>
            <w:vAlign w:val="bottom"/>
            <w:tcBorders>
              <w:bottom w:val="single" w:sz="8" w:color="D6F3E8"/>
            </w:tcBorders>
          </w:tcPr>
          <w:p>
            <w:pPr>
              <w:spacing w:after="0"/>
              <w:rPr>
                <w:sz w:val="13"/>
                <w:szCs w:val="13"/>
                <w:color w:val="auto"/>
              </w:rPr>
            </w:pPr>
          </w:p>
        </w:tc>
        <w:tc>
          <w:tcPr>
            <w:tcW w:w="340" w:type="dxa"/>
            <w:vAlign w:val="bottom"/>
            <w:tcBorders>
              <w:bottom w:val="single" w:sz="8" w:color="D6F3E8"/>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21"/>
              <w:spacing w:after="0"/>
              <w:rPr>
                <w:sz w:val="20"/>
                <w:szCs w:val="20"/>
                <w:color w:val="auto"/>
              </w:rPr>
            </w:pPr>
            <w:r>
              <w:rPr>
                <w:rFonts w:ascii="Arial" w:cs="Arial" w:eastAsia="Arial" w:hAnsi="Arial"/>
                <w:sz w:val="13"/>
                <w:szCs w:val="13"/>
                <w:b w:val="1"/>
                <w:bCs w:val="1"/>
                <w:color w:val="auto"/>
                <w:w w:val="92"/>
              </w:rPr>
              <w:t>June 30, 2005</w:t>
            </w:r>
          </w:p>
        </w:tc>
        <w:tc>
          <w:tcPr>
            <w:tcW w:w="160" w:type="dxa"/>
            <w:vAlign w:val="bottom"/>
            <w:tcBorders>
              <w:bottom w:val="single" w:sz="8" w:color="D6F3E8"/>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92"/>
              </w:rPr>
              <w:t>September 30, 2005</w:t>
            </w:r>
          </w:p>
        </w:tc>
        <w:tc>
          <w:tcPr>
            <w:tcW w:w="160" w:type="dxa"/>
            <w:vAlign w:val="bottom"/>
            <w:tcBorders>
              <w:bottom w:val="single" w:sz="8" w:color="D6F3E8"/>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81"/>
              <w:spacing w:after="0"/>
              <w:rPr>
                <w:sz w:val="20"/>
                <w:szCs w:val="20"/>
                <w:color w:val="auto"/>
              </w:rPr>
            </w:pPr>
            <w:r>
              <w:rPr>
                <w:rFonts w:ascii="Arial" w:cs="Arial" w:eastAsia="Arial" w:hAnsi="Arial"/>
                <w:sz w:val="13"/>
                <w:szCs w:val="13"/>
                <w:b w:val="1"/>
                <w:bCs w:val="1"/>
                <w:color w:val="auto"/>
                <w:w w:val="92"/>
              </w:rPr>
              <w:t>December 31, 2005</w:t>
            </w:r>
          </w:p>
        </w:tc>
        <w:tc>
          <w:tcPr>
            <w:tcW w:w="180" w:type="dxa"/>
            <w:vAlign w:val="bottom"/>
            <w:tcBorders>
              <w:bottom w:val="single" w:sz="8" w:color="D6F3E8"/>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41"/>
              <w:spacing w:after="0"/>
              <w:rPr>
                <w:sz w:val="20"/>
                <w:szCs w:val="20"/>
                <w:color w:val="auto"/>
              </w:rPr>
            </w:pPr>
            <w:r>
              <w:rPr>
                <w:rFonts w:ascii="Arial" w:cs="Arial" w:eastAsia="Arial" w:hAnsi="Arial"/>
                <w:sz w:val="13"/>
                <w:szCs w:val="13"/>
                <w:b w:val="1"/>
                <w:bCs w:val="1"/>
                <w:color w:val="auto"/>
                <w:w w:val="96"/>
              </w:rPr>
              <w:t>April 2, 2006</w:t>
            </w:r>
          </w:p>
        </w:tc>
        <w:tc>
          <w:tcPr>
            <w:tcW w:w="180" w:type="dxa"/>
            <w:vAlign w:val="bottom"/>
            <w:tcBorders>
              <w:bottom w:val="single" w:sz="8" w:color="D6F3E8"/>
            </w:tcBorders>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920" w:type="dxa"/>
            <w:vAlign w:val="bottom"/>
            <w:shd w:val="clear" w:color="auto" w:fill="D6F3E8"/>
          </w:tcPr>
          <w:p>
            <w:pPr>
              <w:spacing w:after="0"/>
              <w:rPr>
                <w:sz w:val="20"/>
                <w:szCs w:val="20"/>
                <w:color w:val="auto"/>
              </w:rPr>
            </w:pPr>
            <w:r>
              <w:rPr>
                <w:rFonts w:ascii="Arial" w:cs="Arial" w:eastAsia="Arial" w:hAnsi="Arial"/>
                <w:sz w:val="17"/>
                <w:szCs w:val="17"/>
                <w:color w:val="auto"/>
              </w:rPr>
              <w:t>Sales</w:t>
            </w:r>
          </w:p>
        </w:tc>
        <w:tc>
          <w:tcPr>
            <w:tcW w:w="540" w:type="dxa"/>
            <w:vAlign w:val="bottom"/>
            <w:gridSpan w:val="2"/>
            <w:shd w:val="clear" w:color="auto" w:fill="D6F3E8"/>
          </w:tcPr>
          <w:p>
            <w:pPr>
              <w:jc w:val="right"/>
              <w:ind w:right="44"/>
              <w:spacing w:after="0"/>
              <w:rPr>
                <w:sz w:val="20"/>
                <w:szCs w:val="20"/>
                <w:color w:val="auto"/>
              </w:rPr>
            </w:pPr>
            <w:r>
              <w:rPr>
                <w:rFonts w:ascii="Arial" w:cs="Arial" w:eastAsia="Arial" w:hAnsi="Arial"/>
                <w:sz w:val="17"/>
                <w:szCs w:val="17"/>
                <w:color w:val="auto"/>
              </w:rPr>
              <w:t>$</w:t>
            </w:r>
          </w:p>
        </w:tc>
        <w:tc>
          <w:tcPr>
            <w:tcW w:w="1340" w:type="dxa"/>
            <w:vAlign w:val="bottom"/>
            <w:shd w:val="clear" w:color="auto" w:fill="D6F3E8"/>
          </w:tcPr>
          <w:p>
            <w:pPr>
              <w:jc w:val="right"/>
              <w:spacing w:after="0"/>
              <w:rPr>
                <w:sz w:val="20"/>
                <w:szCs w:val="20"/>
                <w:color w:val="auto"/>
              </w:rPr>
            </w:pPr>
            <w:r>
              <w:rPr>
                <w:rFonts w:ascii="Arial" w:cs="Arial" w:eastAsia="Arial" w:hAnsi="Arial"/>
                <w:sz w:val="17"/>
                <w:szCs w:val="17"/>
                <w:color w:val="auto"/>
              </w:rPr>
              <w:t>35,854,527</w:t>
            </w:r>
          </w:p>
        </w:tc>
        <w:tc>
          <w:tcPr>
            <w:tcW w:w="320" w:type="dxa"/>
            <w:vAlign w:val="bottom"/>
            <w:gridSpan w:val="2"/>
            <w:shd w:val="clear" w:color="auto" w:fill="D6F3E8"/>
          </w:tcPr>
          <w:p>
            <w:pPr>
              <w:jc w:val="right"/>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D6F3E8"/>
          </w:tcPr>
          <w:p>
            <w:pPr>
              <w:jc w:val="right"/>
              <w:ind w:right="160"/>
              <w:spacing w:after="0"/>
              <w:rPr>
                <w:sz w:val="20"/>
                <w:szCs w:val="20"/>
                <w:color w:val="auto"/>
              </w:rPr>
            </w:pPr>
            <w:r>
              <w:rPr>
                <w:rFonts w:ascii="Arial" w:cs="Arial" w:eastAsia="Arial" w:hAnsi="Arial"/>
                <w:sz w:val="17"/>
                <w:szCs w:val="17"/>
                <w:color w:val="auto"/>
              </w:rPr>
              <w:t>36,643,242</w:t>
            </w:r>
          </w:p>
        </w:tc>
        <w:tc>
          <w:tcPr>
            <w:tcW w:w="160" w:type="dxa"/>
            <w:vAlign w:val="bottom"/>
            <w:shd w:val="clear" w:color="auto" w:fill="D6F3E8"/>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34,352,992</w:t>
            </w:r>
          </w:p>
        </w:tc>
        <w:tc>
          <w:tcPr>
            <w:tcW w:w="180" w:type="dxa"/>
            <w:vAlign w:val="bottom"/>
            <w:shd w:val="clear" w:color="auto" w:fill="D6F3E8"/>
          </w:tcPr>
          <w:p>
            <w:pPr>
              <w:spacing w:after="0"/>
              <w:rPr>
                <w:sz w:val="21"/>
                <w:szCs w:val="21"/>
                <w:color w:val="auto"/>
              </w:rPr>
            </w:pPr>
          </w:p>
        </w:tc>
        <w:tc>
          <w:tcPr>
            <w:tcW w:w="200" w:type="dxa"/>
            <w:vAlign w:val="bottom"/>
            <w:shd w:val="clear" w:color="auto" w:fill="D6F3E8"/>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D6F3E8"/>
          </w:tcPr>
          <w:p>
            <w:pPr>
              <w:jc w:val="right"/>
              <w:spacing w:after="0"/>
              <w:rPr>
                <w:sz w:val="20"/>
                <w:szCs w:val="20"/>
                <w:color w:val="auto"/>
              </w:rPr>
            </w:pPr>
            <w:r>
              <w:rPr>
                <w:rFonts w:ascii="Arial" w:cs="Arial" w:eastAsia="Arial" w:hAnsi="Arial"/>
                <w:sz w:val="17"/>
                <w:szCs w:val="17"/>
                <w:color w:val="auto"/>
              </w:rPr>
              <w:t>36,480,489</w:t>
            </w:r>
          </w:p>
        </w:tc>
        <w:tc>
          <w:tcPr>
            <w:tcW w:w="1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920" w:type="dxa"/>
            <w:vAlign w:val="bottom"/>
          </w:tcPr>
          <w:p>
            <w:pPr>
              <w:spacing w:after="0"/>
              <w:rPr>
                <w:sz w:val="20"/>
                <w:szCs w:val="20"/>
                <w:color w:val="auto"/>
              </w:rPr>
            </w:pPr>
            <w:r>
              <w:rPr>
                <w:rFonts w:ascii="Arial" w:cs="Arial" w:eastAsia="Arial" w:hAnsi="Arial"/>
                <w:sz w:val="17"/>
                <w:szCs w:val="17"/>
                <w:color w:val="auto"/>
              </w:rPr>
              <w:t>Gross margin</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9,885,658</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8,794,953</w:t>
            </w: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7,219,615</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7,318,916</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920" w:type="dxa"/>
            <w:vAlign w:val="bottom"/>
            <w:shd w:val="clear" w:color="auto" w:fill="D6F3E8"/>
          </w:tcPr>
          <w:p>
            <w:pPr>
              <w:spacing w:after="0"/>
              <w:rPr>
                <w:sz w:val="20"/>
                <w:szCs w:val="20"/>
                <w:color w:val="auto"/>
              </w:rPr>
            </w:pPr>
            <w:r>
              <w:rPr>
                <w:rFonts w:ascii="Arial" w:cs="Arial" w:eastAsia="Arial" w:hAnsi="Arial"/>
                <w:sz w:val="17"/>
                <w:szCs w:val="17"/>
                <w:color w:val="auto"/>
              </w:rPr>
              <w:t>Net income</w:t>
            </w:r>
          </w:p>
        </w:tc>
        <w:tc>
          <w:tcPr>
            <w:tcW w:w="340" w:type="dxa"/>
            <w:vAlign w:val="bottom"/>
            <w:shd w:val="clear" w:color="auto" w:fill="D6F3E8"/>
          </w:tcPr>
          <w:p>
            <w:pPr>
              <w:spacing w:after="0"/>
              <w:rPr>
                <w:sz w:val="22"/>
                <w:szCs w:val="22"/>
                <w:color w:val="auto"/>
              </w:rPr>
            </w:pPr>
          </w:p>
        </w:tc>
        <w:tc>
          <w:tcPr>
            <w:tcW w:w="200" w:type="dxa"/>
            <w:vAlign w:val="bottom"/>
            <w:tcBorders>
              <w:bottom w:val="single" w:sz="8" w:color="auto"/>
            </w:tcBorders>
            <w:shd w:val="clear" w:color="auto" w:fill="D6F3E8"/>
          </w:tcPr>
          <w:p>
            <w:pPr>
              <w:spacing w:after="0"/>
              <w:rPr>
                <w:sz w:val="22"/>
                <w:szCs w:val="22"/>
                <w:color w:val="auto"/>
              </w:rPr>
            </w:pPr>
          </w:p>
        </w:tc>
        <w:tc>
          <w:tcPr>
            <w:tcW w:w="13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7"/>
                <w:szCs w:val="17"/>
                <w:color w:val="auto"/>
              </w:rPr>
              <w:t>2,749,486</w:t>
            </w:r>
          </w:p>
        </w:tc>
        <w:tc>
          <w:tcPr>
            <w:tcW w:w="160" w:type="dxa"/>
            <w:vAlign w:val="bottom"/>
            <w:shd w:val="clear" w:color="auto" w:fill="D6F3E8"/>
          </w:tcPr>
          <w:p>
            <w:pPr>
              <w:spacing w:after="0"/>
              <w:rPr>
                <w:sz w:val="22"/>
                <w:szCs w:val="22"/>
                <w:color w:val="auto"/>
              </w:rPr>
            </w:pPr>
          </w:p>
        </w:tc>
        <w:tc>
          <w:tcPr>
            <w:tcW w:w="160" w:type="dxa"/>
            <w:vAlign w:val="bottom"/>
            <w:tcBorders>
              <w:bottom w:val="single" w:sz="8" w:color="auto"/>
            </w:tcBorders>
            <w:shd w:val="clear" w:color="auto" w:fill="D6F3E8"/>
          </w:tcPr>
          <w:p>
            <w:pPr>
              <w:spacing w:after="0"/>
              <w:rPr>
                <w:sz w:val="22"/>
                <w:szCs w:val="22"/>
                <w:color w:val="auto"/>
              </w:rPr>
            </w:pPr>
          </w:p>
        </w:tc>
        <w:tc>
          <w:tcPr>
            <w:tcW w:w="14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7"/>
                <w:szCs w:val="17"/>
                <w:color w:val="auto"/>
              </w:rPr>
              <w:t>3,000,919</w:t>
            </w:r>
          </w:p>
        </w:tc>
        <w:tc>
          <w:tcPr>
            <w:tcW w:w="160" w:type="dxa"/>
            <w:vAlign w:val="bottom"/>
            <w:shd w:val="clear" w:color="auto" w:fill="D6F3E8"/>
          </w:tcPr>
          <w:p>
            <w:pPr>
              <w:spacing w:after="0"/>
              <w:rPr>
                <w:sz w:val="22"/>
                <w:szCs w:val="22"/>
                <w:color w:val="auto"/>
              </w:rPr>
            </w:pPr>
          </w:p>
        </w:tc>
        <w:tc>
          <w:tcPr>
            <w:tcW w:w="160" w:type="dxa"/>
            <w:vAlign w:val="bottom"/>
            <w:tcBorders>
              <w:bottom w:val="single" w:sz="8" w:color="auto"/>
            </w:tcBorders>
            <w:shd w:val="clear" w:color="auto" w:fill="D6F3E8"/>
          </w:tcPr>
          <w:p>
            <w:pPr>
              <w:spacing w:after="0"/>
              <w:rPr>
                <w:sz w:val="22"/>
                <w:szCs w:val="22"/>
                <w:color w:val="auto"/>
              </w:rPr>
            </w:pPr>
          </w:p>
        </w:tc>
        <w:tc>
          <w:tcPr>
            <w:tcW w:w="14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7"/>
                <w:szCs w:val="17"/>
                <w:color w:val="auto"/>
              </w:rPr>
              <w:t>1,827,264</w:t>
            </w:r>
          </w:p>
        </w:tc>
        <w:tc>
          <w:tcPr>
            <w:tcW w:w="180" w:type="dxa"/>
            <w:vAlign w:val="bottom"/>
            <w:shd w:val="clear" w:color="auto" w:fill="D6F3E8"/>
          </w:tcPr>
          <w:p>
            <w:pPr>
              <w:spacing w:after="0"/>
              <w:rPr>
                <w:sz w:val="22"/>
                <w:szCs w:val="22"/>
                <w:color w:val="auto"/>
              </w:rPr>
            </w:pPr>
          </w:p>
        </w:tc>
        <w:tc>
          <w:tcPr>
            <w:tcW w:w="200" w:type="dxa"/>
            <w:vAlign w:val="bottom"/>
            <w:tcBorders>
              <w:bottom w:val="single" w:sz="8" w:color="auto"/>
            </w:tcBorders>
            <w:shd w:val="clear" w:color="auto" w:fill="D6F3E8"/>
          </w:tcPr>
          <w:p>
            <w:pPr>
              <w:spacing w:after="0"/>
              <w:rPr>
                <w:sz w:val="22"/>
                <w:szCs w:val="22"/>
                <w:color w:val="auto"/>
              </w:rPr>
            </w:pPr>
          </w:p>
        </w:tc>
        <w:tc>
          <w:tcPr>
            <w:tcW w:w="13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7"/>
                <w:szCs w:val="17"/>
                <w:color w:val="auto"/>
              </w:rPr>
              <w:t>1,308,484</w:t>
            </w:r>
          </w:p>
        </w:tc>
        <w:tc>
          <w:tcPr>
            <w:tcW w:w="18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1920" w:type="dxa"/>
            <w:vAlign w:val="bottom"/>
          </w:tcPr>
          <w:p>
            <w:pPr>
              <w:spacing w:after="0"/>
              <w:rPr>
                <w:sz w:val="20"/>
                <w:szCs w:val="20"/>
                <w:color w:val="auto"/>
              </w:rPr>
            </w:pPr>
            <w:r>
              <w:rPr>
                <w:rFonts w:ascii="Arial" w:cs="Arial" w:eastAsia="Arial" w:hAnsi="Arial"/>
                <w:sz w:val="17"/>
                <w:szCs w:val="17"/>
                <w:color w:val="auto"/>
              </w:rPr>
              <w:t>Basic and diluted</w:t>
            </w:r>
          </w:p>
        </w:tc>
        <w:tc>
          <w:tcPr>
            <w:tcW w:w="540" w:type="dxa"/>
            <w:vAlign w:val="bottom"/>
            <w:gridSpan w:val="2"/>
            <w:vMerge w:val="restart"/>
          </w:tcPr>
          <w:p>
            <w:pPr>
              <w:jc w:val="right"/>
              <w:ind w:right="44"/>
              <w:spacing w:after="0"/>
              <w:rPr>
                <w:sz w:val="20"/>
                <w:szCs w:val="20"/>
                <w:color w:val="auto"/>
              </w:rPr>
            </w:pPr>
            <w:r>
              <w:rPr>
                <w:rFonts w:ascii="Arial" w:cs="Arial" w:eastAsia="Arial" w:hAnsi="Arial"/>
                <w:sz w:val="17"/>
                <w:szCs w:val="17"/>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.27</w:t>
            </w:r>
          </w:p>
        </w:tc>
        <w:tc>
          <w:tcPr>
            <w:tcW w:w="32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15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.29</w:t>
            </w: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.18</w:t>
            </w:r>
          </w:p>
        </w:tc>
        <w:tc>
          <w:tcPr>
            <w:tcW w:w="180" w:type="dxa"/>
            <w:vAlign w:val="bottom"/>
          </w:tcPr>
          <w:p>
            <w:pPr>
              <w:spacing w:after="0"/>
              <w:rPr>
                <w:sz w:val="18"/>
                <w:szCs w:val="18"/>
                <w:color w:val="auto"/>
              </w:rPr>
            </w:pPr>
          </w:p>
        </w:tc>
        <w:tc>
          <w:tcPr>
            <w:tcW w:w="200" w:type="dxa"/>
            <w:vAlign w:val="bottom"/>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tcPr>
          <w:p>
            <w:pPr>
              <w:ind w:left="320"/>
              <w:spacing w:after="0"/>
              <w:rPr>
                <w:sz w:val="20"/>
                <w:szCs w:val="20"/>
                <w:color w:val="auto"/>
              </w:rPr>
            </w:pPr>
            <w:r>
              <w:rPr>
                <w:rFonts w:ascii="Arial" w:cs="Arial" w:eastAsia="Arial" w:hAnsi="Arial"/>
                <w:sz w:val="17"/>
                <w:szCs w:val="17"/>
                <w:color w:val="auto"/>
              </w:rPr>
              <w:t>earnings per share</w:t>
            </w:r>
          </w:p>
        </w:tc>
        <w:tc>
          <w:tcPr>
            <w:tcW w:w="540" w:type="dxa"/>
            <w:vAlign w:val="bottom"/>
            <w:gridSpan w:val="2"/>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131" w:right="259" w:bottom="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FINANCIAL CONDITION</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LIQUIDITY</w:t>
      </w:r>
    </w:p>
    <w:p>
      <w:pPr>
        <w:spacing w:after="0" w:line="235" w:lineRule="exact"/>
        <w:rPr>
          <w:sz w:val="20"/>
          <w:szCs w:val="20"/>
          <w:color w:val="auto"/>
        </w:rPr>
      </w:pPr>
    </w:p>
    <w:p>
      <w:pPr>
        <w:ind w:right="100" w:firstLine="685"/>
        <w:spacing w:after="0" w:line="272" w:lineRule="auto"/>
        <w:rPr>
          <w:sz w:val="20"/>
          <w:szCs w:val="20"/>
          <w:color w:val="auto"/>
        </w:rPr>
      </w:pPr>
      <w:r>
        <w:rPr>
          <w:rFonts w:ascii="Arial" w:cs="Arial" w:eastAsia="Arial" w:hAnsi="Arial"/>
          <w:sz w:val="17"/>
          <w:szCs w:val="17"/>
          <w:color w:val="auto"/>
        </w:rPr>
        <w:t>Cash provided by operations in the fiscal year ended April 1, 2007 was $8,729,475 compared to $9,457,722 in the fiscal year ended April 2, 2006 and $12,617,158 in the fiscal year ended April 3, 2005. The decrease in the fiscal year ended April 1, 2007 compared to the fiscal year ended April 2, 2006 was due primarily to fluctuations in working capital balances including the timing of income tax payments. These amounts were partially offset by an increase in accounts payable due to timing of payments. The decrease in the fiscal year ended April 2, 2006 compared to the fiscal year ended April 3, 2005 was due primarily to the timing of payments and an increase in inventory primarily associated with cost increases.</w:t>
      </w:r>
    </w:p>
    <w:p>
      <w:pPr>
        <w:spacing w:after="0" w:line="183" w:lineRule="exact"/>
        <w:rPr>
          <w:sz w:val="20"/>
          <w:szCs w:val="20"/>
          <w:color w:val="auto"/>
        </w:rPr>
      </w:pPr>
    </w:p>
    <w:p>
      <w:pPr>
        <w:ind w:right="20" w:firstLine="685"/>
        <w:spacing w:after="0" w:line="284" w:lineRule="auto"/>
        <w:rPr>
          <w:sz w:val="20"/>
          <w:szCs w:val="20"/>
          <w:color w:val="auto"/>
        </w:rPr>
      </w:pPr>
      <w:r>
        <w:rPr>
          <w:rFonts w:ascii="Arial" w:cs="Arial" w:eastAsia="Arial" w:hAnsi="Arial"/>
          <w:sz w:val="16"/>
          <w:szCs w:val="16"/>
          <w:color w:val="auto"/>
        </w:rPr>
        <w:t>Cash and investments available-for-sale of $27,954,367 at April 1, 2007 increased by $2,163,975 as compared with the $25,790,392 available as of April 2, 2006, primarily as a result of the payoff of three notes receivables in the amount of approximately $2.3 million (see Note 4 to the Notes to the Financial Statements). Cash equivalents consist of money market accounts and certificates of deposit with an original maturity of three months or less. Investments available-for-sale consist of investment contracts with high-rated, stable insurance companies; marketable securities consisting of corporate and municipal bonds; U.S. Government agency securities and mutual funds carried at fair value. The Company’s investment objectives in order of importance are the preservation of principal, maintenance of liquidity and rate of return. The fixed income portfolio consists primarily of investment grade securities to minimize credit risk, which generally mature within 10 years. The Company invests in such securities both through the purchase of securities of individual companies as well as mutual funds that pool together the securities of many different companies. The Company monitors the maturities of its investments to ensure that funding is available for anticipated cash needs. At April 1, 2007, $2,648,888 of available-for-sale investments were classified as non-current assets as they were determined to be temporarily impaired, with maturity dates of one year or longer, and the Company intends to hold the investments for at least one more year. These investments were not determined to be other-than-temporarily impaired as the Company has the intent and ability to hold these investments for a period of time sufficient to allow a recovery of fair value. Expected future cash flows from operations, cash equivalents and investments included within current assets are expected to fund the Company’s short-term working capital needs.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0" w:firstLine="685"/>
        <w:spacing w:after="0" w:line="310" w:lineRule="auto"/>
        <w:rPr>
          <w:sz w:val="20"/>
          <w:szCs w:val="20"/>
          <w:color w:val="auto"/>
        </w:rPr>
      </w:pPr>
      <w:r>
        <w:rPr>
          <w:rFonts w:ascii="Arial" w:cs="Arial" w:eastAsia="Arial" w:hAnsi="Arial"/>
          <w:sz w:val="15"/>
          <w:szCs w:val="15"/>
          <w:color w:val="auto"/>
        </w:rPr>
        <w:t>At April 1, 2007, the Company had an investment portfolio of fixed income securities of $5,599,623, a mutual fund of $7,564,732 and $15,155,012 classified as cash and cash equivalents and variable rate securities. The fixed income securities, like all fixed income instruments, are subject to interest rate risk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or the amount ultimately realized on the investment. The value of the mutual fund, like all mutual funds, may increase or decrease due to market volatility. The Company recorded a loss of $30,595 and $280,699 in the fiscal years ended April 1, 2007 and April 2, 2006, respectively, due to declines in market value that were deemed other than temporary. The mutual fund held by the Company as of April 1, 2007 is a short-term bond fund that invests primarily in investment grade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CAPITAL EXPENDITURES</w:t>
      </w:r>
    </w:p>
    <w:p>
      <w:pPr>
        <w:spacing w:after="0" w:line="235" w:lineRule="exact"/>
        <w:rPr>
          <w:sz w:val="20"/>
          <w:szCs w:val="20"/>
          <w:color w:val="auto"/>
        </w:rPr>
      </w:pPr>
    </w:p>
    <w:p>
      <w:pPr>
        <w:ind w:firstLine="685"/>
        <w:spacing w:after="0" w:line="292" w:lineRule="auto"/>
        <w:rPr>
          <w:sz w:val="20"/>
          <w:szCs w:val="20"/>
          <w:color w:val="auto"/>
        </w:rPr>
      </w:pPr>
      <w:r>
        <w:rPr>
          <w:rFonts w:ascii="Arial" w:cs="Arial" w:eastAsia="Arial" w:hAnsi="Arial"/>
          <w:sz w:val="16"/>
          <w:szCs w:val="16"/>
          <w:color w:val="auto"/>
        </w:rPr>
        <w:t>Capital expenditures in the fiscal years ended April 1, 2007, April 2, 2006, and April 3, 2005 were $4,687,973, $6,948,010, and $5,922,862, respectively. Significant capital expenditures during the fiscal year ended April 1, 2007 consisted of approximately $800,000 for software and hardware data processing equipment associated with the Company’s implementation of an ERP system, $450,000 for machinery and equipment used in operations, $300,000 for returnable cylinders, $200,000 for warehouse additions, and $200,000 for trucks. We anticipate capital expenditures in fiscal 2008 to be comparable with the three previous years average and they are expected to relate primarily to facilities improvement projects and new route sales trucks.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DIVIDENDS</w:t>
      </w:r>
    </w:p>
    <w:p>
      <w:pPr>
        <w:spacing w:after="0" w:line="235" w:lineRule="exact"/>
        <w:rPr>
          <w:sz w:val="20"/>
          <w:szCs w:val="20"/>
          <w:color w:val="auto"/>
        </w:rPr>
      </w:pPr>
    </w:p>
    <w:p>
      <w:pPr>
        <w:ind w:right="200" w:firstLine="685"/>
        <w:spacing w:after="0" w:line="280" w:lineRule="auto"/>
        <w:rPr>
          <w:sz w:val="20"/>
          <w:szCs w:val="20"/>
          <w:color w:val="auto"/>
        </w:rPr>
      </w:pPr>
      <w:r>
        <w:rPr>
          <w:rFonts w:ascii="Arial" w:cs="Arial" w:eastAsia="Arial" w:hAnsi="Arial"/>
          <w:sz w:val="17"/>
          <w:szCs w:val="17"/>
          <w:color w:val="auto"/>
        </w:rPr>
        <w:t>We increased our semi-annual cash dividend by 10.0% during the second quarter of fiscal 2007 to $0.22 per share from $0.20 per share. The Company first started paying cash dividends in 1985 and has done so each year since that time. Future dividend levels will be dependent upon Hawkins’ results of operations, financial position, cash flows and other factors, and will be evaluated by our Board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OFF-BALANCE SHEET ARRANGEMENTS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does not have any off-balance sheet arrangements.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CONTRACTUAL OBLIGATIONS AND COMMERCIAL COMMITMENTS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provides aggregate information about our contractual payment obligations and the periods in which payments are due: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3"/>
                <w:szCs w:val="13"/>
                <w:b w:val="1"/>
                <w:bCs w:val="1"/>
                <w:color w:val="auto"/>
              </w:rPr>
              <w:t>Payments due by period</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29" w:lineRule="exact"/>
              <w:rPr>
                <w:sz w:val="20"/>
                <w:szCs w:val="20"/>
                <w:color w:val="auto"/>
              </w:rPr>
            </w:pPr>
            <w:r>
              <w:rPr>
                <w:rFonts w:ascii="Arial" w:cs="Arial" w:eastAsia="Arial" w:hAnsi="Arial"/>
                <w:sz w:val="13"/>
                <w:szCs w:val="13"/>
                <w:b w:val="1"/>
                <w:bCs w:val="1"/>
                <w:color w:val="auto"/>
                <w:w w:val="96"/>
              </w:rPr>
              <w:t>More than</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60" w:type="dxa"/>
            <w:vAlign w:val="bottom"/>
          </w:tcPr>
          <w:p>
            <w:pPr>
              <w:spacing w:after="0"/>
              <w:rPr>
                <w:sz w:val="20"/>
                <w:szCs w:val="20"/>
                <w:color w:val="auto"/>
              </w:rPr>
            </w:pPr>
            <w:r>
              <w:rPr>
                <w:rFonts w:ascii="Arial" w:cs="Arial" w:eastAsia="Arial" w:hAnsi="Arial"/>
                <w:sz w:val="13"/>
                <w:szCs w:val="13"/>
                <w:b w:val="1"/>
                <w:bCs w:val="1"/>
                <w:color w:val="auto"/>
              </w:rPr>
              <w:t>Contractual Obligation</w:t>
            </w:r>
          </w:p>
        </w:tc>
        <w:tc>
          <w:tcPr>
            <w:tcW w:w="280" w:type="dxa"/>
            <w:vAlign w:val="bottom"/>
          </w:tcPr>
          <w:p>
            <w:pPr>
              <w:spacing w:after="0"/>
              <w:rPr>
                <w:sz w:val="13"/>
                <w:szCs w:val="13"/>
                <w:color w:val="auto"/>
              </w:rPr>
            </w:pPr>
          </w:p>
        </w:tc>
        <w:tc>
          <w:tcPr>
            <w:tcW w:w="920" w:type="dxa"/>
            <w:vAlign w:val="bottom"/>
          </w:tcPr>
          <w:p>
            <w:pPr>
              <w:jc w:val="right"/>
              <w:ind w:right="378"/>
              <w:spacing w:after="0"/>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78"/>
              <w:spacing w:after="0"/>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401"/>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ind w:right="398"/>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98"/>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5 Years</w:t>
            </w:r>
          </w:p>
        </w:tc>
        <w:tc>
          <w:tcPr>
            <w:tcW w:w="160" w:type="dxa"/>
            <w:vAlign w:val="bottom"/>
          </w:tcPr>
          <w:p>
            <w:pPr>
              <w:spacing w:after="0"/>
              <w:rPr>
                <w:sz w:val="13"/>
                <w:szCs w:val="13"/>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24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460" w:type="dxa"/>
            <w:vAlign w:val="bottom"/>
            <w:shd w:val="clear" w:color="auto" w:fill="D6F3E8"/>
          </w:tcPr>
          <w:p>
            <w:pPr>
              <w:spacing w:after="0"/>
              <w:rPr>
                <w:sz w:val="20"/>
                <w:szCs w:val="20"/>
                <w:color w:val="auto"/>
              </w:rPr>
            </w:pPr>
            <w:r>
              <w:rPr>
                <w:rFonts w:ascii="Arial" w:cs="Arial" w:eastAsia="Arial" w:hAnsi="Arial"/>
                <w:sz w:val="17"/>
                <w:szCs w:val="17"/>
                <w:color w:val="auto"/>
              </w:rPr>
              <w:t>Operating lease obligations</w:t>
            </w:r>
          </w:p>
        </w:tc>
        <w:tc>
          <w:tcPr>
            <w:tcW w:w="280" w:type="dxa"/>
            <w:vAlign w:val="bottom"/>
            <w:shd w:val="clear" w:color="auto" w:fill="D6F3E8"/>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268,716</w:t>
            </w:r>
          </w:p>
        </w:tc>
        <w:tc>
          <w:tcPr>
            <w:tcW w:w="280" w:type="dxa"/>
            <w:vAlign w:val="bottom"/>
            <w:shd w:val="clear" w:color="auto" w:fill="D6F3E8"/>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244,215</w:t>
            </w:r>
          </w:p>
        </w:tc>
        <w:tc>
          <w:tcPr>
            <w:tcW w:w="280" w:type="dxa"/>
            <w:vAlign w:val="bottom"/>
            <w:shd w:val="clear" w:color="auto" w:fill="D6F3E8"/>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219,667</w:t>
            </w:r>
          </w:p>
        </w:tc>
        <w:tc>
          <w:tcPr>
            <w:tcW w:w="300" w:type="dxa"/>
            <w:vAlign w:val="bottom"/>
            <w:shd w:val="clear" w:color="auto" w:fill="D6F3E8"/>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187,023</w:t>
            </w:r>
          </w:p>
        </w:tc>
        <w:tc>
          <w:tcPr>
            <w:tcW w:w="280" w:type="dxa"/>
            <w:vAlign w:val="bottom"/>
            <w:shd w:val="clear" w:color="auto" w:fill="D6F3E8"/>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187,023</w:t>
            </w:r>
          </w:p>
        </w:tc>
        <w:tc>
          <w:tcPr>
            <w:tcW w:w="100" w:type="dxa"/>
            <w:vAlign w:val="bottom"/>
            <w:shd w:val="clear" w:color="auto" w:fill="D6F3E8"/>
          </w:tcPr>
          <w:p>
            <w:pPr>
              <w:spacing w:after="0"/>
              <w:rPr>
                <w:sz w:val="22"/>
                <w:szCs w:val="22"/>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2,691,160</w:t>
            </w:r>
          </w:p>
        </w:tc>
        <w:tc>
          <w:tcPr>
            <w:tcW w:w="160" w:type="dxa"/>
            <w:vAlign w:val="bottom"/>
            <w:shd w:val="clear" w:color="auto" w:fill="D6F3E8"/>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3,797,804</w:t>
            </w:r>
          </w:p>
        </w:tc>
        <w:tc>
          <w:tcPr>
            <w:tcW w:w="0" w:type="dxa"/>
            <w:vAlign w:val="bottom"/>
          </w:tcPr>
          <w:p>
            <w:pPr>
              <w:spacing w:after="0"/>
              <w:rPr>
                <w:sz w:val="1"/>
                <w:szCs w:val="1"/>
                <w:color w:val="auto"/>
              </w:rPr>
            </w:pPr>
          </w:p>
        </w:tc>
      </w:tr>
      <w:tr>
        <w:trPr>
          <w:trHeight w:val="255"/>
        </w:trPr>
        <w:tc>
          <w:tcPr>
            <w:tcW w:w="2460" w:type="dxa"/>
            <w:vAlign w:val="bottom"/>
          </w:tcPr>
          <w:p>
            <w:pPr>
              <w:spacing w:after="0"/>
              <w:rPr>
                <w:sz w:val="20"/>
                <w:szCs w:val="20"/>
                <w:color w:val="auto"/>
              </w:rPr>
            </w:pPr>
            <w:r>
              <w:rPr>
                <w:rFonts w:ascii="Arial" w:cs="Arial" w:eastAsia="Arial" w:hAnsi="Arial"/>
                <w:sz w:val="17"/>
                <w:szCs w:val="17"/>
                <w:color w:val="auto"/>
              </w:rPr>
              <w:t>Purchase obligations (1)</w:t>
            </w:r>
          </w:p>
        </w:tc>
        <w:tc>
          <w:tcPr>
            <w:tcW w:w="28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9,304,729</w:t>
            </w:r>
          </w:p>
        </w:tc>
        <w:tc>
          <w:tcPr>
            <w:tcW w:w="2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9,304,729</w:t>
            </w:r>
          </w:p>
        </w:tc>
        <w:tc>
          <w:tcPr>
            <w:tcW w:w="0" w:type="dxa"/>
            <w:vAlign w:val="bottom"/>
          </w:tcPr>
          <w:p>
            <w:pPr>
              <w:spacing w:after="0"/>
              <w:rPr>
                <w:sz w:val="1"/>
                <w:szCs w:val="1"/>
                <w:color w:val="auto"/>
              </w:rPr>
            </w:pPr>
          </w:p>
        </w:tc>
      </w:tr>
      <w:tr>
        <w:trPr>
          <w:trHeight w:val="20"/>
        </w:trPr>
        <w:tc>
          <w:tcPr>
            <w:tcW w:w="2460" w:type="dxa"/>
            <w:vAlign w:val="bottom"/>
            <w:vMerge w:val="restart"/>
            <w:shd w:val="clear" w:color="auto" w:fill="D6F3E8"/>
          </w:tcPr>
          <w:p>
            <w:pPr>
              <w:spacing w:after="0"/>
              <w:rPr>
                <w:sz w:val="20"/>
                <w:szCs w:val="20"/>
                <w:color w:val="auto"/>
              </w:rPr>
            </w:pPr>
            <w:r>
              <w:rPr>
                <w:rFonts w:ascii="Arial" w:cs="Arial" w:eastAsia="Arial" w:hAnsi="Arial"/>
                <w:sz w:val="17"/>
                <w:szCs w:val="17"/>
                <w:color w:val="auto"/>
              </w:rPr>
              <w:t>Total</w:t>
            </w: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460" w:type="dxa"/>
            <w:vAlign w:val="bottom"/>
            <w:vMerge w:val="continue"/>
            <w:shd w:val="clear" w:color="auto" w:fill="D6F3E8"/>
          </w:tcPr>
          <w:p>
            <w:pPr>
              <w:spacing w:after="0"/>
              <w:rPr>
                <w:sz w:val="21"/>
                <w:szCs w:val="21"/>
                <w:color w:val="auto"/>
              </w:rPr>
            </w:pPr>
          </w:p>
        </w:tc>
        <w:tc>
          <w:tcPr>
            <w:tcW w:w="280" w:type="dxa"/>
            <w:vAlign w:val="bottom"/>
            <w:shd w:val="clear" w:color="auto" w:fill="D6F3E8"/>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9,573,445</w:t>
            </w:r>
          </w:p>
        </w:tc>
        <w:tc>
          <w:tcPr>
            <w:tcW w:w="280" w:type="dxa"/>
            <w:vAlign w:val="bottom"/>
            <w:shd w:val="clear" w:color="auto" w:fill="D6F3E8"/>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244,215</w:t>
            </w:r>
          </w:p>
        </w:tc>
        <w:tc>
          <w:tcPr>
            <w:tcW w:w="280" w:type="dxa"/>
            <w:vAlign w:val="bottom"/>
            <w:shd w:val="clear" w:color="auto" w:fill="D6F3E8"/>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219,667</w:t>
            </w:r>
          </w:p>
        </w:tc>
        <w:tc>
          <w:tcPr>
            <w:tcW w:w="300" w:type="dxa"/>
            <w:vAlign w:val="bottom"/>
            <w:shd w:val="clear" w:color="auto" w:fill="D6F3E8"/>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187,023</w:t>
            </w:r>
          </w:p>
        </w:tc>
        <w:tc>
          <w:tcPr>
            <w:tcW w:w="280" w:type="dxa"/>
            <w:vAlign w:val="bottom"/>
            <w:shd w:val="clear" w:color="auto" w:fill="D6F3E8"/>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187,023</w:t>
            </w:r>
          </w:p>
        </w:tc>
        <w:tc>
          <w:tcPr>
            <w:tcW w:w="100" w:type="dxa"/>
            <w:vAlign w:val="bottom"/>
            <w:shd w:val="clear" w:color="auto" w:fill="D6F3E8"/>
          </w:tcPr>
          <w:p>
            <w:pPr>
              <w:spacing w:after="0"/>
              <w:rPr>
                <w:sz w:val="21"/>
                <w:szCs w:val="21"/>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2,691,160</w:t>
            </w:r>
          </w:p>
        </w:tc>
        <w:tc>
          <w:tcPr>
            <w:tcW w:w="160" w:type="dxa"/>
            <w:vAlign w:val="bottom"/>
            <w:shd w:val="clear" w:color="auto" w:fill="D6F3E8"/>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w w:val="98"/>
              </w:rPr>
              <w:t>13,102,533</w:t>
            </w:r>
          </w:p>
        </w:tc>
        <w:tc>
          <w:tcPr>
            <w:tcW w:w="0" w:type="dxa"/>
            <w:vAlign w:val="bottom"/>
          </w:tcPr>
          <w:p>
            <w:pPr>
              <w:spacing w:after="0"/>
              <w:rPr>
                <w:sz w:val="1"/>
                <w:szCs w:val="1"/>
                <w:color w:val="auto"/>
              </w:rPr>
            </w:pPr>
          </w:p>
        </w:tc>
      </w:tr>
      <w:tr>
        <w:trPr>
          <w:trHeight w:val="20"/>
        </w:trPr>
        <w:tc>
          <w:tcPr>
            <w:tcW w:w="246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340" w:firstLine="8"/>
        <w:spacing w:after="0" w:line="296" w:lineRule="auto"/>
        <w:tabs>
          <w:tab w:leader="none" w:pos="637"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is committed to pay suppliers under the terms of open purchase orders issued in the normal course of business. The Company does not purchase, or commit to purchase, quantities in excess of normal usage or amounts that cannot be used within one year.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OUTLOOK</w:t>
      </w:r>
    </w:p>
    <w:p>
      <w:pPr>
        <w:sectPr>
          <w:pgSz w:w="11900" w:h="16838" w:orient="portrait"/>
          <w:cols w:equalWidth="0" w:num="1">
            <w:col w:w="11420"/>
          </w:cols>
          <w:pgMar w:left="240" w:top="131" w:right="239" w:bottom="57" w:gutter="0" w:footer="0" w:header="0"/>
        </w:sectPr>
      </w:pPr>
    </w:p>
    <w:bookmarkStart w:id="11" w:name="page12"/>
    <w:bookmarkEnd w:id="11"/>
    <w:p>
      <w:pPr>
        <w:ind w:right="60" w:firstLine="685"/>
        <w:spacing w:after="0" w:line="296" w:lineRule="auto"/>
        <w:rPr>
          <w:sz w:val="20"/>
          <w:szCs w:val="20"/>
          <w:color w:val="auto"/>
        </w:rPr>
      </w:pPr>
      <w:r>
        <w:rPr>
          <w:rFonts w:ascii="Arial" w:cs="Arial" w:eastAsia="Arial" w:hAnsi="Arial"/>
          <w:sz w:val="16"/>
          <w:szCs w:val="16"/>
          <w:color w:val="auto"/>
        </w:rPr>
        <w:t>Expected future cash flows from operations, coupled with the Company’s strong financial position, put the Company in a position to fund both short and long-term working capital and capital investment needs with internally generated funds. Management does not, therefore, anticipate the need to engage in significant financing activities in either the short or long term. If the need to obtain additional capital does arise, management believes that the Company’s total debt to capital ratio puts it in a position to obtain debt financing on favorable terms, however there are no assurances that this will occur.</w:t>
      </w:r>
    </w:p>
    <w:p>
      <w:pPr>
        <w:spacing w:after="0" w:line="168" w:lineRule="exact"/>
        <w:rPr>
          <w:sz w:val="20"/>
          <w:szCs w:val="20"/>
          <w:color w:val="auto"/>
        </w:rPr>
      </w:pPr>
    </w:p>
    <w:p>
      <w:pPr>
        <w:ind w:right="20" w:firstLine="685"/>
        <w:spacing w:after="0" w:line="322" w:lineRule="auto"/>
        <w:rPr>
          <w:sz w:val="20"/>
          <w:szCs w:val="20"/>
          <w:color w:val="auto"/>
        </w:rPr>
      </w:pPr>
      <w:r>
        <w:rPr>
          <w:rFonts w:ascii="Arial" w:cs="Arial" w:eastAsia="Arial" w:hAnsi="Arial"/>
          <w:sz w:val="15"/>
          <w:szCs w:val="15"/>
          <w:color w:val="auto"/>
        </w:rPr>
        <w:t>Although management continually reviews opportunities to enhance the value of the Company through strategic acquisitions, other capital investments and strategic divestitures, no material commitments for such investments or divestitures currently exist. As described in Note 9 to the Notes to the Financial Statements, on May 15, 2007, the Company signed an asset purchase agreement with Trumark, Inc., Trumark Ltd., Profloc Inc. and the shareholders of each entity, under which the Company agreed to acquire substantially all of the assets of the entities and assume certain operating liabilities for approximately $6,000,000.</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CRITICAL ACCOUNTING POLICIES</w:t>
      </w:r>
    </w:p>
    <w:p>
      <w:pPr>
        <w:spacing w:after="0" w:line="23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preparing the financial statements, the Company follows accounting principles generally accepted in the United States. The preparation of these financial statements requires the Company to make estimates and judgments that affect the reported amounts of assets, liabilities, sales and expenses, and related disclosure of contingent assets and liabilities. The Company re-evaluates its estimates on an on-going basis. The Company’s estimates are based on historical experience and on various other assumptions that are believed to be reasonable under the circumstances. Actual results may differ from these estimates under different assumptions and conditions. The Company considers the following policies to involve the most judgment in the preparation of the Company’s financial statements.</w:t>
      </w:r>
    </w:p>
    <w:p>
      <w:pPr>
        <w:spacing w:after="0" w:line="186"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color w:val="auto"/>
        </w:rPr>
        <w:t>Revenue Recognition – The Company recognizes revenue when title passes to our customers, which occurs primarily when product has been shipped, if there is evidence that the customer has agreed to purchase the products, performance has occurred, the price and terms of sale are fixed, and collection is reasonably assured.</w:t>
      </w:r>
    </w:p>
    <w:p>
      <w:pPr>
        <w:spacing w:after="0" w:line="17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Investments – Statement of Financial Accounting Standard (SFAS) No. 115, “Accounting for Certain Investments in Debt and Equity Securities,” Securities and Exchange Commission (SEC) Staff Accounting Bulletin (SAB) 59, “Accounting for Noncurrent Marketable Equity Securities,” and FASB Staff Position (FSP) FAS No. 115-1 and FAS No. 124-1, “The Meaning of Other-Than-Temporary Impairment and Its Application to Certain Investments” provide guidance on determining when an investment is other-than-temporarily impaired. Investments are reviewed quarterly for indicators of other-than-temporary impairment. This determination requires significant judgment. In making this judgment, we evaluate, among other factors, the duration and extent to which the fair value of an investment is less than its cost; the general market conditions, including factors such as industry and sector performance, rating agency actions, and our intent and ability to hold the investment. Investments with an indicator are further evaluated to determine the likelihood of a significant adverse effect on the fair value and amount of the impairment as necessary. If market, industry and/or investee conditions deteriorate, we may incur future impairments.</w:t>
      </w:r>
    </w:p>
    <w:p>
      <w:pPr>
        <w:spacing w:after="0" w:line="17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Allowance for Doubtful Accounts – Accounts receivable are reduced by an allowance for amounts that may become uncollectible in the future. Substantially all of 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reserve for doubtful accounts on a quarterly basis. There can be no assurance that our estimates will match actual amounts ultimately written off.</w:t>
      </w:r>
    </w:p>
    <w:p>
      <w:pPr>
        <w:spacing w:after="0" w:line="168"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Inventories - Inventories are valued at lower of cost or market. On a quarterly basis, management assesses the inventory quantities on hand to estimated future usage and sales and, if necessary, writes down to net realizable the value of inventory deemed obsolete or excess. Though management considers these reserves adequate and proper, changes in sales volumes due to unexpected economic or competitive conditions are among the factors that could materially affect the adequacy of this reserve.</w:t>
      </w:r>
    </w:p>
    <w:p>
      <w:pPr>
        <w:spacing w:after="0" w:line="183" w:lineRule="exact"/>
        <w:rPr>
          <w:sz w:val="20"/>
          <w:szCs w:val="20"/>
          <w:color w:val="auto"/>
        </w:rPr>
      </w:pPr>
    </w:p>
    <w:p>
      <w:pPr>
        <w:ind w:right="360"/>
        <w:spacing w:after="0" w:line="305" w:lineRule="auto"/>
        <w:rPr>
          <w:sz w:val="20"/>
          <w:szCs w:val="20"/>
          <w:color w:val="auto"/>
        </w:rPr>
      </w:pPr>
      <w:r>
        <w:rPr>
          <w:rFonts w:ascii="Arial" w:cs="Arial" w:eastAsia="Arial" w:hAnsi="Arial"/>
          <w:sz w:val="16"/>
          <w:szCs w:val="16"/>
          <w:color w:val="auto"/>
        </w:rPr>
        <w:t>LIFO Reserve – Inventories are primarily valued at the lower of cost or market with cost being determined using the last-in, first-out (LIFO) method. We may incur significant fluctuations in our gross margins due primarily to changes in the cost of a single, large-volume component of inventory. The price of this inventory component may vary depending on the balance between supply and demand. Management reviews the LIFO reserve on a quarterly basis.</w:t>
      </w:r>
    </w:p>
    <w:p>
      <w:pPr>
        <w:spacing w:after="0" w:line="15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Impairment of Long-Lived Assets – We evaluate the carrying value of long-lived assets, including intangible assets subject to amortization and property, plant, and equipment, when events and changes in circumstances warrant such a review, such as prolonged industry downturn or significant reductions in projected future cash flows. The carrying value of long-lived assets is considered impaired when the projected future undiscounted cash flows from such assets are less than their carrying value. In that event, a loss is recognized equal to the amount by which the carrying value exceeds the fair value of the long-lived assets. Significant judgments and assumptions are required in the forecast of future operating results used in the preparation of the estimated future cash flows. We periodically review the appropriateness of the estimated useful lives of our long-lived assets. Changes in these estimates could have a material effect on the assessment of long-lived assets. There were no material assets that were determined to be impaired during fiscal 2007.</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Self Insurance – The Company purchases insurance for employee medical benefits with high deductibles. Third party insurance is carried for what is believed to be the major portion of potential exposures that would exceed the Company’s self-insured retentions. The Company has established a liability for potential uninsured claims. The Company considers factors such as known outstanding claims, historical experience, and other relevant factors in setting the liability. These reserves are monitored and adjusted when warranted by changing circumstances. Though management considers these balances adequate, a substantial change in the number and/or severity of claims could result in materially different amounts for this item.</w:t>
      </w:r>
    </w:p>
    <w:p>
      <w:pPr>
        <w:spacing w:after="0" w:line="1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Income Taxes – In the preparation of the Company’s financial statements, management calculates income taxes. This includes estimating the current tax liability as well as assessing temporary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A valuation allowance is established to the extent that management believes that recovery is not likely. Reserves are also established for potential and ongoing audits of federal and state tax issues. The Company routinely monitors the potential impact of such situations and believes that it is properly reserved. Valuations related to amounts owed and tax rates could be impacted by changes to tax codes, changes in statutory tax rates, the Company’s future taxable income levels and the results of tax audits.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RECENTLY ISSUED ACCOUNTING PRONOUNCEMENTS</w:t>
      </w:r>
    </w:p>
    <w:p>
      <w:pPr>
        <w:spacing w:after="0" w:line="235" w:lineRule="exact"/>
        <w:rPr>
          <w:sz w:val="20"/>
          <w:szCs w:val="20"/>
          <w:color w:val="auto"/>
        </w:rPr>
      </w:pPr>
    </w:p>
    <w:p>
      <w:pPr>
        <w:ind w:right="80" w:firstLine="685"/>
        <w:spacing w:after="0" w:line="296" w:lineRule="auto"/>
        <w:rPr>
          <w:sz w:val="20"/>
          <w:szCs w:val="20"/>
          <w:color w:val="auto"/>
        </w:rPr>
      </w:pPr>
      <w:r>
        <w:rPr>
          <w:rFonts w:ascii="Arial" w:cs="Arial" w:eastAsia="Arial" w:hAnsi="Arial"/>
          <w:sz w:val="17"/>
          <w:szCs w:val="17"/>
          <w:color w:val="auto"/>
        </w:rPr>
        <w:t>See ITEM 8, Note 1 of the Notes to Financial Statements for information pertaining to recently adopted accounting standards or accounting standards to be adopted in the future.</w:t>
      </w:r>
    </w:p>
    <w:p>
      <w:pPr>
        <w:sectPr>
          <w:pgSz w:w="11900" w:h="16838" w:orient="portrait"/>
          <w:cols w:equalWidth="0" w:num="1">
            <w:col w:w="11420"/>
          </w:cols>
          <w:pgMar w:left="240" w:top="131" w:right="239" w:bottom="0" w:gutter="0" w:footer="0" w:header="0"/>
        </w:sectPr>
      </w:pPr>
    </w:p>
    <w:bookmarkStart w:id="12" w:name="page13"/>
    <w:bookmarkEnd w:id="12"/>
    <w:p>
      <w:pPr>
        <w:spacing w:after="0"/>
        <w:tabs>
          <w:tab w:leader="none" w:pos="1340" w:val="left"/>
        </w:tabs>
        <w:rPr>
          <w:sz w:val="20"/>
          <w:szCs w:val="20"/>
          <w:color w:val="auto"/>
        </w:rPr>
      </w:pPr>
      <w:r>
        <w:rPr>
          <w:rFonts w:ascii="Arial" w:cs="Arial" w:eastAsia="Arial" w:hAnsi="Arial"/>
          <w:sz w:val="22"/>
          <w:szCs w:val="22"/>
          <w:color w:val="auto"/>
        </w:rPr>
        <w:t>ITEM 7A.</w:t>
      </w:r>
      <w:r>
        <w:rPr>
          <w:sz w:val="20"/>
          <w:szCs w:val="20"/>
          <w:color w:val="auto"/>
        </w:rPr>
        <w:tab/>
      </w:r>
      <w:r>
        <w:rPr>
          <w:rFonts w:ascii="Arial" w:cs="Arial" w:eastAsia="Arial" w:hAnsi="Arial"/>
          <w:sz w:val="20"/>
          <w:szCs w:val="20"/>
          <w:color w:val="auto"/>
        </w:rPr>
        <w:t>QUANTITATIVE AND QUALITATIVE DISCLOSURE ABOUT MARKET RISK</w:t>
      </w:r>
    </w:p>
    <w:p>
      <w:pPr>
        <w:spacing w:after="0" w:line="217" w:lineRule="exact"/>
        <w:rPr>
          <w:sz w:val="20"/>
          <w:szCs w:val="20"/>
          <w:color w:val="auto"/>
        </w:rPr>
      </w:pPr>
    </w:p>
    <w:p>
      <w:pPr>
        <w:ind w:right="100" w:firstLine="685"/>
        <w:spacing w:after="0" w:line="268" w:lineRule="auto"/>
        <w:rPr>
          <w:sz w:val="20"/>
          <w:szCs w:val="20"/>
          <w:color w:val="auto"/>
        </w:rPr>
      </w:pPr>
      <w:r>
        <w:rPr>
          <w:rFonts w:ascii="Arial" w:cs="Arial" w:eastAsia="Arial" w:hAnsi="Arial"/>
          <w:sz w:val="17"/>
          <w:szCs w:val="17"/>
          <w:color w:val="auto"/>
        </w:rPr>
        <w:t>At April 1, 2007, the Company had an investment portfolio of fixed income securities of $5,599,623, a mutual fund of $7,564,732, investment contracts of $3,562,073 and cash and cash equivalents of $11,592,939. The fixed income securities, like all fixed income instruments, are subject to interest rate risks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during the holding period. The value of the mutual fund, like all mutual funds, may increase or decrease due to market volatility. The investment contracts are variable rate insurance contracts that reset on a quarterly basis. A hypothetical 1% change in rates would impact investment income by approximately $35,500, based upon the amount of variable rate insurance contracts held at April 1, 2007. The Company adjusts the carrying value of its investments if an impairment occurs that is other than temporary.</w:t>
      </w:r>
    </w:p>
    <w:p>
      <w:pPr>
        <w:spacing w:after="0" w:line="190" w:lineRule="exact"/>
        <w:rPr>
          <w:sz w:val="20"/>
          <w:szCs w:val="20"/>
          <w:color w:val="auto"/>
        </w:rPr>
      </w:pPr>
    </w:p>
    <w:p>
      <w:pPr>
        <w:ind w:firstLine="685"/>
        <w:spacing w:after="0" w:line="280" w:lineRule="auto"/>
        <w:rPr>
          <w:sz w:val="20"/>
          <w:szCs w:val="20"/>
          <w:color w:val="auto"/>
        </w:rPr>
      </w:pPr>
      <w:r>
        <w:rPr>
          <w:rFonts w:ascii="Arial" w:cs="Arial" w:eastAsia="Arial" w:hAnsi="Arial"/>
          <w:sz w:val="17"/>
          <w:szCs w:val="17"/>
          <w:color w:val="auto"/>
        </w:rPr>
        <w:t>The Company is subject to the risk inherent in the cyclical nature of commodity chemical prices. However, the Company does not currently purchase forward contracts or otherwise engage in hedging activities with respect to the purchase of commodity chemicals. We generally attempt to pass changes in material prices to our customers, however, there are no assurances that we will be able to pass on the increases in the future.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ITEM 8.</w:t>
      </w:r>
      <w:r>
        <w:rPr>
          <w:sz w:val="20"/>
          <w:szCs w:val="20"/>
          <w:color w:val="auto"/>
        </w:rPr>
        <w:tab/>
      </w:r>
      <w:r>
        <w:rPr>
          <w:rFonts w:ascii="Arial" w:cs="Arial" w:eastAsia="Arial" w:hAnsi="Arial"/>
          <w:sz w:val="20"/>
          <w:szCs w:val="20"/>
          <w:color w:val="auto"/>
        </w:rPr>
        <w:t>FINANCIAL STATEMENTS AND SUPPLEMENTARY DATA</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Hawkins,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Minneapolis, MN</w:t>
      </w:r>
    </w:p>
    <w:p>
      <w:pPr>
        <w:spacing w:after="0" w:line="107"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color w:val="auto"/>
        </w:rPr>
        <w:t>We have audited the accompanying balance sheets of Hawkins, Inc. (the “Company”) as of April 1, 2007 and April 2, 2006, and the related statements of income, shareholders’ equity, and cash flows for each of the three years in the period ended April 1, 2007. These financial statements are the responsibility of the Company’s management. Our responsibility is to express an opinion on the financial statements based on our audits.</w:t>
      </w:r>
    </w:p>
    <w:p>
      <w:pPr>
        <w:spacing w:after="0" w:line="5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48"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In our opinion, such financial statements present fairly, in all material respects, the financial position of Hawkins, Inc. as of April 1, 2007 and April 2, 2006, and the results of their operations and their cash flows for each of the three years in the period ended April 1, 2007, in conformity with accounting principles generally accepted in the United States of America.</w:t>
      </w:r>
    </w:p>
    <w:p>
      <w:pPr>
        <w:spacing w:after="0" w:line="5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the effectiveness of the Company’s internal control over financial reporting as of April 1, 2007, based on the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and our report dated June 13, 2007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Minneapolis, MN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June 13, 2007</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HAWKINS,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7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9"/>
              </w:rPr>
              <w:t>April 1,</w:t>
            </w:r>
          </w:p>
        </w:tc>
        <w:tc>
          <w:tcPr>
            <w:tcW w:w="220" w:type="dxa"/>
            <w:vAlign w:val="bottom"/>
          </w:tcPr>
          <w:p>
            <w:pPr>
              <w:spacing w:after="0"/>
              <w:rPr>
                <w:sz w:val="12"/>
                <w:szCs w:val="12"/>
                <w:color w:val="auto"/>
              </w:rPr>
            </w:pPr>
          </w:p>
        </w:tc>
        <w:tc>
          <w:tcPr>
            <w:tcW w:w="1080" w:type="dxa"/>
            <w:vAlign w:val="bottom"/>
            <w:gridSpan w:val="2"/>
          </w:tcPr>
          <w:p>
            <w:pPr>
              <w:ind w:left="140"/>
              <w:spacing w:after="0"/>
              <w:rPr>
                <w:sz w:val="20"/>
                <w:szCs w:val="20"/>
                <w:color w:val="auto"/>
              </w:rPr>
            </w:pPr>
            <w:r>
              <w:rPr>
                <w:rFonts w:ascii="Arial" w:cs="Arial" w:eastAsia="Arial" w:hAnsi="Arial"/>
                <w:sz w:val="13"/>
                <w:szCs w:val="13"/>
                <w:b w:val="1"/>
                <w:bCs w:val="1"/>
                <w:color w:val="auto"/>
              </w:rPr>
              <w:t>April 2,</w:t>
            </w:r>
          </w:p>
        </w:tc>
        <w:tc>
          <w:tcPr>
            <w:tcW w:w="0" w:type="dxa"/>
            <w:vAlign w:val="bottom"/>
          </w:tcPr>
          <w:p>
            <w:pPr>
              <w:spacing w:after="0"/>
              <w:rPr>
                <w:sz w:val="1"/>
                <w:szCs w:val="1"/>
                <w:color w:val="auto"/>
              </w:rPr>
            </w:pPr>
          </w:p>
        </w:tc>
      </w:tr>
      <w:tr>
        <w:trPr>
          <w:trHeight w:val="161"/>
        </w:trPr>
        <w:tc>
          <w:tcPr>
            <w:tcW w:w="7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2007</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2006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7540" w:type="dxa"/>
            <w:vAlign w:val="bottom"/>
          </w:tcPr>
          <w:p>
            <w:pPr>
              <w:spacing w:after="0"/>
              <w:rPr>
                <w:sz w:val="20"/>
                <w:szCs w:val="20"/>
                <w:color w:val="auto"/>
              </w:rPr>
            </w:pPr>
            <w:r>
              <w:rPr>
                <w:rFonts w:ascii="Arial" w:cs="Arial" w:eastAsia="Arial" w:hAnsi="Arial"/>
                <w:sz w:val="17"/>
                <w:szCs w:val="17"/>
                <w:color w:val="auto"/>
              </w:rPr>
              <w:t>CURRENT ASSETS:</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540" w:type="dxa"/>
            <w:vAlign w:val="bottom"/>
            <w:shd w:val="clear" w:color="auto" w:fill="D6F3E8"/>
          </w:tcPr>
          <w:p>
            <w:pPr>
              <w:ind w:left="340"/>
              <w:spacing w:after="0"/>
              <w:rPr>
                <w:sz w:val="20"/>
                <w:szCs w:val="20"/>
                <w:color w:val="auto"/>
              </w:rPr>
            </w:pPr>
            <w:r>
              <w:rPr>
                <w:rFonts w:ascii="Arial" w:cs="Arial" w:eastAsia="Arial" w:hAnsi="Arial"/>
                <w:sz w:val="17"/>
                <w:szCs w:val="17"/>
                <w:color w:val="auto"/>
              </w:rPr>
              <w:t>Cash and cash equivalents</w:t>
            </w:r>
          </w:p>
        </w:tc>
        <w:tc>
          <w:tcPr>
            <w:tcW w:w="1440" w:type="dxa"/>
            <w:vAlign w:val="bottom"/>
            <w:gridSpan w:val="2"/>
            <w:shd w:val="clear" w:color="auto" w:fill="D6F3E8"/>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11,592,939</w:t>
            </w:r>
          </w:p>
        </w:tc>
        <w:tc>
          <w:tcPr>
            <w:tcW w:w="220" w:type="dxa"/>
            <w:vAlign w:val="bottom"/>
            <w:shd w:val="clear" w:color="auto" w:fill="D6F3E8"/>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6,330,004</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540" w:type="dxa"/>
            <w:vAlign w:val="bottom"/>
          </w:tcPr>
          <w:p>
            <w:pPr>
              <w:ind w:left="340"/>
              <w:spacing w:after="0"/>
              <w:rPr>
                <w:sz w:val="20"/>
                <w:szCs w:val="20"/>
                <w:color w:val="auto"/>
              </w:rPr>
            </w:pPr>
            <w:r>
              <w:rPr>
                <w:rFonts w:ascii="Arial" w:cs="Arial" w:eastAsia="Arial" w:hAnsi="Arial"/>
                <w:sz w:val="17"/>
                <w:szCs w:val="17"/>
                <w:color w:val="auto"/>
              </w:rPr>
              <w:t>Investments available-for-sale</w:t>
            </w: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13,712,540</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14,167,047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540" w:type="dxa"/>
            <w:vAlign w:val="bottom"/>
            <w:shd w:val="clear" w:color="auto" w:fill="D6F3E8"/>
          </w:tcPr>
          <w:p>
            <w:pPr>
              <w:ind w:left="340"/>
              <w:spacing w:after="0"/>
              <w:rPr>
                <w:sz w:val="20"/>
                <w:szCs w:val="20"/>
                <w:color w:val="auto"/>
              </w:rPr>
            </w:pPr>
            <w:r>
              <w:rPr>
                <w:rFonts w:ascii="Arial" w:cs="Arial" w:eastAsia="Arial" w:hAnsi="Arial"/>
                <w:sz w:val="17"/>
                <w:szCs w:val="17"/>
                <w:color w:val="auto"/>
              </w:rPr>
              <w:t>Trade receivables – less allowance for doubtful accounts: $225,000 for 2007 and 2006</w:t>
            </w:r>
          </w:p>
        </w:tc>
        <w:tc>
          <w:tcPr>
            <w:tcW w:w="1180" w:type="dxa"/>
            <w:vAlign w:val="bottom"/>
            <w:shd w:val="clear" w:color="auto" w:fill="D6F3E8"/>
          </w:tcPr>
          <w:p>
            <w:pPr>
              <w:spacing w:after="0"/>
              <w:rPr>
                <w:sz w:val="22"/>
                <w:szCs w:val="22"/>
                <w:color w:val="auto"/>
              </w:rPr>
            </w:pPr>
          </w:p>
        </w:tc>
        <w:tc>
          <w:tcPr>
            <w:tcW w:w="260" w:type="dxa"/>
            <w:vAlign w:val="bottom"/>
            <w:shd w:val="clear" w:color="auto" w:fill="D6F3E8"/>
          </w:tcPr>
          <w:p>
            <w:pPr>
              <w:spacing w:after="0"/>
              <w:rPr>
                <w:sz w:val="22"/>
                <w:szCs w:val="22"/>
                <w:color w:val="auto"/>
              </w:rPr>
            </w:pPr>
          </w:p>
        </w:tc>
        <w:tc>
          <w:tcPr>
            <w:tcW w:w="114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19,663,169</w:t>
            </w:r>
          </w:p>
        </w:tc>
        <w:tc>
          <w:tcPr>
            <w:tcW w:w="220" w:type="dxa"/>
            <w:vAlign w:val="bottom"/>
            <w:shd w:val="clear" w:color="auto" w:fill="D6F3E8"/>
          </w:tcPr>
          <w:p>
            <w:pPr>
              <w:spacing w:after="0"/>
              <w:rPr>
                <w:sz w:val="22"/>
                <w:szCs w:val="22"/>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16,185,560</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540" w:type="dxa"/>
            <w:vAlign w:val="bottom"/>
          </w:tcPr>
          <w:p>
            <w:pPr>
              <w:ind w:left="340"/>
              <w:spacing w:after="0"/>
              <w:rPr>
                <w:sz w:val="20"/>
                <w:szCs w:val="20"/>
                <w:color w:val="auto"/>
              </w:rPr>
            </w:pPr>
            <w:r>
              <w:rPr>
                <w:rFonts w:ascii="Arial" w:cs="Arial" w:eastAsia="Arial" w:hAnsi="Arial"/>
                <w:sz w:val="17"/>
                <w:szCs w:val="17"/>
                <w:color w:val="auto"/>
              </w:rPr>
              <w:t>Inventories</w:t>
            </w: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12,786,348</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10,449,671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540" w:type="dxa"/>
            <w:vAlign w:val="bottom"/>
            <w:shd w:val="clear" w:color="auto" w:fill="D6F3E8"/>
          </w:tcPr>
          <w:p>
            <w:pPr>
              <w:ind w:left="340"/>
              <w:spacing w:after="0"/>
              <w:rPr>
                <w:sz w:val="20"/>
                <w:szCs w:val="20"/>
                <w:color w:val="auto"/>
              </w:rPr>
            </w:pPr>
            <w:r>
              <w:rPr>
                <w:rFonts w:ascii="Arial" w:cs="Arial" w:eastAsia="Arial" w:hAnsi="Arial"/>
                <w:sz w:val="17"/>
                <w:szCs w:val="17"/>
                <w:color w:val="auto"/>
              </w:rPr>
              <w:t>Prepaid expenses and other current assets (Note 8)</w:t>
            </w:r>
          </w:p>
        </w:tc>
        <w:tc>
          <w:tcPr>
            <w:tcW w:w="1180" w:type="dxa"/>
            <w:vAlign w:val="bottom"/>
            <w:shd w:val="clear" w:color="auto" w:fill="D6F3E8"/>
          </w:tcPr>
          <w:p>
            <w:pPr>
              <w:spacing w:after="0"/>
              <w:rPr>
                <w:sz w:val="22"/>
                <w:szCs w:val="22"/>
                <w:color w:val="auto"/>
              </w:rPr>
            </w:pPr>
          </w:p>
        </w:tc>
        <w:tc>
          <w:tcPr>
            <w:tcW w:w="260" w:type="dxa"/>
            <w:vAlign w:val="bottom"/>
            <w:shd w:val="clear" w:color="auto" w:fill="D6F3E8"/>
          </w:tcPr>
          <w:p>
            <w:pPr>
              <w:spacing w:after="0"/>
              <w:rPr>
                <w:sz w:val="22"/>
                <w:szCs w:val="22"/>
                <w:color w:val="auto"/>
              </w:rPr>
            </w:pPr>
          </w:p>
        </w:tc>
        <w:tc>
          <w:tcPr>
            <w:tcW w:w="114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3,214,254</w:t>
            </w:r>
          </w:p>
        </w:tc>
        <w:tc>
          <w:tcPr>
            <w:tcW w:w="220" w:type="dxa"/>
            <w:vAlign w:val="bottom"/>
            <w:shd w:val="clear" w:color="auto" w:fill="D6F3E8"/>
          </w:tcPr>
          <w:p>
            <w:pPr>
              <w:spacing w:after="0"/>
              <w:rPr>
                <w:sz w:val="22"/>
                <w:szCs w:val="22"/>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2,314,458</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ind w:left="660"/>
              <w:spacing w:after="0"/>
              <w:rPr>
                <w:sz w:val="20"/>
                <w:szCs w:val="20"/>
                <w:color w:val="auto"/>
              </w:rPr>
            </w:pPr>
            <w:r>
              <w:rPr>
                <w:rFonts w:ascii="Arial" w:cs="Arial" w:eastAsia="Arial" w:hAnsi="Arial"/>
                <w:sz w:val="17"/>
                <w:szCs w:val="17"/>
                <w:color w:val="auto"/>
              </w:rPr>
              <w:t>Total current assets</w:t>
            </w:r>
          </w:p>
        </w:tc>
        <w:tc>
          <w:tcPr>
            <w:tcW w:w="1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540" w:type="dxa"/>
            <w:vAlign w:val="bottom"/>
            <w:vMerge w:val="continue"/>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60,969,250</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49,446,740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4"/>
        </w:trPr>
        <w:tc>
          <w:tcPr>
            <w:tcW w:w="7540" w:type="dxa"/>
            <w:vAlign w:val="bottom"/>
          </w:tcPr>
          <w:p>
            <w:pPr>
              <w:spacing w:after="0"/>
              <w:rPr>
                <w:sz w:val="20"/>
                <w:szCs w:val="20"/>
                <w:color w:val="auto"/>
              </w:rPr>
            </w:pPr>
            <w:r>
              <w:rPr>
                <w:rFonts w:ascii="Arial" w:cs="Arial" w:eastAsia="Arial" w:hAnsi="Arial"/>
                <w:sz w:val="17"/>
                <w:szCs w:val="17"/>
                <w:color w:val="auto"/>
              </w:rPr>
              <w:t>PROPERTY, PLANT, AND EQUIPMENT:</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540" w:type="dxa"/>
            <w:vAlign w:val="bottom"/>
            <w:shd w:val="clear" w:color="auto" w:fill="D6F3E8"/>
          </w:tcPr>
          <w:p>
            <w:pPr>
              <w:ind w:left="340"/>
              <w:spacing w:after="0"/>
              <w:rPr>
                <w:sz w:val="20"/>
                <w:szCs w:val="20"/>
                <w:color w:val="auto"/>
              </w:rPr>
            </w:pPr>
            <w:r>
              <w:rPr>
                <w:rFonts w:ascii="Arial" w:cs="Arial" w:eastAsia="Arial" w:hAnsi="Arial"/>
                <w:sz w:val="17"/>
                <w:szCs w:val="17"/>
                <w:color w:val="auto"/>
              </w:rPr>
              <w:t>Land</w:t>
            </w:r>
          </w:p>
        </w:tc>
        <w:tc>
          <w:tcPr>
            <w:tcW w:w="1180" w:type="dxa"/>
            <w:vAlign w:val="bottom"/>
            <w:shd w:val="clear" w:color="auto" w:fill="D6F3E8"/>
          </w:tcPr>
          <w:p>
            <w:pPr>
              <w:spacing w:after="0"/>
              <w:rPr>
                <w:sz w:val="22"/>
                <w:szCs w:val="22"/>
                <w:color w:val="auto"/>
              </w:rPr>
            </w:pPr>
          </w:p>
        </w:tc>
        <w:tc>
          <w:tcPr>
            <w:tcW w:w="260" w:type="dxa"/>
            <w:vAlign w:val="bottom"/>
            <w:shd w:val="clear" w:color="auto" w:fill="D6F3E8"/>
          </w:tcPr>
          <w:p>
            <w:pPr>
              <w:spacing w:after="0"/>
              <w:rPr>
                <w:sz w:val="22"/>
                <w:szCs w:val="22"/>
                <w:color w:val="auto"/>
              </w:rPr>
            </w:pPr>
          </w:p>
        </w:tc>
        <w:tc>
          <w:tcPr>
            <w:tcW w:w="114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1,415,172</w:t>
            </w:r>
          </w:p>
        </w:tc>
        <w:tc>
          <w:tcPr>
            <w:tcW w:w="220" w:type="dxa"/>
            <w:vAlign w:val="bottom"/>
            <w:shd w:val="clear" w:color="auto" w:fill="D6F3E8"/>
          </w:tcPr>
          <w:p>
            <w:pPr>
              <w:spacing w:after="0"/>
              <w:rPr>
                <w:sz w:val="22"/>
                <w:szCs w:val="22"/>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1,349,805</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540" w:type="dxa"/>
            <w:vAlign w:val="bottom"/>
          </w:tcPr>
          <w:p>
            <w:pPr>
              <w:ind w:left="340"/>
              <w:spacing w:after="0"/>
              <w:rPr>
                <w:sz w:val="20"/>
                <w:szCs w:val="20"/>
                <w:color w:val="auto"/>
              </w:rPr>
            </w:pPr>
            <w:r>
              <w:rPr>
                <w:rFonts w:ascii="Arial" w:cs="Arial" w:eastAsia="Arial" w:hAnsi="Arial"/>
                <w:sz w:val="17"/>
                <w:szCs w:val="17"/>
                <w:color w:val="auto"/>
              </w:rPr>
              <w:t>Buildings and improvements</w:t>
            </w: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30,519,907</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30,080,775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540" w:type="dxa"/>
            <w:vAlign w:val="bottom"/>
            <w:shd w:val="clear" w:color="auto" w:fill="D6F3E8"/>
          </w:tcPr>
          <w:p>
            <w:pPr>
              <w:ind w:left="340"/>
              <w:spacing w:after="0"/>
              <w:rPr>
                <w:sz w:val="20"/>
                <w:szCs w:val="20"/>
                <w:color w:val="auto"/>
              </w:rPr>
            </w:pPr>
            <w:r>
              <w:rPr>
                <w:rFonts w:ascii="Arial" w:cs="Arial" w:eastAsia="Arial" w:hAnsi="Arial"/>
                <w:sz w:val="17"/>
                <w:szCs w:val="17"/>
                <w:color w:val="auto"/>
              </w:rPr>
              <w:t>Machinery and equipment</w:t>
            </w:r>
          </w:p>
        </w:tc>
        <w:tc>
          <w:tcPr>
            <w:tcW w:w="1180" w:type="dxa"/>
            <w:vAlign w:val="bottom"/>
            <w:shd w:val="clear" w:color="auto" w:fill="D6F3E8"/>
          </w:tcPr>
          <w:p>
            <w:pPr>
              <w:spacing w:after="0"/>
              <w:rPr>
                <w:sz w:val="22"/>
                <w:szCs w:val="22"/>
                <w:color w:val="auto"/>
              </w:rPr>
            </w:pPr>
          </w:p>
        </w:tc>
        <w:tc>
          <w:tcPr>
            <w:tcW w:w="260" w:type="dxa"/>
            <w:vAlign w:val="bottom"/>
            <w:shd w:val="clear" w:color="auto" w:fill="D6F3E8"/>
          </w:tcPr>
          <w:p>
            <w:pPr>
              <w:spacing w:after="0"/>
              <w:rPr>
                <w:sz w:val="22"/>
                <w:szCs w:val="22"/>
                <w:color w:val="auto"/>
              </w:rPr>
            </w:pPr>
          </w:p>
        </w:tc>
        <w:tc>
          <w:tcPr>
            <w:tcW w:w="114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15,904,651</w:t>
            </w:r>
          </w:p>
        </w:tc>
        <w:tc>
          <w:tcPr>
            <w:tcW w:w="220" w:type="dxa"/>
            <w:vAlign w:val="bottom"/>
            <w:shd w:val="clear" w:color="auto" w:fill="D6F3E8"/>
          </w:tcPr>
          <w:p>
            <w:pPr>
              <w:spacing w:after="0"/>
              <w:rPr>
                <w:sz w:val="22"/>
                <w:szCs w:val="22"/>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14,150,782</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0" w:gutter="0" w:footer="0" w:header="0"/>
        </w:sectPr>
      </w:pPr>
    </w:p>
    <w:bookmarkStart w:id="13" w:name="page14"/>
    <w:bookmarkEnd w:id="13"/>
    <w:p>
      <w:pPr>
        <w:ind w:left="340"/>
        <w:spacing w:after="0"/>
        <w:rPr>
          <w:sz w:val="20"/>
          <w:szCs w:val="20"/>
          <w:color w:val="auto"/>
        </w:rPr>
      </w:pPr>
      <w:r>
        <w:rPr>
          <w:rFonts w:ascii="Arial" w:cs="Arial" w:eastAsia="Arial" w:hAnsi="Arial"/>
          <w:sz w:val="17"/>
          <w:szCs w:val="17"/>
          <w:color w:val="auto"/>
        </w:rPr>
        <w:t>Transportation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7255" cy="161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7255" cy="161925"/>
                    </a:xfrm>
                    <a:prstGeom prst="rect">
                      <a:avLst/>
                    </a:prstGeom>
                    <a:noFill/>
                  </pic:spPr>
                </pic:pic>
              </a:graphicData>
            </a:graphic>
          </wp:anchor>
        </w:drawing>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Office furniture and equipment including computer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7255" cy="161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7255" cy="161925"/>
                    </a:xfrm>
                    <a:prstGeom prst="rect">
                      <a:avLst/>
                    </a:prstGeom>
                    <a:noFill/>
                  </pic:spPr>
                </pic:pic>
              </a:graphicData>
            </a:graphic>
          </wp:anchor>
        </w:drawing>
      </w:r>
    </w:p>
    <w:p>
      <w:pPr>
        <w:spacing w:after="0" w:line="30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Less accumulated depreciation</w:t>
      </w:r>
    </w:p>
    <w:p>
      <w:pPr>
        <w:spacing w:after="0" w:line="7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Net property, plant, and equipment</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7255" cy="161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7255" cy="161925"/>
                    </a:xfrm>
                    <a:prstGeom prst="rect">
                      <a:avLst/>
                    </a:prstGeom>
                    <a:noFill/>
                  </pic:spPr>
                </pic:pic>
              </a:graphicData>
            </a:graphic>
          </wp:anchor>
        </w:drawing>
      </w:r>
    </w:p>
    <w:p>
      <w:pPr>
        <w:spacing w:after="0" w:line="40" w:lineRule="exact"/>
        <w:rPr>
          <w:sz w:val="20"/>
          <w:szCs w:val="20"/>
          <w:color w:val="auto"/>
        </w:rPr>
      </w:pPr>
    </w:p>
    <w:p>
      <w:pPr>
        <w:ind w:left="340" w:right="1580"/>
        <w:spacing w:after="0" w:line="305" w:lineRule="auto"/>
        <w:rPr>
          <w:sz w:val="20"/>
          <w:szCs w:val="20"/>
          <w:color w:val="auto"/>
        </w:rPr>
      </w:pPr>
      <w:r>
        <w:rPr>
          <w:rFonts w:ascii="Arial" w:cs="Arial" w:eastAsia="Arial" w:hAnsi="Arial"/>
          <w:sz w:val="17"/>
          <w:szCs w:val="17"/>
          <w:color w:val="auto"/>
        </w:rPr>
        <w:t>Intangible assets – less accumulated amortization: 2007, $1,643,308; 2006, $1,418,491 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7255" cy="161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7255" cy="16192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7"/>
          <w:szCs w:val="17"/>
          <w:color w:val="auto"/>
        </w:rPr>
        <w:t>Other</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7255" cy="1790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7255" cy="17907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LIABILITIES AND SHAREHOLDERS’ EQUITY</w:t>
      </w:r>
    </w:p>
    <w:p>
      <w:pPr>
        <w:spacing w:after="0" w:line="20" w:lineRule="exact"/>
        <w:rPr>
          <w:sz w:val="20"/>
          <w:szCs w:val="20"/>
          <w:color w:val="auto"/>
        </w:rPr>
      </w:pPr>
      <w:r>
        <w:rPr>
          <w:sz w:val="20"/>
          <w:szCs w:val="20"/>
          <w:color w:val="auto"/>
        </w:rPr>
        <w:br w:type="column"/>
      </w:r>
    </w:p>
    <w:p>
      <w:pPr>
        <w:jc w:val="both"/>
        <w:ind w:left="600"/>
        <w:spacing w:after="0"/>
        <w:tabs>
          <w:tab w:leader="none" w:pos="1860" w:val="left"/>
        </w:tabs>
        <w:rPr>
          <w:sz w:val="20"/>
          <w:szCs w:val="20"/>
          <w:color w:val="auto"/>
        </w:rPr>
      </w:pPr>
      <w:r>
        <w:rPr>
          <w:rFonts w:ascii="Arial" w:cs="Arial" w:eastAsia="Arial" w:hAnsi="Arial"/>
          <w:sz w:val="17"/>
          <w:szCs w:val="17"/>
          <w:color w:val="auto"/>
        </w:rPr>
        <w:t>9,122,960</w:t>
      </w:r>
      <w:r>
        <w:rPr>
          <w:sz w:val="20"/>
          <w:szCs w:val="20"/>
          <w:color w:val="auto"/>
        </w:rPr>
        <w:tab/>
      </w:r>
      <w:r>
        <w:rPr>
          <w:rFonts w:ascii="Arial" w:cs="Arial" w:eastAsia="Arial" w:hAnsi="Arial"/>
          <w:sz w:val="17"/>
          <w:szCs w:val="17"/>
          <w:color w:val="auto"/>
        </w:rPr>
        <w:t>9,012,104</w:t>
      </w:r>
    </w:p>
    <w:p>
      <w:pPr>
        <w:spacing w:after="0" w:line="60" w:lineRule="exact"/>
        <w:rPr>
          <w:sz w:val="20"/>
          <w:szCs w:val="20"/>
          <w:color w:val="auto"/>
        </w:rPr>
      </w:pPr>
    </w:p>
    <w:p>
      <w:pPr>
        <w:jc w:val="both"/>
        <w:ind w:left="500"/>
        <w:spacing w:after="0"/>
        <w:tabs>
          <w:tab w:leader="none" w:pos="1860" w:val="left"/>
        </w:tabs>
        <w:rPr>
          <w:sz w:val="20"/>
          <w:szCs w:val="20"/>
          <w:color w:val="auto"/>
        </w:rPr>
      </w:pPr>
      <w:r>
        <w:rPr>
          <w:rFonts w:ascii="Arial" w:cs="Arial" w:eastAsia="Arial" w:hAnsi="Arial"/>
          <w:sz w:val="17"/>
          <w:szCs w:val="17"/>
          <w:color w:val="auto"/>
        </w:rPr>
        <w:t>10,525,070</w:t>
      </w:r>
      <w:r>
        <w:rPr>
          <w:sz w:val="20"/>
          <w:szCs w:val="20"/>
          <w:color w:val="auto"/>
        </w:rPr>
        <w:tab/>
      </w:r>
      <w:r>
        <w:rPr>
          <w:rFonts w:ascii="Arial" w:cs="Arial" w:eastAsia="Arial" w:hAnsi="Arial"/>
          <w:sz w:val="17"/>
          <w:szCs w:val="17"/>
          <w:color w:val="auto"/>
        </w:rPr>
        <w:t>9,594,885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16389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38935" cy="8255"/>
                    </a:xfrm>
                    <a:prstGeom prst="rect">
                      <a:avLst/>
                    </a:prstGeom>
                    <a:noFill/>
                  </pic:spPr>
                </pic:pic>
              </a:graphicData>
            </a:graphic>
          </wp:anchor>
        </w:drawing>
      </w:r>
    </w:p>
    <w:p>
      <w:pPr>
        <w:spacing w:after="0" w:line="53" w:lineRule="exact"/>
        <w:rPr>
          <w:sz w:val="20"/>
          <w:szCs w:val="20"/>
          <w:color w:val="auto"/>
        </w:rPr>
      </w:pPr>
    </w:p>
    <w:p>
      <w:pPr>
        <w:jc w:val="both"/>
        <w:ind w:left="500"/>
        <w:spacing w:after="0"/>
        <w:tabs>
          <w:tab w:leader="none" w:pos="1780" w:val="left"/>
        </w:tabs>
        <w:rPr>
          <w:sz w:val="20"/>
          <w:szCs w:val="20"/>
          <w:color w:val="auto"/>
        </w:rPr>
      </w:pPr>
      <w:r>
        <w:rPr>
          <w:rFonts w:ascii="Arial" w:cs="Arial" w:eastAsia="Arial" w:hAnsi="Arial"/>
          <w:sz w:val="17"/>
          <w:szCs w:val="17"/>
          <w:color w:val="auto"/>
        </w:rPr>
        <w:t>67,487,760</w:t>
      </w:r>
      <w:r>
        <w:rPr>
          <w:sz w:val="20"/>
          <w:szCs w:val="20"/>
          <w:color w:val="auto"/>
        </w:rPr>
        <w:tab/>
      </w:r>
      <w:r>
        <w:rPr>
          <w:rFonts w:ascii="Arial" w:cs="Arial" w:eastAsia="Arial" w:hAnsi="Arial"/>
          <w:sz w:val="17"/>
          <w:szCs w:val="17"/>
          <w:color w:val="auto"/>
        </w:rPr>
        <w:t>64,188,351</w:t>
      </w:r>
    </w:p>
    <w:p>
      <w:pPr>
        <w:spacing w:after="0" w:line="60" w:lineRule="exact"/>
        <w:rPr>
          <w:sz w:val="20"/>
          <w:szCs w:val="20"/>
          <w:color w:val="auto"/>
        </w:rPr>
      </w:pPr>
    </w:p>
    <w:p>
      <w:pPr>
        <w:jc w:val="both"/>
        <w:ind w:left="500"/>
        <w:spacing w:after="0"/>
        <w:tabs>
          <w:tab w:leader="none" w:pos="1780" w:val="left"/>
        </w:tabs>
        <w:rPr>
          <w:sz w:val="20"/>
          <w:szCs w:val="20"/>
          <w:color w:val="auto"/>
        </w:rPr>
      </w:pPr>
      <w:r>
        <w:rPr>
          <w:rFonts w:ascii="Arial" w:cs="Arial" w:eastAsia="Arial" w:hAnsi="Arial"/>
          <w:sz w:val="17"/>
          <w:szCs w:val="17"/>
          <w:color w:val="auto"/>
        </w:rPr>
        <w:t>32,767,300</w:t>
      </w:r>
      <w:r>
        <w:rPr>
          <w:sz w:val="20"/>
          <w:szCs w:val="20"/>
          <w:color w:val="auto"/>
        </w:rPr>
        <w:tab/>
      </w:r>
      <w:r>
        <w:rPr>
          <w:rFonts w:ascii="Arial" w:cs="Arial" w:eastAsia="Arial" w:hAnsi="Arial"/>
          <w:sz w:val="17"/>
          <w:szCs w:val="17"/>
          <w:color w:val="auto"/>
        </w:rPr>
        <w:t>29,466,612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16389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38935" cy="8255"/>
                    </a:xfrm>
                    <a:prstGeom prst="rect">
                      <a:avLst/>
                    </a:prstGeom>
                    <a:noFill/>
                  </pic:spPr>
                </pic:pic>
              </a:graphicData>
            </a:graphic>
          </wp:anchor>
        </w:drawing>
      </w:r>
    </w:p>
    <w:p>
      <w:pPr>
        <w:spacing w:after="0" w:line="53" w:lineRule="exact"/>
        <w:rPr>
          <w:sz w:val="20"/>
          <w:szCs w:val="20"/>
          <w:color w:val="auto"/>
        </w:rPr>
      </w:pPr>
    </w:p>
    <w:p>
      <w:pPr>
        <w:jc w:val="both"/>
        <w:ind w:left="500"/>
        <w:spacing w:after="0"/>
        <w:tabs>
          <w:tab w:leader="none" w:pos="1780" w:val="left"/>
        </w:tabs>
        <w:rPr>
          <w:sz w:val="20"/>
          <w:szCs w:val="20"/>
          <w:color w:val="auto"/>
        </w:rPr>
      </w:pPr>
      <w:r>
        <w:rPr>
          <w:rFonts w:ascii="Arial" w:cs="Arial" w:eastAsia="Arial" w:hAnsi="Arial"/>
          <w:sz w:val="17"/>
          <w:szCs w:val="17"/>
          <w:color w:val="auto"/>
        </w:rPr>
        <w:t>34,720,460</w:t>
      </w:r>
      <w:r>
        <w:rPr>
          <w:sz w:val="20"/>
          <w:szCs w:val="20"/>
          <w:color w:val="auto"/>
        </w:rPr>
        <w:tab/>
      </w:r>
      <w:r>
        <w:rPr>
          <w:rFonts w:ascii="Arial" w:cs="Arial" w:eastAsia="Arial" w:hAnsi="Arial"/>
          <w:sz w:val="17"/>
          <w:szCs w:val="17"/>
          <w:color w:val="auto"/>
        </w:rPr>
        <w:t>34,721,739</w:t>
      </w:r>
    </w:p>
    <w:p>
      <w:pPr>
        <w:spacing w:after="0" w:line="200" w:lineRule="exact"/>
        <w:rPr>
          <w:sz w:val="20"/>
          <w:szCs w:val="20"/>
          <w:color w:val="auto"/>
        </w:rPr>
      </w:pPr>
    </w:p>
    <w:p>
      <w:pPr>
        <w:spacing w:after="0" w:line="304" w:lineRule="exact"/>
        <w:rPr>
          <w:sz w:val="20"/>
          <w:szCs w:val="20"/>
          <w:color w:val="auto"/>
        </w:rPr>
      </w:pPr>
    </w:p>
    <w:p>
      <w:pPr>
        <w:jc w:val="both"/>
        <w:ind w:left="600"/>
        <w:spacing w:after="0"/>
        <w:tabs>
          <w:tab w:leader="none" w:pos="1860" w:val="left"/>
        </w:tabs>
        <w:rPr>
          <w:sz w:val="20"/>
          <w:szCs w:val="20"/>
          <w:color w:val="auto"/>
        </w:rPr>
      </w:pPr>
      <w:r>
        <w:rPr>
          <w:rFonts w:ascii="Arial" w:cs="Arial" w:eastAsia="Arial" w:hAnsi="Arial"/>
          <w:sz w:val="17"/>
          <w:szCs w:val="17"/>
          <w:color w:val="auto"/>
        </w:rPr>
        <w:t>1,839,725</w:t>
      </w:r>
      <w:r>
        <w:rPr>
          <w:sz w:val="20"/>
          <w:szCs w:val="20"/>
          <w:color w:val="auto"/>
        </w:rPr>
        <w:tab/>
      </w:r>
      <w:r>
        <w:rPr>
          <w:rFonts w:ascii="Arial" w:cs="Arial" w:eastAsia="Arial" w:hAnsi="Arial"/>
          <w:sz w:val="17"/>
          <w:szCs w:val="17"/>
          <w:color w:val="auto"/>
        </w:rPr>
        <w:t>2,064,542</w:t>
      </w:r>
    </w:p>
    <w:p>
      <w:pPr>
        <w:spacing w:after="0" w:line="60" w:lineRule="exact"/>
        <w:rPr>
          <w:sz w:val="20"/>
          <w:szCs w:val="20"/>
          <w:color w:val="auto"/>
        </w:rPr>
      </w:pPr>
    </w:p>
    <w:p>
      <w:pPr>
        <w:jc w:val="both"/>
        <w:ind w:left="600"/>
        <w:spacing w:after="0"/>
        <w:tabs>
          <w:tab w:leader="none" w:pos="1860" w:val="left"/>
        </w:tabs>
        <w:rPr>
          <w:sz w:val="20"/>
          <w:szCs w:val="20"/>
          <w:color w:val="auto"/>
        </w:rPr>
      </w:pPr>
      <w:r>
        <w:rPr>
          <w:rFonts w:ascii="Arial" w:cs="Arial" w:eastAsia="Arial" w:hAnsi="Arial"/>
          <w:sz w:val="17"/>
          <w:szCs w:val="17"/>
          <w:color w:val="auto"/>
        </w:rPr>
        <w:t>3,013,888</w:t>
      </w:r>
      <w:r>
        <w:rPr>
          <w:sz w:val="20"/>
          <w:szCs w:val="20"/>
          <w:color w:val="auto"/>
        </w:rPr>
        <w:tab/>
      </w:r>
      <w:r>
        <w:rPr>
          <w:rFonts w:ascii="Arial" w:cs="Arial" w:eastAsia="Arial" w:hAnsi="Arial"/>
          <w:sz w:val="17"/>
          <w:szCs w:val="17"/>
          <w:color w:val="auto"/>
        </w:rPr>
        <w:t>5,658,341</w:t>
      </w:r>
    </w:p>
    <w:p>
      <w:pPr>
        <w:spacing w:after="0" w:line="60" w:lineRule="exact"/>
        <w:rPr>
          <w:sz w:val="20"/>
          <w:szCs w:val="20"/>
          <w:color w:val="auto"/>
        </w:rPr>
      </w:pPr>
    </w:p>
    <w:p>
      <w:pPr>
        <w:jc w:val="both"/>
        <w:ind w:left="720"/>
        <w:spacing w:after="0"/>
        <w:tabs>
          <w:tab w:leader="none" w:pos="1860" w:val="left"/>
        </w:tabs>
        <w:rPr>
          <w:sz w:val="20"/>
          <w:szCs w:val="20"/>
          <w:color w:val="auto"/>
        </w:rPr>
      </w:pPr>
      <w:r>
        <w:rPr>
          <w:rFonts w:ascii="Arial" w:cs="Arial" w:eastAsia="Arial" w:hAnsi="Arial"/>
          <w:sz w:val="17"/>
          <w:szCs w:val="17"/>
          <w:color w:val="auto"/>
        </w:rPr>
        <w:t>725,271</w:t>
      </w:r>
      <w:r>
        <w:rPr>
          <w:sz w:val="20"/>
          <w:szCs w:val="20"/>
          <w:color w:val="auto"/>
        </w:rPr>
        <w:tab/>
      </w:r>
      <w:r>
        <w:rPr>
          <w:rFonts w:ascii="Arial" w:cs="Arial" w:eastAsia="Arial" w:hAnsi="Arial"/>
          <w:sz w:val="17"/>
          <w:szCs w:val="17"/>
          <w:color w:val="auto"/>
        </w:rPr>
        <w:t>2,165,372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16389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38935" cy="8255"/>
                    </a:xfrm>
                    <a:prstGeom prst="rect">
                      <a:avLst/>
                    </a:prstGeom>
                    <a:noFill/>
                  </pic:spPr>
                </pic:pic>
              </a:graphicData>
            </a:graphic>
          </wp:anchor>
        </w:drawing>
      </w:r>
    </w:p>
    <w:p>
      <w:pPr>
        <w:spacing w:after="0" w:line="53" w:lineRule="exact"/>
        <w:rPr>
          <w:sz w:val="20"/>
          <w:szCs w:val="20"/>
          <w:color w:val="auto"/>
        </w:rPr>
      </w:pPr>
    </w:p>
    <w:p>
      <w:pPr>
        <w:jc w:val="both"/>
        <w:ind w:right="120" w:firstLine="592"/>
        <w:spacing w:after="0" w:line="362" w:lineRule="auto"/>
        <w:rPr>
          <w:sz w:val="20"/>
          <w:szCs w:val="20"/>
          <w:color w:val="auto"/>
        </w:rPr>
      </w:pPr>
      <w:r>
        <w:rPr>
          <w:rFonts w:ascii="Arial" w:cs="Arial" w:eastAsia="Arial" w:hAnsi="Arial"/>
          <w:sz w:val="17"/>
          <w:szCs w:val="17"/>
          <w:color w:val="auto"/>
        </w:rPr>
        <w:t xml:space="preserve">5,578,884 9,888,255 $ 101,268,594 </w:t>
      </w:r>
      <w:r>
        <w:rPr>
          <w:rFonts w:ascii="Arial" w:cs="Arial" w:eastAsia="Arial" w:hAnsi="Arial"/>
          <w:sz w:val="17"/>
          <w:szCs w:val="17"/>
          <w:u w:val="single" w:color="auto"/>
          <w:color w:val="auto"/>
        </w:rPr>
        <w:t>$ 94,056,734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-43815</wp:posOffset>
            </wp:positionV>
            <wp:extent cx="16389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38935" cy="8255"/>
                    </a:xfrm>
                    <a:prstGeom prst="rect">
                      <a:avLst/>
                    </a:prstGeom>
                    <a:noFill/>
                  </pic:spPr>
                </pic:pic>
              </a:graphicData>
            </a:graphic>
          </wp:anchor>
        </w:drawing>
      </w:r>
    </w:p>
    <w:p>
      <w:pPr>
        <w:spacing w:after="0" w:line="552" w:lineRule="exact"/>
        <w:rPr>
          <w:sz w:val="20"/>
          <w:szCs w:val="20"/>
          <w:color w:val="auto"/>
        </w:rPr>
      </w:pPr>
    </w:p>
    <w:p>
      <w:pPr>
        <w:sectPr>
          <w:pgSz w:w="11900" w:h="16838" w:orient="portrait"/>
          <w:cols w:equalWidth="0" w:num="2">
            <w:col w:w="8000" w:space="720"/>
            <w:col w:w="2700"/>
          </w:cols>
          <w:pgMar w:left="240" w:top="171" w:right="239" w:bottom="0" w:gutter="0" w:footer="0" w:header="0"/>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00" w:type="dxa"/>
            <w:vAlign w:val="bottom"/>
          </w:tcPr>
          <w:p>
            <w:pPr>
              <w:spacing w:after="0"/>
              <w:rPr>
                <w:sz w:val="20"/>
                <w:szCs w:val="20"/>
                <w:color w:val="auto"/>
              </w:rPr>
            </w:pPr>
            <w:r>
              <w:rPr>
                <w:rFonts w:ascii="Arial" w:cs="Arial" w:eastAsia="Arial" w:hAnsi="Arial"/>
                <w:sz w:val="17"/>
                <w:szCs w:val="17"/>
                <w:color w:val="auto"/>
              </w:rPr>
              <w:t>CURRENT LIABILITIES:</w:t>
            </w: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900" w:type="dxa"/>
            <w:vAlign w:val="bottom"/>
          </w:tcPr>
          <w:p>
            <w:pPr>
              <w:ind w:left="340"/>
              <w:spacing w:after="0"/>
              <w:rPr>
                <w:sz w:val="20"/>
                <w:szCs w:val="20"/>
                <w:color w:val="auto"/>
              </w:rPr>
            </w:pPr>
            <w:r>
              <w:rPr>
                <w:rFonts w:ascii="Arial" w:cs="Arial" w:eastAsia="Arial" w:hAnsi="Arial"/>
                <w:sz w:val="17"/>
                <w:szCs w:val="17"/>
                <w:color w:val="auto"/>
              </w:rPr>
              <w:t>Accounts payable—trade</w:t>
            </w:r>
          </w:p>
        </w:tc>
        <w:tc>
          <w:tcPr>
            <w:tcW w:w="3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10,891,162</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8,695,396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00" w:type="dxa"/>
            <w:vAlign w:val="bottom"/>
            <w:shd w:val="clear" w:color="auto" w:fill="D6F3E8"/>
          </w:tcPr>
          <w:p>
            <w:pPr>
              <w:ind w:left="340"/>
              <w:spacing w:after="0"/>
              <w:rPr>
                <w:sz w:val="20"/>
                <w:szCs w:val="20"/>
                <w:color w:val="auto"/>
              </w:rPr>
            </w:pPr>
            <w:r>
              <w:rPr>
                <w:rFonts w:ascii="Arial" w:cs="Arial" w:eastAsia="Arial" w:hAnsi="Arial"/>
                <w:sz w:val="17"/>
                <w:szCs w:val="17"/>
                <w:color w:val="auto"/>
              </w:rPr>
              <w:t>Dividends payable</w:t>
            </w:r>
          </w:p>
        </w:tc>
        <w:tc>
          <w:tcPr>
            <w:tcW w:w="2820" w:type="dxa"/>
            <w:vAlign w:val="bottom"/>
            <w:shd w:val="clear" w:color="auto" w:fill="D6F3E8"/>
          </w:tcPr>
          <w:p>
            <w:pPr>
              <w:spacing w:after="0"/>
              <w:rPr>
                <w:sz w:val="22"/>
                <w:szCs w:val="22"/>
                <w:color w:val="auto"/>
              </w:rPr>
            </w:pPr>
          </w:p>
        </w:tc>
        <w:tc>
          <w:tcPr>
            <w:tcW w:w="300" w:type="dxa"/>
            <w:vAlign w:val="bottom"/>
            <w:shd w:val="clear" w:color="auto" w:fill="D6F3E8"/>
          </w:tcPr>
          <w:p>
            <w:pPr>
              <w:spacing w:after="0"/>
              <w:rPr>
                <w:sz w:val="22"/>
                <w:szCs w:val="22"/>
                <w:color w:val="auto"/>
              </w:rPr>
            </w:pPr>
          </w:p>
        </w:tc>
        <w:tc>
          <w:tcPr>
            <w:tcW w:w="110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2,247,686</w:t>
            </w:r>
          </w:p>
        </w:tc>
        <w:tc>
          <w:tcPr>
            <w:tcW w:w="240" w:type="dxa"/>
            <w:vAlign w:val="bottom"/>
            <w:shd w:val="clear" w:color="auto" w:fill="D6F3E8"/>
          </w:tcPr>
          <w:p>
            <w:pPr>
              <w:spacing w:after="0"/>
              <w:rPr>
                <w:sz w:val="22"/>
                <w:szCs w:val="22"/>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7"/>
                <w:szCs w:val="17"/>
                <w:color w:val="auto"/>
              </w:rPr>
              <w:t>2,034,299</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900" w:type="dxa"/>
            <w:vAlign w:val="bottom"/>
          </w:tcPr>
          <w:p>
            <w:pPr>
              <w:ind w:left="340"/>
              <w:spacing w:after="0"/>
              <w:rPr>
                <w:sz w:val="20"/>
                <w:szCs w:val="20"/>
                <w:color w:val="auto"/>
              </w:rPr>
            </w:pPr>
            <w:r>
              <w:rPr>
                <w:rFonts w:ascii="Arial" w:cs="Arial" w:eastAsia="Arial" w:hAnsi="Arial"/>
                <w:sz w:val="17"/>
                <w:szCs w:val="17"/>
                <w:color w:val="auto"/>
              </w:rPr>
              <w:t>Accrued payroll and employee benefits</w:t>
            </w:r>
          </w:p>
        </w:tc>
        <w:tc>
          <w:tcPr>
            <w:tcW w:w="2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5,221,005</w:t>
            </w: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4,426,356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00" w:type="dxa"/>
            <w:vAlign w:val="bottom"/>
            <w:shd w:val="clear" w:color="auto" w:fill="D6F3E8"/>
          </w:tcPr>
          <w:p>
            <w:pPr>
              <w:ind w:left="340"/>
              <w:spacing w:after="0"/>
              <w:rPr>
                <w:sz w:val="20"/>
                <w:szCs w:val="20"/>
                <w:color w:val="auto"/>
              </w:rPr>
            </w:pPr>
            <w:r>
              <w:rPr>
                <w:rFonts w:ascii="Arial" w:cs="Arial" w:eastAsia="Arial" w:hAnsi="Arial"/>
                <w:sz w:val="17"/>
                <w:szCs w:val="17"/>
                <w:color w:val="auto"/>
              </w:rPr>
              <w:t>Container deposits</w:t>
            </w:r>
          </w:p>
        </w:tc>
        <w:tc>
          <w:tcPr>
            <w:tcW w:w="2820" w:type="dxa"/>
            <w:vAlign w:val="bottom"/>
            <w:shd w:val="clear" w:color="auto" w:fill="D6F3E8"/>
          </w:tcPr>
          <w:p>
            <w:pPr>
              <w:spacing w:after="0"/>
              <w:rPr>
                <w:sz w:val="22"/>
                <w:szCs w:val="22"/>
                <w:color w:val="auto"/>
              </w:rPr>
            </w:pPr>
          </w:p>
        </w:tc>
        <w:tc>
          <w:tcPr>
            <w:tcW w:w="300" w:type="dxa"/>
            <w:vAlign w:val="bottom"/>
            <w:shd w:val="clear" w:color="auto" w:fill="D6F3E8"/>
          </w:tcPr>
          <w:p>
            <w:pPr>
              <w:spacing w:after="0"/>
              <w:rPr>
                <w:sz w:val="22"/>
                <w:szCs w:val="22"/>
                <w:color w:val="auto"/>
              </w:rPr>
            </w:pPr>
          </w:p>
        </w:tc>
        <w:tc>
          <w:tcPr>
            <w:tcW w:w="110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991,601</w:t>
            </w:r>
          </w:p>
        </w:tc>
        <w:tc>
          <w:tcPr>
            <w:tcW w:w="240" w:type="dxa"/>
            <w:vAlign w:val="bottom"/>
            <w:shd w:val="clear" w:color="auto" w:fill="D6F3E8"/>
          </w:tcPr>
          <w:p>
            <w:pPr>
              <w:spacing w:after="0"/>
              <w:rPr>
                <w:sz w:val="22"/>
                <w:szCs w:val="22"/>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7"/>
                <w:szCs w:val="17"/>
                <w:color w:val="auto"/>
              </w:rPr>
              <w:t>990,267</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900" w:type="dxa"/>
            <w:vAlign w:val="bottom"/>
          </w:tcPr>
          <w:p>
            <w:pPr>
              <w:ind w:left="340"/>
              <w:spacing w:after="0"/>
              <w:rPr>
                <w:sz w:val="20"/>
                <w:szCs w:val="20"/>
                <w:color w:val="auto"/>
              </w:rPr>
            </w:pPr>
            <w:r>
              <w:rPr>
                <w:rFonts w:ascii="Arial" w:cs="Arial" w:eastAsia="Arial" w:hAnsi="Arial"/>
                <w:sz w:val="17"/>
                <w:szCs w:val="17"/>
                <w:color w:val="auto"/>
              </w:rPr>
              <w:t>Other accruals</w:t>
            </w:r>
          </w:p>
        </w:tc>
        <w:tc>
          <w:tcPr>
            <w:tcW w:w="2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1,380,303</w:t>
            </w: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1,421,409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shd w:val="clear" w:color="auto" w:fill="D6F3E8"/>
          </w:tcPr>
          <w:p>
            <w:pPr>
              <w:ind w:left="660"/>
              <w:spacing w:after="0"/>
              <w:rPr>
                <w:sz w:val="20"/>
                <w:szCs w:val="20"/>
                <w:color w:val="auto"/>
              </w:rPr>
            </w:pPr>
            <w:r>
              <w:rPr>
                <w:rFonts w:ascii="Arial" w:cs="Arial" w:eastAsia="Arial" w:hAnsi="Arial"/>
                <w:sz w:val="17"/>
                <w:szCs w:val="17"/>
                <w:color w:val="auto"/>
              </w:rPr>
              <w:t>Total current liabilities</w:t>
            </w:r>
          </w:p>
        </w:tc>
        <w:tc>
          <w:tcPr>
            <w:tcW w:w="2820" w:type="dxa"/>
            <w:vAlign w:val="bottom"/>
            <w:shd w:val="clear" w:color="auto" w:fill="D6F3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vMerge w:val="continue"/>
            <w:shd w:val="clear" w:color="auto" w:fill="D6F3E8"/>
          </w:tcPr>
          <w:p>
            <w:pPr>
              <w:spacing w:after="0"/>
              <w:rPr>
                <w:sz w:val="21"/>
                <w:szCs w:val="21"/>
                <w:color w:val="auto"/>
              </w:rPr>
            </w:pPr>
          </w:p>
        </w:tc>
        <w:tc>
          <w:tcPr>
            <w:tcW w:w="2820" w:type="dxa"/>
            <w:vAlign w:val="bottom"/>
            <w:shd w:val="clear" w:color="auto" w:fill="D6F3E8"/>
          </w:tcPr>
          <w:p>
            <w:pPr>
              <w:spacing w:after="0"/>
              <w:rPr>
                <w:sz w:val="21"/>
                <w:szCs w:val="21"/>
                <w:color w:val="auto"/>
              </w:rPr>
            </w:pPr>
          </w:p>
        </w:tc>
        <w:tc>
          <w:tcPr>
            <w:tcW w:w="300" w:type="dxa"/>
            <w:vAlign w:val="bottom"/>
            <w:shd w:val="clear" w:color="auto" w:fill="D6F3E8"/>
          </w:tcPr>
          <w:p>
            <w:pPr>
              <w:spacing w:after="0"/>
              <w:rPr>
                <w:sz w:val="21"/>
                <w:szCs w:val="21"/>
                <w:color w:val="auto"/>
              </w:rPr>
            </w:pPr>
          </w:p>
        </w:tc>
        <w:tc>
          <w:tcPr>
            <w:tcW w:w="110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20,731,757</w:t>
            </w:r>
          </w:p>
        </w:tc>
        <w:tc>
          <w:tcPr>
            <w:tcW w:w="240" w:type="dxa"/>
            <w:vAlign w:val="bottom"/>
            <w:shd w:val="clear" w:color="auto" w:fill="D6F3E8"/>
          </w:tcPr>
          <w:p>
            <w:pPr>
              <w:spacing w:after="0"/>
              <w:rPr>
                <w:sz w:val="21"/>
                <w:szCs w:val="21"/>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17,567,727</w:t>
            </w:r>
          </w:p>
        </w:tc>
        <w:tc>
          <w:tcPr>
            <w:tcW w:w="1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442"/>
        </w:trPr>
        <w:tc>
          <w:tcPr>
            <w:tcW w:w="590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138,673</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127,644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9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900" w:type="dxa"/>
            <w:vAlign w:val="bottom"/>
            <w:shd w:val="clear" w:color="auto" w:fill="D6F3E8"/>
          </w:tcPr>
          <w:p>
            <w:pPr>
              <w:spacing w:after="0"/>
              <w:rPr>
                <w:sz w:val="20"/>
                <w:szCs w:val="20"/>
                <w:color w:val="auto"/>
              </w:rPr>
            </w:pPr>
            <w:r>
              <w:rPr>
                <w:rFonts w:ascii="Arial" w:cs="Arial" w:eastAsia="Arial" w:hAnsi="Arial"/>
                <w:sz w:val="17"/>
                <w:szCs w:val="17"/>
                <w:color w:val="auto"/>
              </w:rPr>
              <w:t>DEFERRED INCOME TAXES</w:t>
            </w:r>
          </w:p>
        </w:tc>
        <w:tc>
          <w:tcPr>
            <w:tcW w:w="2820" w:type="dxa"/>
            <w:vAlign w:val="bottom"/>
            <w:shd w:val="clear" w:color="auto" w:fill="D6F3E8"/>
          </w:tcPr>
          <w:p>
            <w:pPr>
              <w:spacing w:after="0"/>
              <w:rPr>
                <w:sz w:val="22"/>
                <w:szCs w:val="22"/>
                <w:color w:val="auto"/>
              </w:rPr>
            </w:pPr>
          </w:p>
        </w:tc>
        <w:tc>
          <w:tcPr>
            <w:tcW w:w="300" w:type="dxa"/>
            <w:vAlign w:val="bottom"/>
            <w:shd w:val="clear" w:color="auto" w:fill="D6F3E8"/>
          </w:tcPr>
          <w:p>
            <w:pPr>
              <w:spacing w:after="0"/>
              <w:rPr>
                <w:sz w:val="22"/>
                <w:szCs w:val="22"/>
                <w:color w:val="auto"/>
              </w:rPr>
            </w:pPr>
          </w:p>
        </w:tc>
        <w:tc>
          <w:tcPr>
            <w:tcW w:w="110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420,521</w:t>
            </w:r>
          </w:p>
        </w:tc>
        <w:tc>
          <w:tcPr>
            <w:tcW w:w="240" w:type="dxa"/>
            <w:vAlign w:val="bottom"/>
            <w:shd w:val="clear" w:color="auto" w:fill="D6F3E8"/>
          </w:tcPr>
          <w:p>
            <w:pPr>
              <w:spacing w:after="0"/>
              <w:rPr>
                <w:sz w:val="22"/>
                <w:szCs w:val="22"/>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7"/>
                <w:szCs w:val="17"/>
                <w:color w:val="auto"/>
              </w:rPr>
              <w:t>265,324</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1" w:right="239" w:bottom="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COMMITMENTS AND CONTINGENCIES (Note 7)</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SHAREHOLDERS’ EQUITY:</w:t>
      </w:r>
    </w:p>
    <w:p>
      <w:pPr>
        <w:spacing w:after="0" w:line="60" w:lineRule="exact"/>
        <w:rPr>
          <w:sz w:val="20"/>
          <w:szCs w:val="20"/>
          <w:color w:val="auto"/>
        </w:rPr>
      </w:pPr>
    </w:p>
    <w:p>
      <w:pPr>
        <w:ind w:left="540" w:right="200" w:hanging="217"/>
        <w:spacing w:after="0" w:line="288" w:lineRule="auto"/>
        <w:rPr>
          <w:sz w:val="20"/>
          <w:szCs w:val="20"/>
          <w:color w:val="auto"/>
        </w:rPr>
      </w:pPr>
      <w:r>
        <w:rPr>
          <w:rFonts w:ascii="Arial" w:cs="Arial" w:eastAsia="Arial" w:hAnsi="Arial"/>
          <w:sz w:val="17"/>
          <w:szCs w:val="17"/>
          <w:color w:val="auto"/>
        </w:rPr>
        <w:t>Common stock; authorized: 30,000,000 shares of $.05 par value; 10,171,496 shares issued and outstanding for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7255" cy="161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7255" cy="16192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7"/>
          <w:szCs w:val="17"/>
          <w:color w:val="auto"/>
        </w:rPr>
        <w:t>Additional paid-in capital</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7255" cy="161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7255" cy="161925"/>
                    </a:xfrm>
                    <a:prstGeom prst="rect">
                      <a:avLst/>
                    </a:prstGeom>
                    <a:noFill/>
                  </pic:spPr>
                </pic:pic>
              </a:graphicData>
            </a:graphic>
          </wp:anchor>
        </w:drawing>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Retained earnings</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7255" cy="1790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7255" cy="179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20"/>
        <w:spacing w:after="0"/>
        <w:tabs>
          <w:tab w:leader="none" w:pos="2000" w:val="left"/>
        </w:tabs>
        <w:rPr>
          <w:sz w:val="20"/>
          <w:szCs w:val="20"/>
          <w:color w:val="auto"/>
        </w:rPr>
      </w:pPr>
      <w:r>
        <w:rPr>
          <w:rFonts w:ascii="Arial" w:cs="Arial" w:eastAsia="Arial" w:hAnsi="Arial"/>
          <w:sz w:val="17"/>
          <w:szCs w:val="17"/>
          <w:color w:val="auto"/>
        </w:rPr>
        <w:t>508,575</w:t>
      </w:r>
      <w:r>
        <w:rPr>
          <w:sz w:val="20"/>
          <w:szCs w:val="20"/>
          <w:color w:val="auto"/>
        </w:rPr>
        <w:tab/>
      </w:r>
      <w:r>
        <w:rPr>
          <w:rFonts w:ascii="Arial" w:cs="Arial" w:eastAsia="Arial" w:hAnsi="Arial"/>
          <w:sz w:val="17"/>
          <w:szCs w:val="17"/>
          <w:color w:val="auto"/>
        </w:rPr>
        <w:t>508,575</w:t>
      </w:r>
    </w:p>
    <w:p>
      <w:pPr>
        <w:spacing w:after="0" w:line="60"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16"/>
          <w:szCs w:val="16"/>
          <w:color w:val="auto"/>
        </w:rPr>
        <w:t>37,242,090</w:t>
      </w:r>
      <w:r>
        <w:rPr>
          <w:sz w:val="20"/>
          <w:szCs w:val="20"/>
          <w:color w:val="auto"/>
        </w:rPr>
        <w:tab/>
      </w:r>
      <w:r>
        <w:rPr>
          <w:rFonts w:ascii="Arial" w:cs="Arial" w:eastAsia="Arial" w:hAnsi="Arial"/>
          <w:sz w:val="16"/>
          <w:szCs w:val="16"/>
          <w:color w:val="auto"/>
        </w:rPr>
        <w:t>37,056,103</w:t>
      </w:r>
    </w:p>
    <w:p>
      <w:pPr>
        <w:spacing w:after="0" w:line="71" w:lineRule="exact"/>
        <w:rPr>
          <w:sz w:val="20"/>
          <w:szCs w:val="20"/>
          <w:color w:val="auto"/>
        </w:rPr>
      </w:pPr>
    </w:p>
    <w:p>
      <w:pPr>
        <w:jc w:val="both"/>
        <w:ind w:left="760"/>
        <w:spacing w:after="0"/>
        <w:tabs>
          <w:tab w:leader="none" w:pos="1940" w:val="left"/>
        </w:tabs>
        <w:rPr>
          <w:sz w:val="20"/>
          <w:szCs w:val="20"/>
          <w:color w:val="auto"/>
        </w:rPr>
      </w:pPr>
      <w:r>
        <w:rPr>
          <w:rFonts w:ascii="Arial" w:cs="Arial" w:eastAsia="Arial" w:hAnsi="Arial"/>
          <w:sz w:val="17"/>
          <w:szCs w:val="17"/>
          <w:color w:val="auto"/>
        </w:rPr>
        <w:t>(13,605)</w:t>
      </w:r>
      <w:r>
        <w:rPr>
          <w:sz w:val="20"/>
          <w:szCs w:val="20"/>
          <w:color w:val="auto"/>
        </w:rPr>
        <w:tab/>
      </w:r>
      <w:r>
        <w:rPr>
          <w:rFonts w:ascii="Arial" w:cs="Arial" w:eastAsia="Arial" w:hAnsi="Arial"/>
          <w:sz w:val="17"/>
          <w:szCs w:val="17"/>
          <w:color w:val="auto"/>
        </w:rPr>
        <w:t>(125,754)</w:t>
      </w:r>
    </w:p>
    <w:p>
      <w:pPr>
        <w:spacing w:after="0" w:line="60"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16"/>
          <w:szCs w:val="16"/>
          <w:color w:val="auto"/>
        </w:rPr>
        <w:t>42,240,583</w:t>
      </w:r>
      <w:r>
        <w:rPr>
          <w:sz w:val="20"/>
          <w:szCs w:val="20"/>
          <w:color w:val="auto"/>
        </w:rPr>
        <w:tab/>
      </w:r>
      <w:r>
        <w:rPr>
          <w:rFonts w:ascii="Arial" w:cs="Arial" w:eastAsia="Arial" w:hAnsi="Arial"/>
          <w:sz w:val="16"/>
          <w:szCs w:val="16"/>
          <w:color w:val="auto"/>
        </w:rPr>
        <w:t>38,657,115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16389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38935" cy="8255"/>
                    </a:xfrm>
                    <a:prstGeom prst="rect">
                      <a:avLst/>
                    </a:prstGeom>
                    <a:noFill/>
                  </pic:spPr>
                </pic:pic>
              </a:graphicData>
            </a:graphic>
          </wp:anchor>
        </w:drawing>
      </w:r>
    </w:p>
    <w:p>
      <w:pPr>
        <w:spacing w:after="0" w:line="65" w:lineRule="exact"/>
        <w:rPr>
          <w:sz w:val="20"/>
          <w:szCs w:val="20"/>
          <w:color w:val="auto"/>
        </w:rPr>
      </w:pPr>
    </w:p>
    <w:p>
      <w:pPr>
        <w:ind w:right="120" w:firstLine="504"/>
        <w:spacing w:after="0" w:line="362" w:lineRule="auto"/>
        <w:rPr>
          <w:sz w:val="20"/>
          <w:szCs w:val="20"/>
          <w:color w:val="auto"/>
        </w:rPr>
      </w:pPr>
      <w:r>
        <w:rPr>
          <w:rFonts w:ascii="Arial" w:cs="Arial" w:eastAsia="Arial" w:hAnsi="Arial"/>
          <w:sz w:val="17"/>
          <w:szCs w:val="17"/>
          <w:color w:val="auto"/>
        </w:rPr>
        <w:t xml:space="preserve">79,977,643 76,096,039 $ 101,268,594 </w:t>
      </w:r>
      <w:r>
        <w:rPr>
          <w:rFonts w:ascii="Arial" w:cs="Arial" w:eastAsia="Arial" w:hAnsi="Arial"/>
          <w:sz w:val="17"/>
          <w:szCs w:val="17"/>
          <w:u w:val="single" w:color="auto"/>
          <w:color w:val="auto"/>
        </w:rPr>
        <w:t>$ 94,056,734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-43815</wp:posOffset>
            </wp:positionV>
            <wp:extent cx="16389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38935" cy="8255"/>
                    </a:xfrm>
                    <a:prstGeom prst="rect">
                      <a:avLst/>
                    </a:prstGeom>
                    <a:noFill/>
                  </pic:spPr>
                </pic:pic>
              </a:graphicData>
            </a:graphic>
          </wp:anchor>
        </w:drawing>
      </w:r>
    </w:p>
    <w:p>
      <w:pPr>
        <w:spacing w:after="0" w:line="150" w:lineRule="exact"/>
        <w:rPr>
          <w:sz w:val="20"/>
          <w:szCs w:val="20"/>
          <w:color w:val="auto"/>
        </w:rPr>
      </w:pPr>
    </w:p>
    <w:p>
      <w:pPr>
        <w:sectPr>
          <w:pgSz w:w="11900" w:h="16838" w:orient="portrait"/>
          <w:cols w:equalWidth="0" w:num="2">
            <w:col w:w="8000" w:space="720"/>
            <w:col w:w="2700"/>
          </w:cols>
          <w:pgMar w:left="240" w:top="171" w:right="239" w:bottom="0" w:gutter="0" w:footer="0" w:header="0"/>
          <w:type w:val="continuous"/>
        </w:sectPr>
      </w:pPr>
    </w:p>
    <w:p>
      <w:pPr>
        <w:spacing w:after="0"/>
        <w:rPr>
          <w:sz w:val="20"/>
          <w:szCs w:val="20"/>
          <w:color w:val="auto"/>
        </w:rPr>
      </w:pPr>
      <w:r>
        <w:rPr>
          <w:rFonts w:ascii="Arial" w:cs="Arial" w:eastAsia="Arial" w:hAnsi="Arial"/>
          <w:sz w:val="17"/>
          <w:szCs w:val="17"/>
          <w:color w:val="auto"/>
        </w:rPr>
        <w:t>See accompanying notes to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HAWKINS,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7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2"/>
              </w:rPr>
              <w:t>Fiscal</w:t>
            </w:r>
          </w:p>
        </w:tc>
        <w:tc>
          <w:tcPr>
            <w:tcW w:w="280" w:type="dxa"/>
            <w:vAlign w:val="bottom"/>
          </w:tcPr>
          <w:p>
            <w:pPr>
              <w:spacing w:after="0"/>
              <w:rPr>
                <w:sz w:val="12"/>
                <w:szCs w:val="12"/>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2"/>
              </w:rPr>
              <w:t>Fiscal</w:t>
            </w:r>
          </w:p>
        </w:tc>
        <w:tc>
          <w:tcPr>
            <w:tcW w:w="300" w:type="dxa"/>
            <w:vAlign w:val="bottom"/>
          </w:tcPr>
          <w:p>
            <w:pPr>
              <w:spacing w:after="0"/>
              <w:rPr>
                <w:sz w:val="12"/>
                <w:szCs w:val="12"/>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2"/>
              </w:rPr>
              <w:t>Fiscal</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480"/>
              <w:spacing w:after="0" w:line="148" w:lineRule="exact"/>
              <w:rPr>
                <w:sz w:val="20"/>
                <w:szCs w:val="20"/>
                <w:color w:val="auto"/>
              </w:rPr>
            </w:pPr>
            <w:r>
              <w:rPr>
                <w:rFonts w:ascii="Arial" w:cs="Arial" w:eastAsia="Arial" w:hAnsi="Arial"/>
                <w:sz w:val="13"/>
                <w:szCs w:val="13"/>
                <w:b w:val="1"/>
                <w:bCs w:val="1"/>
                <w:color w:val="auto"/>
                <w:w w:val="95"/>
              </w:rPr>
              <w:t>Year Ended</w:t>
            </w:r>
          </w:p>
        </w:tc>
        <w:tc>
          <w:tcPr>
            <w:tcW w:w="280" w:type="dxa"/>
            <w:vAlign w:val="bottom"/>
          </w:tcPr>
          <w:p>
            <w:pPr>
              <w:spacing w:after="0"/>
              <w:rPr>
                <w:sz w:val="12"/>
                <w:szCs w:val="12"/>
                <w:color w:val="auto"/>
              </w:rPr>
            </w:pPr>
          </w:p>
        </w:tc>
        <w:tc>
          <w:tcPr>
            <w:tcW w:w="1640" w:type="dxa"/>
            <w:vAlign w:val="bottom"/>
            <w:gridSpan w:val="2"/>
          </w:tcPr>
          <w:p>
            <w:pPr>
              <w:jc w:val="center"/>
              <w:ind w:right="480"/>
              <w:spacing w:after="0" w:line="148" w:lineRule="exact"/>
              <w:rPr>
                <w:sz w:val="20"/>
                <w:szCs w:val="20"/>
                <w:color w:val="auto"/>
              </w:rPr>
            </w:pPr>
            <w:r>
              <w:rPr>
                <w:rFonts w:ascii="Arial" w:cs="Arial" w:eastAsia="Arial" w:hAnsi="Arial"/>
                <w:sz w:val="13"/>
                <w:szCs w:val="13"/>
                <w:b w:val="1"/>
                <w:bCs w:val="1"/>
                <w:color w:val="auto"/>
                <w:w w:val="95"/>
              </w:rPr>
              <w:t>Year Ended</w:t>
            </w:r>
          </w:p>
        </w:tc>
        <w:tc>
          <w:tcPr>
            <w:tcW w:w="300" w:type="dxa"/>
            <w:vAlign w:val="bottom"/>
          </w:tcPr>
          <w:p>
            <w:pPr>
              <w:spacing w:after="0"/>
              <w:rPr>
                <w:sz w:val="12"/>
                <w:szCs w:val="12"/>
                <w:color w:val="auto"/>
              </w:rPr>
            </w:pPr>
          </w:p>
        </w:tc>
        <w:tc>
          <w:tcPr>
            <w:tcW w:w="1640" w:type="dxa"/>
            <w:vAlign w:val="bottom"/>
            <w:gridSpan w:val="2"/>
          </w:tcPr>
          <w:p>
            <w:pPr>
              <w:jc w:val="center"/>
              <w:ind w:right="560"/>
              <w:spacing w:after="0" w:line="148" w:lineRule="exact"/>
              <w:rPr>
                <w:sz w:val="20"/>
                <w:szCs w:val="20"/>
                <w:color w:val="auto"/>
              </w:rPr>
            </w:pPr>
            <w:r>
              <w:rPr>
                <w:rFonts w:ascii="Arial" w:cs="Arial" w:eastAsia="Arial" w:hAnsi="Arial"/>
                <w:sz w:val="13"/>
                <w:szCs w:val="13"/>
                <w:b w:val="1"/>
                <w:bCs w:val="1"/>
                <w:color w:val="auto"/>
                <w:w w:val="95"/>
              </w:rPr>
              <w:t>Year Ended</w:t>
            </w: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6"/>
              </w:rPr>
              <w:t>April 1, 2007</w:t>
            </w:r>
          </w:p>
        </w:tc>
        <w:tc>
          <w:tcPr>
            <w:tcW w:w="280" w:type="dxa"/>
            <w:vAlign w:val="bottom"/>
          </w:tcPr>
          <w:p>
            <w:pPr>
              <w:spacing w:after="0"/>
              <w:rPr>
                <w:sz w:val="13"/>
                <w:szCs w:val="13"/>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6"/>
              </w:rPr>
              <w:t>April 2, 2006</w:t>
            </w:r>
          </w:p>
        </w:tc>
        <w:tc>
          <w:tcPr>
            <w:tcW w:w="300" w:type="dxa"/>
            <w:vAlign w:val="bottom"/>
          </w:tcPr>
          <w:p>
            <w:pPr>
              <w:spacing w:after="0"/>
              <w:rPr>
                <w:sz w:val="13"/>
                <w:szCs w:val="13"/>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6"/>
              </w:rPr>
              <w:t>April 3, 2005</w:t>
            </w:r>
          </w:p>
        </w:tc>
        <w:tc>
          <w:tcPr>
            <w:tcW w:w="0" w:type="dxa"/>
            <w:vAlign w:val="bottom"/>
          </w:tcPr>
          <w:p>
            <w:pPr>
              <w:spacing w:after="0"/>
              <w:rPr>
                <w:sz w:val="1"/>
                <w:szCs w:val="1"/>
                <w:color w:val="auto"/>
              </w:rPr>
            </w:pPr>
          </w:p>
        </w:tc>
      </w:tr>
      <w:tr>
        <w:trPr>
          <w:trHeight w:val="182"/>
        </w:trPr>
        <w:tc>
          <w:tcPr>
            <w:tcW w:w="4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320" w:type="dxa"/>
            <w:vAlign w:val="bottom"/>
            <w:shd w:val="clear" w:color="auto" w:fill="D6F3E8"/>
          </w:tcPr>
          <w:p>
            <w:pPr>
              <w:spacing w:after="0"/>
              <w:rPr>
                <w:sz w:val="20"/>
                <w:szCs w:val="20"/>
                <w:color w:val="auto"/>
              </w:rPr>
            </w:pPr>
            <w:r>
              <w:rPr>
                <w:rFonts w:ascii="Arial" w:cs="Arial" w:eastAsia="Arial" w:hAnsi="Arial"/>
                <w:sz w:val="17"/>
                <w:szCs w:val="17"/>
                <w:color w:val="auto"/>
              </w:rPr>
              <w:t>Sales</w:t>
            </w:r>
          </w:p>
        </w:tc>
        <w:tc>
          <w:tcPr>
            <w:tcW w:w="148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D6F3E8"/>
          </w:tcPr>
          <w:p>
            <w:pPr>
              <w:jc w:val="right"/>
              <w:ind w:right="220"/>
              <w:spacing w:after="0"/>
              <w:rPr>
                <w:sz w:val="20"/>
                <w:szCs w:val="20"/>
                <w:color w:val="auto"/>
              </w:rPr>
            </w:pPr>
            <w:r>
              <w:rPr>
                <w:rFonts w:ascii="Arial" w:cs="Arial" w:eastAsia="Arial" w:hAnsi="Arial"/>
                <w:sz w:val="17"/>
                <w:szCs w:val="17"/>
                <w:color w:val="auto"/>
              </w:rPr>
              <w:t>160,405,080</w:t>
            </w:r>
          </w:p>
        </w:tc>
        <w:tc>
          <w:tcPr>
            <w:tcW w:w="280" w:type="dxa"/>
            <w:vAlign w:val="bottom"/>
            <w:shd w:val="clear" w:color="auto" w:fill="D6F3E8"/>
          </w:tcPr>
          <w:p>
            <w:pPr>
              <w:jc w:val="right"/>
              <w:ind w:right="12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143,331,250</w:t>
            </w:r>
          </w:p>
        </w:tc>
        <w:tc>
          <w:tcPr>
            <w:tcW w:w="220" w:type="dxa"/>
            <w:vAlign w:val="bottom"/>
            <w:shd w:val="clear" w:color="auto" w:fill="D6F3E8"/>
          </w:tcPr>
          <w:p>
            <w:pPr>
              <w:spacing w:after="0"/>
              <w:rPr>
                <w:sz w:val="22"/>
                <w:szCs w:val="22"/>
                <w:color w:val="auto"/>
              </w:rPr>
            </w:pPr>
          </w:p>
        </w:tc>
        <w:tc>
          <w:tcPr>
            <w:tcW w:w="300" w:type="dxa"/>
            <w:vAlign w:val="bottom"/>
            <w:shd w:val="clear" w:color="auto" w:fill="D6F3E8"/>
          </w:tcPr>
          <w:p>
            <w:pPr>
              <w:jc w:val="right"/>
              <w:ind w:right="113"/>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115,280,312</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4320" w:type="dxa"/>
            <w:vAlign w:val="bottom"/>
          </w:tcPr>
          <w:p>
            <w:pPr>
              <w:spacing w:after="0"/>
              <w:rPr>
                <w:sz w:val="20"/>
                <w:szCs w:val="20"/>
                <w:color w:val="auto"/>
              </w:rPr>
            </w:pPr>
            <w:r>
              <w:rPr>
                <w:rFonts w:ascii="Arial" w:cs="Arial" w:eastAsia="Arial" w:hAnsi="Arial"/>
                <w:sz w:val="17"/>
                <w:szCs w:val="17"/>
                <w:color w:val="auto"/>
              </w:rPr>
              <w:t>Cost of sales</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(123,168,103)</w:t>
            </w:r>
          </w:p>
        </w:tc>
        <w:tc>
          <w:tcPr>
            <w:tcW w:w="280" w:type="dxa"/>
            <w:vAlign w:val="bottom"/>
          </w:tcPr>
          <w:p>
            <w:pPr>
              <w:spacing w:after="0"/>
              <w:rPr>
                <w:sz w:val="24"/>
                <w:szCs w:val="24"/>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(110,112,108)</w:t>
            </w:r>
          </w:p>
        </w:tc>
        <w:tc>
          <w:tcPr>
            <w:tcW w:w="300" w:type="dxa"/>
            <w:vAlign w:val="bottom"/>
          </w:tcPr>
          <w:p>
            <w:pPr>
              <w:spacing w:after="0"/>
              <w:rPr>
                <w:sz w:val="24"/>
                <w:szCs w:val="24"/>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(85,674,127)</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320" w:type="dxa"/>
            <w:vAlign w:val="bottom"/>
            <w:shd w:val="clear" w:color="auto" w:fill="D6F3E8"/>
          </w:tcPr>
          <w:p>
            <w:pPr>
              <w:spacing w:after="0"/>
              <w:rPr>
                <w:sz w:val="20"/>
                <w:szCs w:val="20"/>
                <w:color w:val="auto"/>
              </w:rPr>
            </w:pPr>
            <w:r>
              <w:rPr>
                <w:rFonts w:ascii="Arial" w:cs="Arial" w:eastAsia="Arial" w:hAnsi="Arial"/>
                <w:sz w:val="17"/>
                <w:szCs w:val="17"/>
                <w:color w:val="auto"/>
              </w:rPr>
              <w:t>Gross margin</w:t>
            </w:r>
          </w:p>
        </w:tc>
        <w:tc>
          <w:tcPr>
            <w:tcW w:w="1200" w:type="dxa"/>
            <w:vAlign w:val="bottom"/>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1640" w:type="dxa"/>
            <w:vAlign w:val="bottom"/>
            <w:gridSpan w:val="2"/>
            <w:shd w:val="clear" w:color="auto" w:fill="D6F3E8"/>
          </w:tcPr>
          <w:p>
            <w:pPr>
              <w:jc w:val="right"/>
              <w:ind w:right="220"/>
              <w:spacing w:after="0"/>
              <w:rPr>
                <w:sz w:val="20"/>
                <w:szCs w:val="20"/>
                <w:color w:val="auto"/>
              </w:rPr>
            </w:pPr>
            <w:r>
              <w:rPr>
                <w:rFonts w:ascii="Arial" w:cs="Arial" w:eastAsia="Arial" w:hAnsi="Arial"/>
                <w:sz w:val="17"/>
                <w:szCs w:val="17"/>
                <w:color w:val="auto"/>
              </w:rPr>
              <w:t>37,236,977</w:t>
            </w:r>
          </w:p>
        </w:tc>
        <w:tc>
          <w:tcPr>
            <w:tcW w:w="280" w:type="dxa"/>
            <w:vAlign w:val="bottom"/>
            <w:shd w:val="clear" w:color="auto" w:fill="D6F3E8"/>
          </w:tcPr>
          <w:p>
            <w:pPr>
              <w:spacing w:after="0"/>
              <w:rPr>
                <w:sz w:val="22"/>
                <w:szCs w:val="22"/>
                <w:color w:val="auto"/>
              </w:rPr>
            </w:pPr>
          </w:p>
        </w:tc>
        <w:tc>
          <w:tcPr>
            <w:tcW w:w="1420" w:type="dxa"/>
            <w:vAlign w:val="bottom"/>
            <w:shd w:val="clear" w:color="auto" w:fill="D6F3E8"/>
          </w:tcPr>
          <w:p>
            <w:pPr>
              <w:jc w:val="right"/>
              <w:spacing w:after="0"/>
              <w:rPr>
                <w:sz w:val="20"/>
                <w:szCs w:val="20"/>
                <w:color w:val="auto"/>
              </w:rPr>
            </w:pPr>
            <w:r>
              <w:rPr>
                <w:rFonts w:ascii="Arial" w:cs="Arial" w:eastAsia="Arial" w:hAnsi="Arial"/>
                <w:sz w:val="17"/>
                <w:szCs w:val="17"/>
                <w:color w:val="auto"/>
              </w:rPr>
              <w:t>33,219,142</w:t>
            </w:r>
          </w:p>
        </w:tc>
        <w:tc>
          <w:tcPr>
            <w:tcW w:w="220" w:type="dxa"/>
            <w:vAlign w:val="bottom"/>
            <w:shd w:val="clear" w:color="auto" w:fill="D6F3E8"/>
          </w:tcPr>
          <w:p>
            <w:pPr>
              <w:spacing w:after="0"/>
              <w:rPr>
                <w:sz w:val="22"/>
                <w:szCs w:val="22"/>
                <w:color w:val="auto"/>
              </w:rPr>
            </w:pPr>
          </w:p>
        </w:tc>
        <w:tc>
          <w:tcPr>
            <w:tcW w:w="300" w:type="dxa"/>
            <w:vAlign w:val="bottom"/>
            <w:shd w:val="clear" w:color="auto" w:fill="D6F3E8"/>
          </w:tcPr>
          <w:p>
            <w:pPr>
              <w:spacing w:after="0"/>
              <w:rPr>
                <w:sz w:val="22"/>
                <w:szCs w:val="22"/>
                <w:color w:val="auto"/>
              </w:rPr>
            </w:pPr>
          </w:p>
        </w:tc>
        <w:tc>
          <w:tcPr>
            <w:tcW w:w="1420" w:type="dxa"/>
            <w:vAlign w:val="bottom"/>
            <w:shd w:val="clear" w:color="auto" w:fill="D6F3E8"/>
          </w:tcPr>
          <w:p>
            <w:pPr>
              <w:jc w:val="right"/>
              <w:spacing w:after="0"/>
              <w:rPr>
                <w:sz w:val="20"/>
                <w:szCs w:val="20"/>
                <w:color w:val="auto"/>
              </w:rPr>
            </w:pPr>
            <w:r>
              <w:rPr>
                <w:rFonts w:ascii="Arial" w:cs="Arial" w:eastAsia="Arial" w:hAnsi="Arial"/>
                <w:sz w:val="17"/>
                <w:szCs w:val="17"/>
                <w:color w:val="auto"/>
              </w:rPr>
              <w:t>29,606,185</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42"/>
        </w:trPr>
        <w:tc>
          <w:tcPr>
            <w:tcW w:w="432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(25,972,636)</w:t>
            </w:r>
          </w:p>
        </w:tc>
        <w:tc>
          <w:tcPr>
            <w:tcW w:w="280" w:type="dxa"/>
            <w:vAlign w:val="bottom"/>
          </w:tcPr>
          <w:p>
            <w:pPr>
              <w:spacing w:after="0"/>
              <w:rPr>
                <w:sz w:val="24"/>
                <w:szCs w:val="24"/>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(21,513,444)</w:t>
            </w:r>
          </w:p>
        </w:tc>
        <w:tc>
          <w:tcPr>
            <w:tcW w:w="300" w:type="dxa"/>
            <w:vAlign w:val="bottom"/>
          </w:tcPr>
          <w:p>
            <w:pPr>
              <w:spacing w:after="0"/>
              <w:rPr>
                <w:sz w:val="24"/>
                <w:szCs w:val="24"/>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(18,089,829)</w:t>
            </w: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320" w:type="dxa"/>
            <w:vAlign w:val="bottom"/>
            <w:shd w:val="clear" w:color="auto" w:fill="D6F3E8"/>
          </w:tcPr>
          <w:p>
            <w:pPr>
              <w:spacing w:after="0"/>
              <w:rPr>
                <w:sz w:val="20"/>
                <w:szCs w:val="20"/>
                <w:color w:val="auto"/>
              </w:rPr>
            </w:pPr>
            <w:r>
              <w:rPr>
                <w:rFonts w:ascii="Arial" w:cs="Arial" w:eastAsia="Arial" w:hAnsi="Arial"/>
                <w:sz w:val="17"/>
                <w:szCs w:val="17"/>
                <w:color w:val="auto"/>
              </w:rPr>
              <w:t>Litigation settlement (Note 7)</w:t>
            </w:r>
          </w:p>
        </w:tc>
        <w:tc>
          <w:tcPr>
            <w:tcW w:w="1200" w:type="dxa"/>
            <w:vAlign w:val="bottom"/>
            <w:shd w:val="clear" w:color="auto" w:fill="D6F3E8"/>
          </w:tcPr>
          <w:p>
            <w:pPr>
              <w:spacing w:after="0"/>
              <w:rPr>
                <w:sz w:val="22"/>
                <w:szCs w:val="22"/>
                <w:color w:val="auto"/>
              </w:rPr>
            </w:pPr>
          </w:p>
        </w:tc>
        <w:tc>
          <w:tcPr>
            <w:tcW w:w="280" w:type="dxa"/>
            <w:vAlign w:val="bottom"/>
            <w:tcBorders>
              <w:bottom w:val="single" w:sz="8" w:color="auto"/>
            </w:tcBorders>
            <w:shd w:val="clear" w:color="auto" w:fill="D6F3E8"/>
          </w:tcPr>
          <w:p>
            <w:pPr>
              <w:spacing w:after="0"/>
              <w:rPr>
                <w:sz w:val="22"/>
                <w:szCs w:val="22"/>
                <w:color w:val="auto"/>
              </w:rPr>
            </w:pPr>
          </w:p>
        </w:tc>
        <w:tc>
          <w:tcPr>
            <w:tcW w:w="1420" w:type="dxa"/>
            <w:vAlign w:val="bottom"/>
            <w:tcBorders>
              <w:bottom w:val="single" w:sz="8" w:color="auto"/>
            </w:tcBorders>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280" w:type="dxa"/>
            <w:vAlign w:val="bottom"/>
            <w:tcBorders>
              <w:bottom w:val="single" w:sz="8" w:color="auto"/>
            </w:tcBorders>
            <w:shd w:val="clear" w:color="auto" w:fill="D6F3E8"/>
          </w:tcPr>
          <w:p>
            <w:pPr>
              <w:spacing w:after="0"/>
              <w:rPr>
                <w:sz w:val="22"/>
                <w:szCs w:val="22"/>
                <w:color w:val="auto"/>
              </w:rPr>
            </w:pPr>
          </w:p>
        </w:tc>
        <w:tc>
          <w:tcPr>
            <w:tcW w:w="14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7"/>
                <w:szCs w:val="17"/>
                <w:color w:val="auto"/>
              </w:rPr>
              <w:t>1,056,520</w:t>
            </w:r>
          </w:p>
        </w:tc>
        <w:tc>
          <w:tcPr>
            <w:tcW w:w="220" w:type="dxa"/>
            <w:vAlign w:val="bottom"/>
            <w:shd w:val="clear" w:color="auto" w:fill="D6F3E8"/>
          </w:tcPr>
          <w:p>
            <w:pPr>
              <w:spacing w:after="0"/>
              <w:rPr>
                <w:sz w:val="22"/>
                <w:szCs w:val="22"/>
                <w:color w:val="auto"/>
              </w:rPr>
            </w:pPr>
          </w:p>
        </w:tc>
        <w:tc>
          <w:tcPr>
            <w:tcW w:w="300" w:type="dxa"/>
            <w:vAlign w:val="bottom"/>
            <w:tcBorders>
              <w:bottom w:val="single" w:sz="8" w:color="auto"/>
            </w:tcBorders>
            <w:shd w:val="clear" w:color="auto" w:fill="D6F3E8"/>
          </w:tcPr>
          <w:p>
            <w:pPr>
              <w:spacing w:after="0"/>
              <w:rPr>
                <w:sz w:val="22"/>
                <w:szCs w:val="22"/>
                <w:color w:val="auto"/>
              </w:rPr>
            </w:pPr>
          </w:p>
        </w:tc>
        <w:tc>
          <w:tcPr>
            <w:tcW w:w="1420" w:type="dxa"/>
            <w:vAlign w:val="bottom"/>
            <w:tcBorders>
              <w:bottom w:val="single" w:sz="8" w:color="auto"/>
            </w:tcBorders>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36"/>
        </w:trPr>
        <w:tc>
          <w:tcPr>
            <w:tcW w:w="432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7"/>
                <w:szCs w:val="17"/>
                <w:color w:val="auto"/>
              </w:rPr>
              <w:t>11,264,341</w:t>
            </w:r>
          </w:p>
        </w:tc>
        <w:tc>
          <w:tcPr>
            <w:tcW w:w="2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12,762,218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11,516,356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320" w:type="dxa"/>
            <w:vAlign w:val="bottom"/>
            <w:shd w:val="clear" w:color="auto" w:fill="D6F3E8"/>
          </w:tcPr>
          <w:p>
            <w:pPr>
              <w:spacing w:after="0"/>
              <w:rPr>
                <w:sz w:val="20"/>
                <w:szCs w:val="20"/>
                <w:color w:val="auto"/>
              </w:rPr>
            </w:pPr>
            <w:r>
              <w:rPr>
                <w:rFonts w:ascii="Arial" w:cs="Arial" w:eastAsia="Arial" w:hAnsi="Arial"/>
                <w:sz w:val="17"/>
                <w:szCs w:val="17"/>
                <w:color w:val="auto"/>
              </w:rPr>
              <w:t>Investment income</w:t>
            </w:r>
          </w:p>
        </w:tc>
        <w:tc>
          <w:tcPr>
            <w:tcW w:w="1200" w:type="dxa"/>
            <w:vAlign w:val="bottom"/>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1640" w:type="dxa"/>
            <w:vAlign w:val="bottom"/>
            <w:gridSpan w:val="2"/>
            <w:shd w:val="clear" w:color="auto" w:fill="D6F3E8"/>
          </w:tcPr>
          <w:p>
            <w:pPr>
              <w:jc w:val="right"/>
              <w:ind w:right="220"/>
              <w:spacing w:after="0"/>
              <w:rPr>
                <w:sz w:val="20"/>
                <w:szCs w:val="20"/>
                <w:color w:val="auto"/>
              </w:rPr>
            </w:pPr>
            <w:r>
              <w:rPr>
                <w:rFonts w:ascii="Arial" w:cs="Arial" w:eastAsia="Arial" w:hAnsi="Arial"/>
                <w:sz w:val="17"/>
                <w:szCs w:val="17"/>
                <w:color w:val="auto"/>
              </w:rPr>
              <w:t>1,692,332</w:t>
            </w:r>
          </w:p>
        </w:tc>
        <w:tc>
          <w:tcPr>
            <w:tcW w:w="280" w:type="dxa"/>
            <w:vAlign w:val="bottom"/>
            <w:shd w:val="clear" w:color="auto" w:fill="D6F3E8"/>
          </w:tcPr>
          <w:p>
            <w:pPr>
              <w:spacing w:after="0"/>
              <w:rPr>
                <w:sz w:val="22"/>
                <w:szCs w:val="22"/>
                <w:color w:val="auto"/>
              </w:rPr>
            </w:pPr>
          </w:p>
        </w:tc>
        <w:tc>
          <w:tcPr>
            <w:tcW w:w="1420" w:type="dxa"/>
            <w:vAlign w:val="bottom"/>
            <w:shd w:val="clear" w:color="auto" w:fill="D6F3E8"/>
          </w:tcPr>
          <w:p>
            <w:pPr>
              <w:jc w:val="right"/>
              <w:spacing w:after="0"/>
              <w:rPr>
                <w:sz w:val="20"/>
                <w:szCs w:val="20"/>
                <w:color w:val="auto"/>
              </w:rPr>
            </w:pPr>
            <w:r>
              <w:rPr>
                <w:rFonts w:ascii="Arial" w:cs="Arial" w:eastAsia="Arial" w:hAnsi="Arial"/>
                <w:sz w:val="17"/>
                <w:szCs w:val="17"/>
                <w:color w:val="auto"/>
              </w:rPr>
              <w:t>892,289</w:t>
            </w:r>
          </w:p>
        </w:tc>
        <w:tc>
          <w:tcPr>
            <w:tcW w:w="220" w:type="dxa"/>
            <w:vAlign w:val="bottom"/>
            <w:shd w:val="clear" w:color="auto" w:fill="D6F3E8"/>
          </w:tcPr>
          <w:p>
            <w:pPr>
              <w:spacing w:after="0"/>
              <w:rPr>
                <w:sz w:val="22"/>
                <w:szCs w:val="22"/>
                <w:color w:val="auto"/>
              </w:rPr>
            </w:pPr>
          </w:p>
        </w:tc>
        <w:tc>
          <w:tcPr>
            <w:tcW w:w="300" w:type="dxa"/>
            <w:vAlign w:val="bottom"/>
            <w:shd w:val="clear" w:color="auto" w:fill="D6F3E8"/>
          </w:tcPr>
          <w:p>
            <w:pPr>
              <w:spacing w:after="0"/>
              <w:rPr>
                <w:sz w:val="22"/>
                <w:szCs w:val="22"/>
                <w:color w:val="auto"/>
              </w:rPr>
            </w:pPr>
          </w:p>
        </w:tc>
        <w:tc>
          <w:tcPr>
            <w:tcW w:w="142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1,120,775</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4320" w:type="dxa"/>
            <w:vAlign w:val="bottom"/>
          </w:tcPr>
          <w:p>
            <w:pPr>
              <w:spacing w:after="0"/>
              <w:rPr>
                <w:sz w:val="20"/>
                <w:szCs w:val="20"/>
                <w:color w:val="auto"/>
              </w:rPr>
            </w:pPr>
            <w:r>
              <w:rPr>
                <w:rFonts w:ascii="Arial" w:cs="Arial" w:eastAsia="Arial" w:hAnsi="Arial"/>
                <w:sz w:val="17"/>
                <w:szCs w:val="17"/>
                <w:color w:val="auto"/>
              </w:rPr>
              <w:t>Income before income taxes</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7"/>
                <w:szCs w:val="17"/>
                <w:color w:val="auto"/>
              </w:rPr>
              <w:t>12,956,673</w:t>
            </w:r>
          </w:p>
        </w:tc>
        <w:tc>
          <w:tcPr>
            <w:tcW w:w="2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13,654,507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12,637,131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320" w:type="dxa"/>
            <w:vAlign w:val="bottom"/>
            <w:shd w:val="clear" w:color="auto" w:fill="D6F3E8"/>
          </w:tcPr>
          <w:p>
            <w:pPr>
              <w:spacing w:after="0"/>
              <w:rPr>
                <w:sz w:val="20"/>
                <w:szCs w:val="20"/>
                <w:color w:val="auto"/>
              </w:rPr>
            </w:pPr>
            <w:r>
              <w:rPr>
                <w:rFonts w:ascii="Arial" w:cs="Arial" w:eastAsia="Arial" w:hAnsi="Arial"/>
                <w:sz w:val="17"/>
                <w:szCs w:val="17"/>
                <w:color w:val="auto"/>
              </w:rPr>
              <w:t>Provision for income taxes</w:t>
            </w:r>
          </w:p>
        </w:tc>
        <w:tc>
          <w:tcPr>
            <w:tcW w:w="1200" w:type="dxa"/>
            <w:vAlign w:val="bottom"/>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1640" w:type="dxa"/>
            <w:vAlign w:val="bottom"/>
            <w:gridSpan w:val="2"/>
            <w:shd w:val="clear" w:color="auto" w:fill="D6F3E8"/>
          </w:tcPr>
          <w:p>
            <w:pPr>
              <w:jc w:val="right"/>
              <w:ind w:right="160"/>
              <w:spacing w:after="0"/>
              <w:rPr>
                <w:sz w:val="20"/>
                <w:szCs w:val="20"/>
                <w:color w:val="auto"/>
              </w:rPr>
            </w:pPr>
            <w:r>
              <w:rPr>
                <w:rFonts w:ascii="Arial" w:cs="Arial" w:eastAsia="Arial" w:hAnsi="Arial"/>
                <w:sz w:val="17"/>
                <w:szCs w:val="17"/>
                <w:color w:val="auto"/>
              </w:rPr>
              <w:t>(4,887,790)</w:t>
            </w:r>
          </w:p>
        </w:tc>
        <w:tc>
          <w:tcPr>
            <w:tcW w:w="280" w:type="dxa"/>
            <w:vAlign w:val="bottom"/>
            <w:shd w:val="clear" w:color="auto" w:fill="D6F3E8"/>
          </w:tcPr>
          <w:p>
            <w:pPr>
              <w:spacing w:after="0"/>
              <w:rPr>
                <w:sz w:val="22"/>
                <w:szCs w:val="22"/>
                <w:color w:val="auto"/>
              </w:rPr>
            </w:pPr>
          </w:p>
        </w:tc>
        <w:tc>
          <w:tcPr>
            <w:tcW w:w="1640" w:type="dxa"/>
            <w:vAlign w:val="bottom"/>
            <w:gridSpan w:val="2"/>
            <w:shd w:val="clear" w:color="auto" w:fill="D6F3E8"/>
          </w:tcPr>
          <w:p>
            <w:pPr>
              <w:jc w:val="right"/>
              <w:ind w:right="160"/>
              <w:spacing w:after="0"/>
              <w:rPr>
                <w:sz w:val="20"/>
                <w:szCs w:val="20"/>
                <w:color w:val="auto"/>
              </w:rPr>
            </w:pPr>
            <w:r>
              <w:rPr>
                <w:rFonts w:ascii="Arial" w:cs="Arial" w:eastAsia="Arial" w:hAnsi="Arial"/>
                <w:sz w:val="17"/>
                <w:szCs w:val="17"/>
                <w:color w:val="auto"/>
              </w:rPr>
              <w:t>(4,768,354)</w:t>
            </w:r>
          </w:p>
        </w:tc>
        <w:tc>
          <w:tcPr>
            <w:tcW w:w="300" w:type="dxa"/>
            <w:vAlign w:val="bottom"/>
            <w:shd w:val="clear" w:color="auto" w:fill="D6F3E8"/>
          </w:tcPr>
          <w:p>
            <w:pPr>
              <w:spacing w:after="0"/>
              <w:rPr>
                <w:sz w:val="22"/>
                <w:szCs w:val="22"/>
                <w:color w:val="auto"/>
              </w:rPr>
            </w:pPr>
          </w:p>
        </w:tc>
        <w:tc>
          <w:tcPr>
            <w:tcW w:w="1640" w:type="dxa"/>
            <w:vAlign w:val="bottom"/>
            <w:gridSpan w:val="2"/>
            <w:shd w:val="clear" w:color="auto" w:fill="D6F3E8"/>
          </w:tcPr>
          <w:p>
            <w:pPr>
              <w:jc w:val="right"/>
              <w:ind w:right="160"/>
              <w:spacing w:after="0"/>
              <w:rPr>
                <w:sz w:val="20"/>
                <w:szCs w:val="20"/>
                <w:color w:val="auto"/>
              </w:rPr>
            </w:pPr>
            <w:r>
              <w:rPr>
                <w:rFonts w:ascii="Arial" w:cs="Arial" w:eastAsia="Arial" w:hAnsi="Arial"/>
                <w:sz w:val="17"/>
                <w:szCs w:val="17"/>
                <w:color w:val="auto"/>
              </w:rPr>
              <w:t>(4,545,122)</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1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4320" w:type="dxa"/>
            <w:vAlign w:val="bottom"/>
            <w:vMerge w:val="continue"/>
          </w:tcPr>
          <w:p>
            <w:pPr>
              <w:spacing w:after="0"/>
              <w:rPr>
                <w:sz w:val="24"/>
                <w:szCs w:val="2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7"/>
                <w:szCs w:val="17"/>
                <w:color w:val="auto"/>
              </w:rPr>
              <w:t>8,068,883</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8,886,153</w:t>
            </w:r>
          </w:p>
        </w:tc>
        <w:tc>
          <w:tcPr>
            <w:tcW w:w="220" w:type="dxa"/>
            <w:vAlign w:val="bottom"/>
          </w:tcPr>
          <w:p>
            <w:pPr>
              <w:spacing w:after="0"/>
              <w:rPr>
                <w:sz w:val="24"/>
                <w:szCs w:val="24"/>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8,092,009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71" w:right="239" w:bottom="0" w:gutter="0" w:footer="0" w:header="0"/>
          <w:type w:val="continuous"/>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3656965</wp:posOffset>
            </wp:positionH>
            <wp:positionV relativeFrom="page">
              <wp:posOffset>88900</wp:posOffset>
            </wp:positionV>
            <wp:extent cx="353377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3377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5"/>
        </w:trPr>
        <w:tc>
          <w:tcPr>
            <w:tcW w:w="4280" w:type="dxa"/>
            <w:vAlign w:val="bottom"/>
            <w:gridSpan w:val="3"/>
            <w:shd w:val="clear" w:color="auto" w:fill="D6F3E8"/>
          </w:tcPr>
          <w:p>
            <w:pPr>
              <w:spacing w:after="0"/>
              <w:rPr>
                <w:sz w:val="20"/>
                <w:szCs w:val="20"/>
                <w:color w:val="auto"/>
              </w:rPr>
            </w:pPr>
            <w:r>
              <w:rPr>
                <w:rFonts w:ascii="Arial" w:cs="Arial" w:eastAsia="Arial" w:hAnsi="Arial"/>
                <w:sz w:val="17"/>
                <w:szCs w:val="17"/>
                <w:color w:val="auto"/>
              </w:rPr>
              <w:t>Weighted average number of shares outstanding-basic</w:t>
            </w:r>
          </w:p>
        </w:tc>
        <w:tc>
          <w:tcPr>
            <w:tcW w:w="160" w:type="dxa"/>
            <w:vAlign w:val="bottom"/>
            <w:shd w:val="clear" w:color="auto" w:fill="D6F3E8"/>
          </w:tcPr>
          <w:p>
            <w:pPr>
              <w:spacing w:after="0"/>
              <w:rPr>
                <w:sz w:val="22"/>
                <w:szCs w:val="22"/>
                <w:color w:val="auto"/>
              </w:rPr>
            </w:pPr>
          </w:p>
        </w:tc>
        <w:tc>
          <w:tcPr>
            <w:tcW w:w="76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840" w:type="dxa"/>
            <w:vAlign w:val="bottom"/>
            <w:gridSpan w:val="5"/>
            <w:shd w:val="clear" w:color="auto" w:fill="D6F3E8"/>
          </w:tcPr>
          <w:p>
            <w:pPr>
              <w:jc w:val="right"/>
              <w:ind w:right="140"/>
              <w:spacing w:after="0"/>
              <w:rPr>
                <w:sz w:val="20"/>
                <w:szCs w:val="20"/>
                <w:color w:val="auto"/>
              </w:rPr>
            </w:pPr>
            <w:r>
              <w:rPr>
                <w:rFonts w:ascii="Arial" w:cs="Arial" w:eastAsia="Arial" w:hAnsi="Arial"/>
                <w:sz w:val="17"/>
                <w:szCs w:val="17"/>
                <w:color w:val="auto"/>
              </w:rPr>
              <w:t>10,171,496</w:t>
            </w:r>
          </w:p>
        </w:tc>
        <w:tc>
          <w:tcPr>
            <w:tcW w:w="8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280" w:type="dxa"/>
            <w:vAlign w:val="bottom"/>
            <w:gridSpan w:val="4"/>
            <w:shd w:val="clear" w:color="auto" w:fill="D6F3E8"/>
          </w:tcPr>
          <w:p>
            <w:pPr>
              <w:jc w:val="right"/>
              <w:spacing w:after="0"/>
              <w:rPr>
                <w:sz w:val="20"/>
                <w:szCs w:val="20"/>
                <w:color w:val="auto"/>
              </w:rPr>
            </w:pPr>
            <w:r>
              <w:rPr>
                <w:rFonts w:ascii="Arial" w:cs="Arial" w:eastAsia="Arial" w:hAnsi="Arial"/>
                <w:sz w:val="17"/>
                <w:szCs w:val="17"/>
                <w:color w:val="auto"/>
              </w:rPr>
              <w:t>10,199,194</w:t>
            </w:r>
          </w:p>
        </w:tc>
        <w:tc>
          <w:tcPr>
            <w:tcW w:w="220" w:type="dxa"/>
            <w:vAlign w:val="bottom"/>
            <w:shd w:val="clear" w:color="auto" w:fill="D6F3E8"/>
          </w:tcPr>
          <w:p>
            <w:pPr>
              <w:spacing w:after="0"/>
              <w:rPr>
                <w:sz w:val="22"/>
                <w:szCs w:val="22"/>
                <w:color w:val="auto"/>
              </w:rPr>
            </w:pPr>
          </w:p>
        </w:tc>
        <w:tc>
          <w:tcPr>
            <w:tcW w:w="62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2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080" w:type="dxa"/>
            <w:vAlign w:val="bottom"/>
            <w:tcBorders>
              <w:right w:val="single" w:sz="8" w:color="D6F3E8"/>
            </w:tcBorders>
            <w:gridSpan w:val="2"/>
            <w:shd w:val="clear" w:color="auto" w:fill="D6F3E8"/>
          </w:tcPr>
          <w:p>
            <w:pPr>
              <w:jc w:val="right"/>
              <w:ind w:right="220"/>
              <w:spacing w:after="0"/>
              <w:rPr>
                <w:sz w:val="20"/>
                <w:szCs w:val="20"/>
                <w:color w:val="auto"/>
              </w:rPr>
            </w:pPr>
            <w:r>
              <w:rPr>
                <w:rFonts w:ascii="Arial" w:cs="Arial" w:eastAsia="Arial" w:hAnsi="Arial"/>
                <w:sz w:val="17"/>
                <w:szCs w:val="17"/>
                <w:color w:val="auto"/>
                <w:w w:val="98"/>
              </w:rPr>
              <w:t>10,216,688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D6F3E8"/>
              <w:bottom w:val="single" w:sz="8" w:color="D6F3E8"/>
            </w:tcBorders>
            <w:gridSpan w:val="3"/>
            <w:vMerge w:val="restart"/>
          </w:tcPr>
          <w:p>
            <w:pPr>
              <w:spacing w:after="0"/>
              <w:rPr>
                <w:sz w:val="20"/>
                <w:szCs w:val="20"/>
                <w:color w:val="auto"/>
              </w:rPr>
            </w:pPr>
            <w:r>
              <w:rPr>
                <w:rFonts w:ascii="Arial" w:cs="Arial" w:eastAsia="Arial" w:hAnsi="Arial"/>
                <w:sz w:val="17"/>
                <w:szCs w:val="17"/>
                <w:color w:val="auto"/>
              </w:rPr>
              <w:t>Weighted average number of shares outstanding-diluted</w:t>
            </w:r>
          </w:p>
        </w:tc>
        <w:tc>
          <w:tcPr>
            <w:tcW w:w="160" w:type="dxa"/>
            <w:vAlign w:val="bottom"/>
            <w:tcBorders>
              <w:top w:val="single" w:sz="8" w:color="D6F3E8"/>
            </w:tcBorders>
          </w:tcPr>
          <w:p>
            <w:pPr>
              <w:spacing w:after="0" w:line="20" w:lineRule="exact"/>
              <w:rPr>
                <w:sz w:val="1"/>
                <w:szCs w:val="1"/>
                <w:color w:val="auto"/>
              </w:rPr>
            </w:pPr>
          </w:p>
        </w:tc>
        <w:tc>
          <w:tcPr>
            <w:tcW w:w="76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42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6"/>
          </w:tcPr>
          <w:p>
            <w:pPr>
              <w:jc w:val="right"/>
              <w:ind w:right="140"/>
              <w:spacing w:after="0"/>
              <w:rPr>
                <w:sz w:val="20"/>
                <w:szCs w:val="20"/>
                <w:color w:val="auto"/>
              </w:rPr>
            </w:pPr>
            <w:r>
              <w:rPr>
                <w:rFonts w:ascii="Arial" w:cs="Arial" w:eastAsia="Arial" w:hAnsi="Arial"/>
                <w:sz w:val="17"/>
                <w:szCs w:val="17"/>
                <w:color w:val="auto"/>
              </w:rPr>
              <w:t>10,173,719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4"/>
          </w:tcPr>
          <w:p>
            <w:pPr>
              <w:jc w:val="right"/>
              <w:spacing w:after="0"/>
              <w:rPr>
                <w:sz w:val="20"/>
                <w:szCs w:val="20"/>
                <w:color w:val="auto"/>
              </w:rPr>
            </w:pPr>
            <w:r>
              <w:rPr>
                <w:rFonts w:ascii="Arial" w:cs="Arial" w:eastAsia="Arial" w:hAnsi="Arial"/>
                <w:sz w:val="17"/>
                <w:szCs w:val="17"/>
                <w:color w:val="auto"/>
              </w:rPr>
              <w:t>10,211,834</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w w:val="98"/>
              </w:rPr>
              <w:t>10,222,669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3180" w:type="dxa"/>
            <w:vAlign w:val="bottom"/>
            <w:shd w:val="clear" w:color="auto" w:fill="D6F3E8"/>
          </w:tcPr>
          <w:p>
            <w:pPr>
              <w:spacing w:after="0"/>
              <w:rPr>
                <w:sz w:val="20"/>
                <w:szCs w:val="20"/>
                <w:color w:val="auto"/>
              </w:rPr>
            </w:pPr>
            <w:r>
              <w:rPr>
                <w:rFonts w:ascii="Arial" w:cs="Arial" w:eastAsia="Arial" w:hAnsi="Arial"/>
                <w:sz w:val="17"/>
                <w:szCs w:val="17"/>
                <w:color w:val="auto"/>
              </w:rPr>
              <w:t>Earnings per share - basic and diluted</w:t>
            </w:r>
          </w:p>
        </w:tc>
        <w:tc>
          <w:tcPr>
            <w:tcW w:w="100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76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ind w:right="768"/>
              <w:spacing w:after="0"/>
              <w:rPr>
                <w:sz w:val="20"/>
                <w:szCs w:val="20"/>
                <w:color w:val="auto"/>
              </w:rPr>
            </w:pPr>
            <w:r>
              <w:rPr>
                <w:rFonts w:ascii="Arial" w:cs="Arial" w:eastAsia="Arial" w:hAnsi="Arial"/>
                <w:sz w:val="17"/>
                <w:szCs w:val="17"/>
                <w:color w:val="auto"/>
              </w:rPr>
              <w:t>$</w:t>
            </w:r>
          </w:p>
        </w:tc>
        <w:tc>
          <w:tcPr>
            <w:tcW w:w="12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720" w:type="dxa"/>
            <w:vAlign w:val="bottom"/>
            <w:gridSpan w:val="2"/>
            <w:shd w:val="clear" w:color="auto" w:fill="D6F3E8"/>
          </w:tcPr>
          <w:p>
            <w:pPr>
              <w:jc w:val="right"/>
              <w:ind w:right="140"/>
              <w:spacing w:after="0"/>
              <w:rPr>
                <w:sz w:val="20"/>
                <w:szCs w:val="20"/>
                <w:color w:val="auto"/>
              </w:rPr>
            </w:pPr>
            <w:r>
              <w:rPr>
                <w:rFonts w:ascii="Arial" w:cs="Arial" w:eastAsia="Arial" w:hAnsi="Arial"/>
                <w:sz w:val="17"/>
                <w:szCs w:val="17"/>
                <w:color w:val="auto"/>
              </w:rPr>
              <w:t>.79</w:t>
            </w:r>
          </w:p>
        </w:tc>
        <w:tc>
          <w:tcPr>
            <w:tcW w:w="200" w:type="dxa"/>
            <w:vAlign w:val="bottom"/>
            <w:gridSpan w:val="2"/>
            <w:shd w:val="clear" w:color="auto" w:fill="D6F3E8"/>
          </w:tcPr>
          <w:p>
            <w:pPr>
              <w:jc w:val="right"/>
              <w:ind w:righ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96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240" w:type="dxa"/>
            <w:vAlign w:val="bottom"/>
            <w:gridSpan w:val="2"/>
            <w:shd w:val="clear" w:color="auto" w:fill="D6F3E8"/>
          </w:tcPr>
          <w:p>
            <w:pPr>
              <w:jc w:val="right"/>
              <w:spacing w:after="0"/>
              <w:rPr>
                <w:sz w:val="20"/>
                <w:szCs w:val="20"/>
                <w:color w:val="auto"/>
              </w:rPr>
            </w:pPr>
            <w:r>
              <w:rPr>
                <w:rFonts w:ascii="Arial" w:cs="Arial" w:eastAsia="Arial" w:hAnsi="Arial"/>
                <w:sz w:val="17"/>
                <w:szCs w:val="17"/>
                <w:color w:val="auto"/>
                <w:w w:val="92"/>
              </w:rPr>
              <w:t>.87</w:t>
            </w:r>
          </w:p>
        </w:tc>
        <w:tc>
          <w:tcPr>
            <w:tcW w:w="840" w:type="dxa"/>
            <w:vAlign w:val="bottom"/>
            <w:gridSpan w:val="2"/>
            <w:shd w:val="clear" w:color="auto" w:fill="D6F3E8"/>
          </w:tcPr>
          <w:p>
            <w:pPr>
              <w:jc w:val="right"/>
              <w:ind w:right="520"/>
              <w:spacing w:after="0"/>
              <w:rPr>
                <w:sz w:val="20"/>
                <w:szCs w:val="20"/>
                <w:color w:val="auto"/>
              </w:rPr>
            </w:pPr>
            <w:r>
              <w:rPr>
                <w:rFonts w:ascii="Arial" w:cs="Arial" w:eastAsia="Arial" w:hAnsi="Arial"/>
                <w:sz w:val="17"/>
                <w:szCs w:val="17"/>
                <w:color w:val="auto"/>
              </w:rPr>
              <w:t>$</w:t>
            </w:r>
          </w:p>
        </w:tc>
        <w:tc>
          <w:tcPr>
            <w:tcW w:w="80" w:type="dxa"/>
            <w:vAlign w:val="bottom"/>
            <w:shd w:val="clear" w:color="auto" w:fill="D6F3E8"/>
          </w:tcPr>
          <w:p>
            <w:pPr>
              <w:spacing w:after="0"/>
              <w:rPr>
                <w:sz w:val="22"/>
                <w:szCs w:val="22"/>
                <w:color w:val="auto"/>
              </w:rPr>
            </w:pPr>
          </w:p>
        </w:tc>
        <w:tc>
          <w:tcPr>
            <w:tcW w:w="2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080" w:type="dxa"/>
            <w:vAlign w:val="bottom"/>
            <w:tcBorders>
              <w:right w:val="single" w:sz="8" w:color="D6F3E8"/>
            </w:tcBorders>
            <w:gridSpan w:val="2"/>
            <w:shd w:val="clear" w:color="auto" w:fill="D6F3E8"/>
          </w:tcPr>
          <w:p>
            <w:pPr>
              <w:jc w:val="right"/>
              <w:ind w:right="220"/>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7"/>
                <w:szCs w:val="17"/>
                <w:color w:val="auto"/>
                <w:w w:val="95"/>
              </w:rPr>
              <w:t>Cash dividends declared per common share</w:t>
            </w:r>
          </w:p>
        </w:tc>
        <w:tc>
          <w:tcPr>
            <w:tcW w:w="100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D6F3E8"/>
            </w:tcBorders>
          </w:tcPr>
          <w:p>
            <w:pPr>
              <w:spacing w:after="0" w:line="20" w:lineRule="exact"/>
              <w:rPr>
                <w:sz w:val="1"/>
                <w:szCs w:val="1"/>
                <w:color w:val="auto"/>
              </w:rPr>
            </w:pPr>
          </w:p>
        </w:tc>
        <w:tc>
          <w:tcPr>
            <w:tcW w:w="76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1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76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.44</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w w:val="92"/>
              </w:rPr>
              <w:t>.40</w:t>
            </w:r>
          </w:p>
        </w:tc>
        <w:tc>
          <w:tcPr>
            <w:tcW w:w="84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spacing w:after="0"/>
              <w:rPr>
                <w:sz w:val="20"/>
                <w:szCs w:val="20"/>
                <w:color w:val="auto"/>
              </w:rPr>
            </w:pPr>
            <w:r>
              <w:rPr>
                <w:rFonts w:ascii="Arial" w:cs="Arial" w:eastAsia="Arial" w:hAnsi="Arial"/>
                <w:sz w:val="17"/>
                <w:szCs w:val="17"/>
                <w:color w:val="auto"/>
              </w:rPr>
              <w:t>See accompanying notes to financial statements.</w:t>
            </w: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42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3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7"/>
                <w:szCs w:val="17"/>
                <w:i w:val="1"/>
                <w:iCs w:val="1"/>
                <w:color w:val="auto"/>
                <w:w w:val="91"/>
              </w:rPr>
              <w:t>Page 20</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31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180" w:type="dxa"/>
            <w:vAlign w:val="bottom"/>
          </w:tcPr>
          <w:p>
            <w:pPr>
              <w:spacing w:after="0"/>
              <w:rPr>
                <w:sz w:val="20"/>
                <w:szCs w:val="20"/>
                <w:color w:val="auto"/>
              </w:rPr>
            </w:pPr>
            <w:r>
              <w:rPr>
                <w:rFonts w:ascii="Arial" w:cs="Arial" w:eastAsia="Arial" w:hAnsi="Arial"/>
                <w:sz w:val="17"/>
                <w:szCs w:val="17"/>
                <w:b w:val="1"/>
                <w:bCs w:val="1"/>
                <w:color w:val="auto"/>
              </w:rPr>
              <w:t>HAWKINS, INC.</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STATEMENTS OF SHAREHOLDERS’ EQUITY</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86"/>
        </w:trPr>
        <w:tc>
          <w:tcPr>
            <w:tcW w:w="3180" w:type="dxa"/>
            <w:vAlign w:val="bottom"/>
          </w:tcPr>
          <w:p>
            <w:pPr>
              <w:spacing w:after="0"/>
              <w:rPr>
                <w:sz w:val="24"/>
                <w:szCs w:val="24"/>
                <w:color w:val="auto"/>
              </w:rPr>
            </w:pPr>
          </w:p>
        </w:tc>
        <w:tc>
          <w:tcPr>
            <w:tcW w:w="2120" w:type="dxa"/>
            <w:vAlign w:val="bottom"/>
            <w:gridSpan w:val="5"/>
            <w:vMerge w:val="restart"/>
          </w:tcPr>
          <w:p>
            <w:pPr>
              <w:jc w:val="right"/>
              <w:ind w:right="66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3"/>
              </w:rPr>
              <w:t>Accumulated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180" w:type="dxa"/>
            <w:vAlign w:val="bottom"/>
          </w:tcPr>
          <w:p>
            <w:pPr>
              <w:spacing w:after="0"/>
              <w:rPr>
                <w:sz w:val="11"/>
                <w:szCs w:val="11"/>
                <w:color w:val="auto"/>
              </w:rPr>
            </w:pPr>
          </w:p>
        </w:tc>
        <w:tc>
          <w:tcPr>
            <w:tcW w:w="212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380"/>
              <w:spacing w:after="0" w:line="114" w:lineRule="exact"/>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jc w:val="center"/>
              <w:ind w:right="260"/>
              <w:spacing w:after="0" w:line="114" w:lineRule="exact"/>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00"/>
              <w:spacing w:after="0" w:line="114"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80"/>
              <w:spacing w:after="0" w:line="142"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2"/>
                <w:szCs w:val="12"/>
                <w:color w:val="auto"/>
              </w:rPr>
            </w:pPr>
          </w:p>
        </w:tc>
        <w:tc>
          <w:tcPr>
            <w:tcW w:w="720" w:type="dxa"/>
            <w:vAlign w:val="bottom"/>
            <w:gridSpan w:val="2"/>
          </w:tcPr>
          <w:p>
            <w:pPr>
              <w:jc w:val="right"/>
              <w:ind w:right="20"/>
              <w:spacing w:after="0" w:line="142" w:lineRule="exact"/>
              <w:rPr>
                <w:sz w:val="20"/>
                <w:szCs w:val="20"/>
                <w:color w:val="auto"/>
              </w:rPr>
            </w:pPr>
            <w:r>
              <w:rPr>
                <w:rFonts w:ascii="Arial" w:cs="Arial" w:eastAsia="Arial" w:hAnsi="Arial"/>
                <w:sz w:val="13"/>
                <w:szCs w:val="13"/>
                <w:b w:val="1"/>
                <w:bCs w:val="1"/>
                <w:color w:val="auto"/>
              </w:rPr>
              <w:t>Unearned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400"/>
              <w:spacing w:after="0" w:line="142" w:lineRule="exact"/>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2"/>
                <w:szCs w:val="12"/>
                <w:color w:val="auto"/>
              </w:rPr>
            </w:pPr>
          </w:p>
        </w:tc>
        <w:tc>
          <w:tcPr>
            <w:tcW w:w="1080" w:type="dxa"/>
            <w:vAlign w:val="bottom"/>
            <w:gridSpan w:val="4"/>
          </w:tcPr>
          <w:p>
            <w:pPr>
              <w:jc w:val="center"/>
              <w:ind w:right="80"/>
              <w:spacing w:after="0" w:line="142" w:lineRule="exact"/>
              <w:rPr>
                <w:sz w:val="20"/>
                <w:szCs w:val="20"/>
                <w:color w:val="auto"/>
              </w:rPr>
            </w:pPr>
            <w:r>
              <w:rPr>
                <w:rFonts w:ascii="Arial" w:cs="Arial" w:eastAsia="Arial" w:hAnsi="Arial"/>
                <w:sz w:val="13"/>
                <w:szCs w:val="13"/>
                <w:b w:val="1"/>
                <w:bCs w:val="1"/>
                <w:color w:val="auto"/>
                <w:w w:val="90"/>
              </w:rPr>
              <w:t>Comprehensive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00"/>
              <w:spacing w:after="0" w:line="142" w:lineRule="exact"/>
              <w:rPr>
                <w:sz w:val="20"/>
                <w:szCs w:val="20"/>
                <w:color w:val="auto"/>
              </w:rPr>
            </w:pPr>
            <w:r>
              <w:rPr>
                <w:rFonts w:ascii="Arial" w:cs="Arial" w:eastAsia="Arial" w:hAnsi="Arial"/>
                <w:sz w:val="13"/>
                <w:szCs w:val="13"/>
                <w:b w:val="1"/>
                <w:bCs w:val="1"/>
                <w:color w:val="auto"/>
                <w:w w:val="92"/>
              </w:rPr>
              <w:t>Shareholders’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3"/>
                <w:szCs w:val="13"/>
                <w:color w:val="auto"/>
              </w:rPr>
            </w:pPr>
          </w:p>
        </w:tc>
        <w:tc>
          <w:tcPr>
            <w:tcW w:w="102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w w:val="90"/>
              </w:rPr>
              <w:t>Compensation</w:t>
            </w:r>
          </w:p>
        </w:tc>
        <w:tc>
          <w:tcPr>
            <w:tcW w:w="20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3"/>
                <w:szCs w:val="13"/>
                <w:color w:val="auto"/>
              </w:rPr>
            </w:pPr>
          </w:p>
        </w:tc>
        <w:tc>
          <w:tcPr>
            <w:tcW w:w="108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0"/>
              </w:rPr>
              <w:t>Income (Loss)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1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180" w:type="dxa"/>
            <w:vAlign w:val="bottom"/>
            <w:shd w:val="clear" w:color="auto" w:fill="D6F3E8"/>
          </w:tcPr>
          <w:p>
            <w:pPr>
              <w:spacing w:after="0"/>
              <w:rPr>
                <w:sz w:val="20"/>
                <w:szCs w:val="20"/>
                <w:color w:val="auto"/>
              </w:rPr>
            </w:pPr>
            <w:r>
              <w:rPr>
                <w:rFonts w:ascii="Arial" w:cs="Arial" w:eastAsia="Arial" w:hAnsi="Arial"/>
                <w:sz w:val="17"/>
                <w:szCs w:val="17"/>
                <w:color w:val="auto"/>
              </w:rPr>
              <w:t>BALANCE—March 28, 2004</w:t>
            </w:r>
          </w:p>
        </w:tc>
        <w:tc>
          <w:tcPr>
            <w:tcW w:w="10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10,216,688</w:t>
            </w:r>
          </w:p>
        </w:tc>
        <w:tc>
          <w:tcPr>
            <w:tcW w:w="100" w:type="dxa"/>
            <w:vAlign w:val="bottom"/>
            <w:shd w:val="clear" w:color="auto" w:fill="D6F3E8"/>
          </w:tcPr>
          <w:p>
            <w:pPr>
              <w:spacing w:after="0"/>
              <w:rPr>
                <w:sz w:val="22"/>
                <w:szCs w:val="22"/>
                <w:color w:val="auto"/>
              </w:rPr>
            </w:pPr>
          </w:p>
        </w:tc>
        <w:tc>
          <w:tcPr>
            <w:tcW w:w="160" w:type="dxa"/>
            <w:vAlign w:val="bottom"/>
            <w:shd w:val="clear" w:color="auto" w:fill="D6F3E8"/>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510,834</w:t>
            </w:r>
          </w:p>
        </w:tc>
        <w:tc>
          <w:tcPr>
            <w:tcW w:w="100" w:type="dxa"/>
            <w:vAlign w:val="bottom"/>
            <w:shd w:val="clear" w:color="auto" w:fill="D6F3E8"/>
          </w:tcPr>
          <w:p>
            <w:pPr>
              <w:spacing w:after="0"/>
              <w:rPr>
                <w:sz w:val="22"/>
                <w:szCs w:val="22"/>
                <w:color w:val="auto"/>
              </w:rPr>
            </w:pPr>
          </w:p>
        </w:tc>
        <w:tc>
          <w:tcPr>
            <w:tcW w:w="100" w:type="dxa"/>
            <w:vAlign w:val="bottom"/>
            <w:shd w:val="clear" w:color="auto" w:fill="D6F3E8"/>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7"/>
                <w:szCs w:val="17"/>
                <w:color w:val="auto"/>
              </w:rPr>
              <w:t>37,747,492</w:t>
            </w:r>
          </w:p>
        </w:tc>
        <w:tc>
          <w:tcPr>
            <w:tcW w:w="120" w:type="dxa"/>
            <w:vAlign w:val="bottom"/>
            <w:shd w:val="clear" w:color="auto" w:fill="D6F3E8"/>
          </w:tcPr>
          <w:p>
            <w:pPr>
              <w:spacing w:after="0"/>
              <w:rPr>
                <w:sz w:val="22"/>
                <w:szCs w:val="22"/>
                <w:color w:val="auto"/>
              </w:rPr>
            </w:pPr>
          </w:p>
        </w:tc>
        <w:tc>
          <w:tcPr>
            <w:tcW w:w="8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300" w:type="dxa"/>
            <w:vAlign w:val="bottom"/>
            <w:gridSpan w:val="3"/>
            <w:shd w:val="clear" w:color="auto" w:fill="D6F3E8"/>
          </w:tcPr>
          <w:p>
            <w:pPr>
              <w:jc w:val="right"/>
              <w:ind w:right="100"/>
              <w:spacing w:after="0"/>
              <w:rPr>
                <w:sz w:val="20"/>
                <w:szCs w:val="20"/>
                <w:color w:val="auto"/>
              </w:rPr>
            </w:pPr>
            <w:r>
              <w:rPr>
                <w:rFonts w:ascii="Arial" w:cs="Arial" w:eastAsia="Arial" w:hAnsi="Arial"/>
                <w:sz w:val="17"/>
                <w:szCs w:val="17"/>
                <w:color w:val="auto"/>
              </w:rPr>
              <w:t>—</w:t>
            </w:r>
          </w:p>
        </w:tc>
        <w:tc>
          <w:tcPr>
            <w:tcW w:w="200" w:type="dxa"/>
            <w:vAlign w:val="bottom"/>
            <w:shd w:val="clear" w:color="auto" w:fill="D6F3E8"/>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D6F3E8"/>
          </w:tcPr>
          <w:p>
            <w:pPr>
              <w:jc w:val="right"/>
              <w:ind w:right="80"/>
              <w:spacing w:after="0"/>
              <w:rPr>
                <w:sz w:val="20"/>
                <w:szCs w:val="20"/>
                <w:color w:val="auto"/>
              </w:rPr>
            </w:pPr>
            <w:r>
              <w:rPr>
                <w:rFonts w:ascii="Arial" w:cs="Arial" w:eastAsia="Arial" w:hAnsi="Arial"/>
                <w:sz w:val="17"/>
                <w:szCs w:val="17"/>
                <w:color w:val="auto"/>
              </w:rPr>
              <w:t>29,449,991</w:t>
            </w:r>
          </w:p>
        </w:tc>
        <w:tc>
          <w:tcPr>
            <w:tcW w:w="240" w:type="dxa"/>
            <w:vAlign w:val="bottom"/>
            <w:gridSpan w:val="2"/>
            <w:shd w:val="clear" w:color="auto" w:fill="D6F3E8"/>
          </w:tcPr>
          <w:p>
            <w:pPr>
              <w:jc w:val="right"/>
              <w:ind w:right="13"/>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7"/>
                <w:szCs w:val="17"/>
                <w:color w:val="auto"/>
              </w:rPr>
              <w:t>196,328</w:t>
            </w:r>
          </w:p>
        </w:tc>
        <w:tc>
          <w:tcPr>
            <w:tcW w:w="80" w:type="dxa"/>
            <w:vAlign w:val="bottom"/>
            <w:shd w:val="clear" w:color="auto" w:fill="D6F3E8"/>
          </w:tcPr>
          <w:p>
            <w:pPr>
              <w:spacing w:after="0"/>
              <w:rPr>
                <w:sz w:val="22"/>
                <w:szCs w:val="22"/>
                <w:color w:val="auto"/>
              </w:rPr>
            </w:pPr>
          </w:p>
        </w:tc>
        <w:tc>
          <w:tcPr>
            <w:tcW w:w="160" w:type="dxa"/>
            <w:vAlign w:val="bottom"/>
            <w:gridSpan w:val="2"/>
            <w:shd w:val="clear" w:color="auto" w:fill="D6F3E8"/>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D6F3E8"/>
            </w:tcBorders>
            <w:gridSpan w:val="2"/>
            <w:shd w:val="clear" w:color="auto" w:fill="D6F3E8"/>
          </w:tcPr>
          <w:p>
            <w:pPr>
              <w:jc w:val="right"/>
              <w:ind w:right="60"/>
              <w:spacing w:after="0"/>
              <w:rPr>
                <w:sz w:val="20"/>
                <w:szCs w:val="20"/>
                <w:color w:val="auto"/>
              </w:rPr>
            </w:pPr>
            <w:r>
              <w:rPr>
                <w:rFonts w:ascii="Arial" w:cs="Arial" w:eastAsia="Arial" w:hAnsi="Arial"/>
                <w:sz w:val="17"/>
                <w:szCs w:val="17"/>
                <w:color w:val="auto"/>
              </w:rPr>
              <w:t>67,904,645</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3180" w:type="dxa"/>
            <w:vAlign w:val="bottom"/>
          </w:tcPr>
          <w:p>
            <w:pPr>
              <w:ind w:left="340"/>
              <w:spacing w:after="0"/>
              <w:rPr>
                <w:sz w:val="20"/>
                <w:szCs w:val="20"/>
                <w:color w:val="auto"/>
              </w:rPr>
            </w:pPr>
            <w:r>
              <w:rPr>
                <w:rFonts w:ascii="Arial" w:cs="Arial" w:eastAsia="Arial" w:hAnsi="Arial"/>
                <w:sz w:val="17"/>
                <w:szCs w:val="17"/>
                <w:color w:val="auto"/>
              </w:rPr>
              <w:t>Cash dividends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(3,692,643)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(3,692,643)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80" w:type="dxa"/>
            <w:vAlign w:val="bottom"/>
            <w:shd w:val="clear" w:color="auto" w:fill="D6F3E8"/>
          </w:tcPr>
          <w:p>
            <w:pPr>
              <w:ind w:left="340"/>
              <w:spacing w:after="0"/>
              <w:rPr>
                <w:sz w:val="20"/>
                <w:szCs w:val="20"/>
                <w:color w:val="auto"/>
              </w:rPr>
            </w:pPr>
            <w:r>
              <w:rPr>
                <w:rFonts w:ascii="Arial" w:cs="Arial" w:eastAsia="Arial" w:hAnsi="Arial"/>
                <w:sz w:val="17"/>
                <w:szCs w:val="17"/>
                <w:color w:val="auto"/>
              </w:rPr>
              <w:t>Restricted stock issued</w:t>
            </w:r>
          </w:p>
        </w:tc>
        <w:tc>
          <w:tcPr>
            <w:tcW w:w="10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40,653</w:t>
            </w:r>
          </w:p>
        </w:tc>
        <w:tc>
          <w:tcPr>
            <w:tcW w:w="10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2,033</w:t>
            </w:r>
          </w:p>
        </w:tc>
        <w:tc>
          <w:tcPr>
            <w:tcW w:w="10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7"/>
                <w:szCs w:val="17"/>
                <w:color w:val="auto"/>
              </w:rPr>
              <w:t>484,584</w:t>
            </w:r>
          </w:p>
        </w:tc>
        <w:tc>
          <w:tcPr>
            <w:tcW w:w="12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1020" w:type="dxa"/>
            <w:vAlign w:val="bottom"/>
            <w:gridSpan w:val="5"/>
            <w:shd w:val="clear" w:color="auto" w:fill="D6F3E8"/>
          </w:tcPr>
          <w:p>
            <w:pPr>
              <w:jc w:val="right"/>
              <w:ind w:right="40"/>
              <w:spacing w:after="0"/>
              <w:rPr>
                <w:sz w:val="20"/>
                <w:szCs w:val="20"/>
                <w:color w:val="auto"/>
              </w:rPr>
            </w:pPr>
            <w:r>
              <w:rPr>
                <w:rFonts w:ascii="Arial" w:cs="Arial" w:eastAsia="Arial" w:hAnsi="Arial"/>
                <w:sz w:val="17"/>
                <w:szCs w:val="17"/>
                <w:color w:val="auto"/>
              </w:rPr>
              <w:t>(486,617)</w:t>
            </w:r>
          </w:p>
        </w:tc>
        <w:tc>
          <w:tcPr>
            <w:tcW w:w="200" w:type="dxa"/>
            <w:vAlign w:val="bottom"/>
            <w:shd w:val="clear" w:color="auto" w:fill="D6F3E8"/>
          </w:tcPr>
          <w:p>
            <w:pPr>
              <w:spacing w:after="0"/>
              <w:rPr>
                <w:sz w:val="22"/>
                <w:szCs w:val="22"/>
                <w:color w:val="auto"/>
              </w:rPr>
            </w:pPr>
          </w:p>
        </w:tc>
        <w:tc>
          <w:tcPr>
            <w:tcW w:w="96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62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2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080" w:type="dxa"/>
            <w:vAlign w:val="bottom"/>
            <w:tcBorders>
              <w:right w:val="single" w:sz="8" w:color="D6F3E8"/>
            </w:tcBorders>
            <w:gridSpan w:val="2"/>
            <w:shd w:val="clear" w:color="auto" w:fill="D6F3E8"/>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180" w:type="dxa"/>
            <w:vAlign w:val="bottom"/>
          </w:tcPr>
          <w:p>
            <w:pPr>
              <w:ind w:left="340"/>
              <w:spacing w:after="0"/>
              <w:rPr>
                <w:sz w:val="20"/>
                <w:szCs w:val="20"/>
                <w:color w:val="auto"/>
              </w:rPr>
            </w:pPr>
            <w:r>
              <w:rPr>
                <w:rFonts w:ascii="Arial" w:cs="Arial" w:eastAsia="Arial" w:hAnsi="Arial"/>
                <w:sz w:val="17"/>
                <w:szCs w:val="17"/>
                <w:color w:val="auto"/>
              </w:rPr>
              <w:t>Amortization of unearned</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180" w:type="dxa"/>
            <w:vAlign w:val="bottom"/>
          </w:tcPr>
          <w:p>
            <w:pPr>
              <w:ind w:left="660"/>
              <w:spacing w:after="0"/>
              <w:rPr>
                <w:sz w:val="20"/>
                <w:szCs w:val="20"/>
                <w:color w:val="auto"/>
              </w:rPr>
            </w:pPr>
            <w:r>
              <w:rPr>
                <w:rFonts w:ascii="Arial" w:cs="Arial" w:eastAsia="Arial" w:hAnsi="Arial"/>
                <w:sz w:val="17"/>
                <w:szCs w:val="17"/>
                <w:color w:val="auto"/>
              </w:rPr>
              <w:t>compensation</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7"/>
                <w:szCs w:val="17"/>
                <w:color w:val="auto"/>
              </w:rPr>
              <w:t>287,915</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287,915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180" w:type="dxa"/>
            <w:vAlign w:val="bottom"/>
          </w:tcPr>
          <w:p>
            <w:pPr>
              <w:ind w:left="340"/>
              <w:spacing w:after="0"/>
              <w:rPr>
                <w:sz w:val="20"/>
                <w:szCs w:val="20"/>
                <w:color w:val="auto"/>
              </w:rPr>
            </w:pPr>
            <w:r>
              <w:rPr>
                <w:rFonts w:ascii="Arial" w:cs="Arial" w:eastAsia="Arial" w:hAnsi="Arial"/>
                <w:sz w:val="17"/>
                <w:szCs w:val="17"/>
                <w:color w:val="auto"/>
              </w:rPr>
              <w:t>Comprehensive income:</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180" w:type="dxa"/>
            <w:vAlign w:val="bottom"/>
            <w:shd w:val="clear" w:color="auto" w:fill="D6F3E8"/>
          </w:tcPr>
          <w:p>
            <w:pPr>
              <w:ind w:left="660"/>
              <w:spacing w:after="0"/>
              <w:rPr>
                <w:sz w:val="20"/>
                <w:szCs w:val="20"/>
                <w:color w:val="auto"/>
              </w:rPr>
            </w:pPr>
            <w:r>
              <w:rPr>
                <w:rFonts w:ascii="Arial" w:cs="Arial" w:eastAsia="Arial" w:hAnsi="Arial"/>
                <w:sz w:val="17"/>
                <w:szCs w:val="17"/>
                <w:color w:val="auto"/>
              </w:rPr>
              <w:t>Unrealized loss on investments</w:t>
            </w:r>
          </w:p>
        </w:tc>
        <w:tc>
          <w:tcPr>
            <w:tcW w:w="100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76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92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58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960" w:type="dxa"/>
            <w:vAlign w:val="bottom"/>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220" w:type="dxa"/>
            <w:vAlign w:val="bottom"/>
            <w:shd w:val="clear" w:color="auto" w:fill="D6F3E8"/>
          </w:tcPr>
          <w:p>
            <w:pPr>
              <w:spacing w:after="0"/>
              <w:rPr>
                <w:sz w:val="21"/>
                <w:szCs w:val="21"/>
                <w:color w:val="auto"/>
              </w:rPr>
            </w:pPr>
          </w:p>
        </w:tc>
        <w:tc>
          <w:tcPr>
            <w:tcW w:w="620" w:type="dxa"/>
            <w:vAlign w:val="bottom"/>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2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860" w:type="dxa"/>
            <w:vAlign w:val="bottom"/>
            <w:shd w:val="clear" w:color="auto" w:fill="D6F3E8"/>
          </w:tcPr>
          <w:p>
            <w:pPr>
              <w:spacing w:after="0"/>
              <w:rPr>
                <w:sz w:val="21"/>
                <w:szCs w:val="21"/>
                <w:color w:val="auto"/>
              </w:rPr>
            </w:pPr>
          </w:p>
        </w:tc>
        <w:tc>
          <w:tcPr>
            <w:tcW w:w="220" w:type="dxa"/>
            <w:vAlign w:val="bottom"/>
            <w:tcBorders>
              <w:right w:val="single" w:sz="8" w:color="D6F3E8"/>
            </w:tcBorders>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80" w:type="dxa"/>
            <w:vAlign w:val="bottom"/>
            <w:shd w:val="clear" w:color="auto" w:fill="D6F3E8"/>
          </w:tcPr>
          <w:p>
            <w:pPr>
              <w:ind w:left="980"/>
              <w:spacing w:after="0"/>
              <w:rPr>
                <w:sz w:val="20"/>
                <w:szCs w:val="20"/>
                <w:color w:val="auto"/>
              </w:rPr>
            </w:pPr>
            <w:r>
              <w:rPr>
                <w:rFonts w:ascii="Arial" w:cs="Arial" w:eastAsia="Arial" w:hAnsi="Arial"/>
                <w:sz w:val="17"/>
                <w:szCs w:val="17"/>
                <w:color w:val="auto"/>
              </w:rPr>
              <w:t>available for sale</w:t>
            </w:r>
          </w:p>
        </w:tc>
        <w:tc>
          <w:tcPr>
            <w:tcW w:w="100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76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92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58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200" w:type="dxa"/>
            <w:vAlign w:val="bottom"/>
            <w:shd w:val="clear" w:color="auto" w:fill="D6F3E8"/>
          </w:tcPr>
          <w:p>
            <w:pPr>
              <w:spacing w:after="0"/>
              <w:rPr>
                <w:sz w:val="19"/>
                <w:szCs w:val="19"/>
                <w:color w:val="auto"/>
              </w:rPr>
            </w:pPr>
          </w:p>
        </w:tc>
        <w:tc>
          <w:tcPr>
            <w:tcW w:w="96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920" w:type="dxa"/>
            <w:vAlign w:val="bottom"/>
            <w:gridSpan w:val="3"/>
            <w:shd w:val="clear" w:color="auto" w:fill="D6F3E8"/>
          </w:tcPr>
          <w:p>
            <w:pPr>
              <w:jc w:val="right"/>
              <w:ind w:right="20"/>
              <w:spacing w:after="0"/>
              <w:rPr>
                <w:sz w:val="20"/>
                <w:szCs w:val="20"/>
                <w:color w:val="auto"/>
              </w:rPr>
            </w:pPr>
            <w:r>
              <w:rPr>
                <w:rFonts w:ascii="Arial" w:cs="Arial" w:eastAsia="Arial" w:hAnsi="Arial"/>
                <w:sz w:val="17"/>
                <w:szCs w:val="17"/>
                <w:color w:val="auto"/>
              </w:rPr>
              <w:t>(392,359)</w:t>
            </w:r>
          </w:p>
        </w:tc>
        <w:tc>
          <w:tcPr>
            <w:tcW w:w="2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1080" w:type="dxa"/>
            <w:vAlign w:val="bottom"/>
            <w:tcBorders>
              <w:right w:val="single" w:sz="8" w:color="D6F3E8"/>
            </w:tcBorders>
            <w:gridSpan w:val="2"/>
            <w:shd w:val="clear" w:color="auto" w:fill="D6F3E8"/>
          </w:tcPr>
          <w:p>
            <w:pPr>
              <w:jc w:val="right"/>
              <w:spacing w:after="0"/>
              <w:rPr>
                <w:sz w:val="20"/>
                <w:szCs w:val="20"/>
                <w:color w:val="auto"/>
              </w:rPr>
            </w:pPr>
            <w:r>
              <w:rPr>
                <w:rFonts w:ascii="Arial" w:cs="Arial" w:eastAsia="Arial" w:hAnsi="Arial"/>
                <w:sz w:val="17"/>
                <w:szCs w:val="17"/>
                <w:color w:val="auto"/>
              </w:rPr>
              <w:t>(392,359)</w:t>
            </w:r>
          </w:p>
        </w:tc>
        <w:tc>
          <w:tcPr>
            <w:tcW w:w="1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180" w:type="dxa"/>
            <w:vAlign w:val="bottom"/>
            <w:tcBorders>
              <w:bottom w:val="single" w:sz="8" w:color="D6F3E8"/>
            </w:tcBorders>
          </w:tcPr>
          <w:p>
            <w:pPr>
              <w:ind w:left="660"/>
              <w:spacing w:after="0"/>
              <w:rPr>
                <w:sz w:val="20"/>
                <w:szCs w:val="20"/>
                <w:color w:val="auto"/>
              </w:rPr>
            </w:pPr>
            <w:r>
              <w:rPr>
                <w:rFonts w:ascii="Arial" w:cs="Arial" w:eastAsia="Arial" w:hAnsi="Arial"/>
                <w:sz w:val="17"/>
                <w:szCs w:val="17"/>
                <w:color w:val="auto"/>
              </w:rPr>
              <w:t>Net income</w:t>
            </w:r>
          </w:p>
        </w:tc>
        <w:tc>
          <w:tcPr>
            <w:tcW w:w="1000" w:type="dxa"/>
            <w:vAlign w:val="bottom"/>
            <w:tcBorders>
              <w:bottom w:val="single" w:sz="8" w:color="D6F3E8"/>
            </w:tcBorders>
          </w:tcPr>
          <w:p>
            <w:pPr>
              <w:spacing w:after="0"/>
              <w:rPr>
                <w:sz w:val="22"/>
                <w:szCs w:val="22"/>
                <w:color w:val="auto"/>
              </w:rPr>
            </w:pPr>
          </w:p>
        </w:tc>
        <w:tc>
          <w:tcPr>
            <w:tcW w:w="100" w:type="dxa"/>
            <w:vAlign w:val="bottom"/>
            <w:tcBorders>
              <w:bottom w:val="single" w:sz="8" w:color="D6F3E8"/>
            </w:tcBorders>
          </w:tcPr>
          <w:p>
            <w:pPr>
              <w:spacing w:after="0"/>
              <w:rPr>
                <w:sz w:val="22"/>
                <w:szCs w:val="22"/>
                <w:color w:val="auto"/>
              </w:rPr>
            </w:pPr>
          </w:p>
        </w:tc>
        <w:tc>
          <w:tcPr>
            <w:tcW w:w="160" w:type="dxa"/>
            <w:vAlign w:val="bottom"/>
            <w:tcBorders>
              <w:bottom w:val="single" w:sz="8" w:color="D6F3E8"/>
            </w:tcBorders>
          </w:tcPr>
          <w:p>
            <w:pPr>
              <w:spacing w:after="0"/>
              <w:rPr>
                <w:sz w:val="22"/>
                <w:szCs w:val="22"/>
                <w:color w:val="auto"/>
              </w:rPr>
            </w:pPr>
          </w:p>
        </w:tc>
        <w:tc>
          <w:tcPr>
            <w:tcW w:w="760" w:type="dxa"/>
            <w:vAlign w:val="bottom"/>
            <w:tcBorders>
              <w:bottom w:val="single" w:sz="8" w:color="D6F3E8"/>
            </w:tcBorders>
          </w:tcPr>
          <w:p>
            <w:pPr>
              <w:spacing w:after="0"/>
              <w:rPr>
                <w:sz w:val="22"/>
                <w:szCs w:val="22"/>
                <w:color w:val="auto"/>
              </w:rPr>
            </w:pPr>
          </w:p>
        </w:tc>
        <w:tc>
          <w:tcPr>
            <w:tcW w:w="100" w:type="dxa"/>
            <w:vAlign w:val="bottom"/>
            <w:tcBorders>
              <w:bottom w:val="single" w:sz="8" w:color="D6F3E8"/>
            </w:tcBorders>
          </w:tcPr>
          <w:p>
            <w:pPr>
              <w:spacing w:after="0"/>
              <w:rPr>
                <w:sz w:val="22"/>
                <w:szCs w:val="22"/>
                <w:color w:val="auto"/>
              </w:rPr>
            </w:pPr>
          </w:p>
        </w:tc>
        <w:tc>
          <w:tcPr>
            <w:tcW w:w="100" w:type="dxa"/>
            <w:vAlign w:val="bottom"/>
            <w:tcBorders>
              <w:bottom w:val="single" w:sz="8" w:color="D6F3E8"/>
            </w:tcBorders>
          </w:tcPr>
          <w:p>
            <w:pPr>
              <w:spacing w:after="0"/>
              <w:rPr>
                <w:sz w:val="22"/>
                <w:szCs w:val="22"/>
                <w:color w:val="auto"/>
              </w:rPr>
            </w:pPr>
          </w:p>
        </w:tc>
        <w:tc>
          <w:tcPr>
            <w:tcW w:w="120" w:type="dxa"/>
            <w:vAlign w:val="bottom"/>
            <w:tcBorders>
              <w:bottom w:val="single" w:sz="8" w:color="D6F3E8"/>
            </w:tcBorders>
          </w:tcPr>
          <w:p>
            <w:pPr>
              <w:spacing w:after="0"/>
              <w:rPr>
                <w:sz w:val="22"/>
                <w:szCs w:val="22"/>
                <w:color w:val="auto"/>
              </w:rPr>
            </w:pPr>
          </w:p>
        </w:tc>
        <w:tc>
          <w:tcPr>
            <w:tcW w:w="920" w:type="dxa"/>
            <w:vAlign w:val="bottom"/>
            <w:tcBorders>
              <w:bottom w:val="single" w:sz="8" w:color="D6F3E8"/>
            </w:tcBorders>
          </w:tcPr>
          <w:p>
            <w:pPr>
              <w:spacing w:after="0"/>
              <w:rPr>
                <w:sz w:val="22"/>
                <w:szCs w:val="22"/>
                <w:color w:val="auto"/>
              </w:rPr>
            </w:pPr>
          </w:p>
        </w:tc>
        <w:tc>
          <w:tcPr>
            <w:tcW w:w="120" w:type="dxa"/>
            <w:vAlign w:val="bottom"/>
            <w:tcBorders>
              <w:bottom w:val="single" w:sz="8" w:color="D6F3E8"/>
            </w:tcBorders>
          </w:tcPr>
          <w:p>
            <w:pPr>
              <w:spacing w:after="0"/>
              <w:rPr>
                <w:sz w:val="22"/>
                <w:szCs w:val="22"/>
                <w:color w:val="auto"/>
              </w:rPr>
            </w:pPr>
          </w:p>
        </w:tc>
        <w:tc>
          <w:tcPr>
            <w:tcW w:w="80" w:type="dxa"/>
            <w:vAlign w:val="bottom"/>
            <w:tcBorders>
              <w:bottom w:val="single" w:sz="8" w:color="D6F3E8"/>
            </w:tcBorders>
          </w:tcPr>
          <w:p>
            <w:pPr>
              <w:spacing w:after="0"/>
              <w:rPr>
                <w:sz w:val="22"/>
                <w:szCs w:val="22"/>
                <w:color w:val="auto"/>
              </w:rPr>
            </w:pPr>
          </w:p>
        </w:tc>
        <w:tc>
          <w:tcPr>
            <w:tcW w:w="580" w:type="dxa"/>
            <w:vAlign w:val="bottom"/>
            <w:tcBorders>
              <w:bottom w:val="single" w:sz="8" w:color="D6F3E8"/>
            </w:tcBorders>
          </w:tcPr>
          <w:p>
            <w:pPr>
              <w:spacing w:after="0"/>
              <w:rPr>
                <w:sz w:val="22"/>
                <w:szCs w:val="22"/>
                <w:color w:val="auto"/>
              </w:rPr>
            </w:pPr>
          </w:p>
        </w:tc>
        <w:tc>
          <w:tcPr>
            <w:tcW w:w="140" w:type="dxa"/>
            <w:vAlign w:val="bottom"/>
            <w:tcBorders>
              <w:bottom w:val="single" w:sz="8" w:color="D6F3E8"/>
            </w:tcBorders>
          </w:tcPr>
          <w:p>
            <w:pPr>
              <w:spacing w:after="0"/>
              <w:rPr>
                <w:sz w:val="22"/>
                <w:szCs w:val="22"/>
                <w:color w:val="auto"/>
              </w:rPr>
            </w:pPr>
          </w:p>
        </w:tc>
        <w:tc>
          <w:tcPr>
            <w:tcW w:w="80" w:type="dxa"/>
            <w:vAlign w:val="bottom"/>
            <w:tcBorders>
              <w:bottom w:val="single" w:sz="8" w:color="D6F3E8"/>
            </w:tcBorders>
          </w:tcPr>
          <w:p>
            <w:pPr>
              <w:spacing w:after="0"/>
              <w:rPr>
                <w:sz w:val="22"/>
                <w:szCs w:val="22"/>
                <w:color w:val="auto"/>
              </w:rPr>
            </w:pPr>
          </w:p>
        </w:tc>
        <w:tc>
          <w:tcPr>
            <w:tcW w:w="120" w:type="dxa"/>
            <w:vAlign w:val="bottom"/>
            <w:tcBorders>
              <w:bottom w:val="single" w:sz="8" w:color="D6F3E8"/>
            </w:tcBorders>
          </w:tcPr>
          <w:p>
            <w:pPr>
              <w:spacing w:after="0"/>
              <w:rPr>
                <w:sz w:val="22"/>
                <w:szCs w:val="22"/>
                <w:color w:val="auto"/>
              </w:rPr>
            </w:pPr>
          </w:p>
        </w:tc>
        <w:tc>
          <w:tcPr>
            <w:tcW w:w="100" w:type="dxa"/>
            <w:vAlign w:val="bottom"/>
            <w:tcBorders>
              <w:bottom w:val="single" w:sz="8" w:color="D6F3E8"/>
            </w:tcBorders>
          </w:tcPr>
          <w:p>
            <w:pPr>
              <w:spacing w:after="0"/>
              <w:rPr>
                <w:sz w:val="22"/>
                <w:szCs w:val="22"/>
                <w:color w:val="auto"/>
              </w:rPr>
            </w:pPr>
          </w:p>
        </w:tc>
        <w:tc>
          <w:tcPr>
            <w:tcW w:w="200" w:type="dxa"/>
            <w:vAlign w:val="bottom"/>
            <w:tcBorders>
              <w:bottom w:val="single" w:sz="8" w:color="D6F3E8"/>
            </w:tcBorders>
          </w:tcPr>
          <w:p>
            <w:pPr>
              <w:spacing w:after="0"/>
              <w:rPr>
                <w:sz w:val="22"/>
                <w:szCs w:val="22"/>
                <w:color w:val="auto"/>
              </w:rPr>
            </w:pPr>
          </w:p>
        </w:tc>
        <w:tc>
          <w:tcPr>
            <w:tcW w:w="1040" w:type="dxa"/>
            <w:vAlign w:val="bottom"/>
            <w:tcBorders>
              <w:bottom w:val="single" w:sz="8" w:color="D6F3E8"/>
            </w:tcBorders>
            <w:gridSpan w:val="2"/>
          </w:tcPr>
          <w:p>
            <w:pPr>
              <w:jc w:val="right"/>
              <w:ind w:right="80"/>
              <w:spacing w:after="0"/>
              <w:rPr>
                <w:sz w:val="20"/>
                <w:szCs w:val="20"/>
                <w:color w:val="auto"/>
              </w:rPr>
            </w:pPr>
            <w:r>
              <w:rPr>
                <w:rFonts w:ascii="Arial" w:cs="Arial" w:eastAsia="Arial" w:hAnsi="Arial"/>
                <w:sz w:val="17"/>
                <w:szCs w:val="17"/>
                <w:color w:val="auto"/>
              </w:rPr>
              <w:t>8,092,009</w:t>
            </w:r>
          </w:p>
        </w:tc>
        <w:tc>
          <w:tcPr>
            <w:tcW w:w="80" w:type="dxa"/>
            <w:vAlign w:val="bottom"/>
            <w:tcBorders>
              <w:bottom w:val="single" w:sz="8" w:color="D6F3E8"/>
            </w:tcBorders>
          </w:tcPr>
          <w:p>
            <w:pPr>
              <w:spacing w:after="0"/>
              <w:rPr>
                <w:sz w:val="22"/>
                <w:szCs w:val="22"/>
                <w:color w:val="auto"/>
              </w:rPr>
            </w:pPr>
          </w:p>
        </w:tc>
        <w:tc>
          <w:tcPr>
            <w:tcW w:w="160" w:type="dxa"/>
            <w:vAlign w:val="bottom"/>
            <w:tcBorders>
              <w:bottom w:val="single" w:sz="8" w:color="D6F3E8"/>
            </w:tcBorders>
          </w:tcPr>
          <w:p>
            <w:pPr>
              <w:spacing w:after="0"/>
              <w:rPr>
                <w:sz w:val="22"/>
                <w:szCs w:val="22"/>
                <w:color w:val="auto"/>
              </w:rPr>
            </w:pPr>
          </w:p>
        </w:tc>
        <w:tc>
          <w:tcPr>
            <w:tcW w:w="220" w:type="dxa"/>
            <w:vAlign w:val="bottom"/>
            <w:tcBorders>
              <w:bottom w:val="single" w:sz="8" w:color="D6F3E8"/>
            </w:tcBorders>
          </w:tcPr>
          <w:p>
            <w:pPr>
              <w:spacing w:after="0"/>
              <w:rPr>
                <w:sz w:val="22"/>
                <w:szCs w:val="22"/>
                <w:color w:val="auto"/>
              </w:rPr>
            </w:pPr>
          </w:p>
        </w:tc>
        <w:tc>
          <w:tcPr>
            <w:tcW w:w="620" w:type="dxa"/>
            <w:vAlign w:val="bottom"/>
            <w:tcBorders>
              <w:bottom w:val="single" w:sz="8" w:color="D6F3E8"/>
            </w:tcBorders>
          </w:tcPr>
          <w:p>
            <w:pPr>
              <w:spacing w:after="0"/>
              <w:rPr>
                <w:sz w:val="22"/>
                <w:szCs w:val="22"/>
                <w:color w:val="auto"/>
              </w:rPr>
            </w:pPr>
          </w:p>
        </w:tc>
        <w:tc>
          <w:tcPr>
            <w:tcW w:w="80" w:type="dxa"/>
            <w:vAlign w:val="bottom"/>
            <w:tcBorders>
              <w:bottom w:val="single" w:sz="8" w:color="D6F3E8"/>
            </w:tcBorders>
          </w:tcPr>
          <w:p>
            <w:pPr>
              <w:spacing w:after="0"/>
              <w:rPr>
                <w:sz w:val="22"/>
                <w:szCs w:val="22"/>
                <w:color w:val="auto"/>
              </w:rPr>
            </w:pPr>
          </w:p>
        </w:tc>
        <w:tc>
          <w:tcPr>
            <w:tcW w:w="20" w:type="dxa"/>
            <w:vAlign w:val="bottom"/>
            <w:tcBorders>
              <w:bottom w:val="single" w:sz="8" w:color="D6F3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8,092,009</w:t>
            </w:r>
          </w:p>
        </w:tc>
        <w:tc>
          <w:tcPr>
            <w:tcW w:w="12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180" w:type="dxa"/>
            <w:vAlign w:val="bottom"/>
            <w:shd w:val="clear" w:color="auto" w:fill="D6F3E8"/>
          </w:tcPr>
          <w:p>
            <w:pPr>
              <w:ind w:left="980"/>
              <w:spacing w:after="0"/>
              <w:rPr>
                <w:sz w:val="20"/>
                <w:szCs w:val="20"/>
                <w:color w:val="auto"/>
              </w:rPr>
            </w:pPr>
            <w:r>
              <w:rPr>
                <w:rFonts w:ascii="Arial" w:cs="Arial" w:eastAsia="Arial" w:hAnsi="Arial"/>
                <w:sz w:val="17"/>
                <w:szCs w:val="17"/>
                <w:color w:val="auto"/>
              </w:rPr>
              <w:t>Comprehensive income</w:t>
            </w:r>
          </w:p>
        </w:tc>
        <w:tc>
          <w:tcPr>
            <w:tcW w:w="1000" w:type="dxa"/>
            <w:vAlign w:val="bottom"/>
            <w:tcBorders>
              <w:bottom w:val="single" w:sz="8" w:color="auto"/>
            </w:tcBorders>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60" w:type="dxa"/>
            <w:vAlign w:val="bottom"/>
            <w:tcBorders>
              <w:bottom w:val="single" w:sz="8" w:color="auto"/>
            </w:tcBorders>
            <w:shd w:val="clear" w:color="auto" w:fill="D6F3E8"/>
          </w:tcPr>
          <w:p>
            <w:pPr>
              <w:spacing w:after="0"/>
              <w:rPr>
                <w:sz w:val="21"/>
                <w:szCs w:val="21"/>
                <w:color w:val="auto"/>
              </w:rPr>
            </w:pPr>
          </w:p>
        </w:tc>
        <w:tc>
          <w:tcPr>
            <w:tcW w:w="760" w:type="dxa"/>
            <w:vAlign w:val="bottom"/>
            <w:tcBorders>
              <w:bottom w:val="single" w:sz="8" w:color="auto"/>
            </w:tcBorders>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00" w:type="dxa"/>
            <w:vAlign w:val="bottom"/>
            <w:tcBorders>
              <w:bottom w:val="single" w:sz="8" w:color="auto"/>
            </w:tcBorders>
            <w:shd w:val="clear" w:color="auto" w:fill="D6F3E8"/>
          </w:tcPr>
          <w:p>
            <w:pPr>
              <w:spacing w:after="0"/>
              <w:rPr>
                <w:sz w:val="21"/>
                <w:szCs w:val="21"/>
                <w:color w:val="auto"/>
              </w:rPr>
            </w:pPr>
          </w:p>
        </w:tc>
        <w:tc>
          <w:tcPr>
            <w:tcW w:w="120" w:type="dxa"/>
            <w:vAlign w:val="bottom"/>
            <w:tcBorders>
              <w:bottom w:val="single" w:sz="8" w:color="auto"/>
            </w:tcBorders>
            <w:shd w:val="clear" w:color="auto" w:fill="D6F3E8"/>
          </w:tcPr>
          <w:p>
            <w:pPr>
              <w:spacing w:after="0"/>
              <w:rPr>
                <w:sz w:val="21"/>
                <w:szCs w:val="21"/>
                <w:color w:val="auto"/>
              </w:rPr>
            </w:pPr>
          </w:p>
        </w:tc>
        <w:tc>
          <w:tcPr>
            <w:tcW w:w="920" w:type="dxa"/>
            <w:vAlign w:val="bottom"/>
            <w:tcBorders>
              <w:bottom w:val="single" w:sz="8" w:color="auto"/>
            </w:tcBorders>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80" w:type="dxa"/>
            <w:vAlign w:val="bottom"/>
            <w:tcBorders>
              <w:bottom w:val="single" w:sz="8" w:color="auto"/>
            </w:tcBorders>
            <w:shd w:val="clear" w:color="auto" w:fill="D6F3E8"/>
          </w:tcPr>
          <w:p>
            <w:pPr>
              <w:spacing w:after="0"/>
              <w:rPr>
                <w:sz w:val="21"/>
                <w:szCs w:val="21"/>
                <w:color w:val="auto"/>
              </w:rPr>
            </w:pPr>
          </w:p>
        </w:tc>
        <w:tc>
          <w:tcPr>
            <w:tcW w:w="580" w:type="dxa"/>
            <w:vAlign w:val="bottom"/>
            <w:tcBorders>
              <w:bottom w:val="single" w:sz="8" w:color="auto"/>
            </w:tcBorders>
            <w:shd w:val="clear" w:color="auto" w:fill="D6F3E8"/>
          </w:tcPr>
          <w:p>
            <w:pPr>
              <w:spacing w:after="0"/>
              <w:rPr>
                <w:sz w:val="21"/>
                <w:szCs w:val="21"/>
                <w:color w:val="auto"/>
              </w:rPr>
            </w:pPr>
          </w:p>
        </w:tc>
        <w:tc>
          <w:tcPr>
            <w:tcW w:w="140" w:type="dxa"/>
            <w:vAlign w:val="bottom"/>
            <w:tcBorders>
              <w:bottom w:val="single" w:sz="8" w:color="auto"/>
            </w:tcBorders>
            <w:shd w:val="clear" w:color="auto" w:fill="D6F3E8"/>
          </w:tcPr>
          <w:p>
            <w:pPr>
              <w:spacing w:after="0"/>
              <w:rPr>
                <w:sz w:val="21"/>
                <w:szCs w:val="21"/>
                <w:color w:val="auto"/>
              </w:rPr>
            </w:pPr>
          </w:p>
        </w:tc>
        <w:tc>
          <w:tcPr>
            <w:tcW w:w="80" w:type="dxa"/>
            <w:vAlign w:val="bottom"/>
            <w:tcBorders>
              <w:bottom w:val="single" w:sz="8" w:color="auto"/>
            </w:tcBorders>
            <w:shd w:val="clear" w:color="auto" w:fill="D6F3E8"/>
          </w:tcPr>
          <w:p>
            <w:pPr>
              <w:spacing w:after="0"/>
              <w:rPr>
                <w:sz w:val="21"/>
                <w:szCs w:val="21"/>
                <w:color w:val="auto"/>
              </w:rPr>
            </w:pPr>
          </w:p>
        </w:tc>
        <w:tc>
          <w:tcPr>
            <w:tcW w:w="120" w:type="dxa"/>
            <w:vAlign w:val="bottom"/>
            <w:tcBorders>
              <w:bottom w:val="single" w:sz="8" w:color="auto"/>
            </w:tcBorders>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200" w:type="dxa"/>
            <w:vAlign w:val="bottom"/>
            <w:tcBorders>
              <w:bottom w:val="single" w:sz="8" w:color="auto"/>
            </w:tcBorders>
            <w:shd w:val="clear" w:color="auto" w:fill="D6F3E8"/>
          </w:tcPr>
          <w:p>
            <w:pPr>
              <w:spacing w:after="0"/>
              <w:rPr>
                <w:sz w:val="21"/>
                <w:szCs w:val="21"/>
                <w:color w:val="auto"/>
              </w:rPr>
            </w:pPr>
          </w:p>
        </w:tc>
        <w:tc>
          <w:tcPr>
            <w:tcW w:w="960" w:type="dxa"/>
            <w:vAlign w:val="bottom"/>
            <w:tcBorders>
              <w:bottom w:val="single" w:sz="8" w:color="auto"/>
            </w:tcBorders>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160" w:type="dxa"/>
            <w:vAlign w:val="bottom"/>
            <w:tcBorders>
              <w:bottom w:val="single" w:sz="8" w:color="auto"/>
            </w:tcBorders>
            <w:shd w:val="clear" w:color="auto" w:fill="D6F3E8"/>
          </w:tcPr>
          <w:p>
            <w:pPr>
              <w:spacing w:after="0"/>
              <w:rPr>
                <w:sz w:val="21"/>
                <w:szCs w:val="21"/>
                <w:color w:val="auto"/>
              </w:rPr>
            </w:pPr>
          </w:p>
        </w:tc>
        <w:tc>
          <w:tcPr>
            <w:tcW w:w="220" w:type="dxa"/>
            <w:vAlign w:val="bottom"/>
            <w:tcBorders>
              <w:bottom w:val="single" w:sz="8" w:color="auto"/>
            </w:tcBorders>
            <w:shd w:val="clear" w:color="auto" w:fill="D6F3E8"/>
          </w:tcPr>
          <w:p>
            <w:pPr>
              <w:spacing w:after="0"/>
              <w:rPr>
                <w:sz w:val="21"/>
                <w:szCs w:val="21"/>
                <w:color w:val="auto"/>
              </w:rPr>
            </w:pPr>
          </w:p>
        </w:tc>
        <w:tc>
          <w:tcPr>
            <w:tcW w:w="620" w:type="dxa"/>
            <w:vAlign w:val="bottom"/>
            <w:tcBorders>
              <w:bottom w:val="single" w:sz="8" w:color="auto"/>
            </w:tcBorders>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20" w:type="dxa"/>
            <w:vAlign w:val="bottom"/>
            <w:shd w:val="clear" w:color="auto" w:fill="D6F3E8"/>
          </w:tcPr>
          <w:p>
            <w:pPr>
              <w:spacing w:after="0"/>
              <w:rPr>
                <w:sz w:val="21"/>
                <w:szCs w:val="21"/>
                <w:color w:val="auto"/>
              </w:rPr>
            </w:pPr>
          </w:p>
        </w:tc>
        <w:tc>
          <w:tcPr>
            <w:tcW w:w="140" w:type="dxa"/>
            <w:vAlign w:val="bottom"/>
            <w:tcBorders>
              <w:bottom w:val="single" w:sz="8" w:color="auto"/>
            </w:tcBorders>
            <w:shd w:val="clear" w:color="auto" w:fill="D6F3E8"/>
          </w:tcPr>
          <w:p>
            <w:pPr>
              <w:spacing w:after="0"/>
              <w:rPr>
                <w:sz w:val="21"/>
                <w:szCs w:val="21"/>
                <w:color w:val="auto"/>
              </w:rPr>
            </w:pPr>
          </w:p>
        </w:tc>
        <w:tc>
          <w:tcPr>
            <w:tcW w:w="1080" w:type="dxa"/>
            <w:vAlign w:val="bottom"/>
            <w:tcBorders>
              <w:bottom w:val="single" w:sz="8" w:color="auto"/>
              <w:right w:val="single" w:sz="8" w:color="D6F3E8"/>
            </w:tcBorders>
            <w:gridSpan w:val="2"/>
            <w:shd w:val="clear" w:color="auto" w:fill="D6F3E8"/>
          </w:tcPr>
          <w:p>
            <w:pPr>
              <w:jc w:val="right"/>
              <w:ind w:right="60"/>
              <w:spacing w:after="0"/>
              <w:rPr>
                <w:sz w:val="20"/>
                <w:szCs w:val="20"/>
                <w:color w:val="auto"/>
              </w:rPr>
            </w:pPr>
            <w:r>
              <w:rPr>
                <w:rFonts w:ascii="Arial" w:cs="Arial" w:eastAsia="Arial" w:hAnsi="Arial"/>
                <w:sz w:val="17"/>
                <w:szCs w:val="17"/>
                <w:color w:val="auto"/>
              </w:rPr>
              <w:t>7,699,650</w:t>
            </w:r>
          </w:p>
        </w:tc>
        <w:tc>
          <w:tcPr>
            <w:tcW w:w="1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436"/>
        </w:trPr>
        <w:tc>
          <w:tcPr>
            <w:tcW w:w="3180" w:type="dxa"/>
            <w:vAlign w:val="bottom"/>
          </w:tcPr>
          <w:p>
            <w:pPr>
              <w:spacing w:after="0"/>
              <w:rPr>
                <w:sz w:val="20"/>
                <w:szCs w:val="20"/>
                <w:color w:val="auto"/>
              </w:rPr>
            </w:pPr>
            <w:r>
              <w:rPr>
                <w:rFonts w:ascii="Arial" w:cs="Arial" w:eastAsia="Arial" w:hAnsi="Arial"/>
                <w:sz w:val="17"/>
                <w:szCs w:val="17"/>
                <w:color w:val="auto"/>
              </w:rPr>
              <w:t>BALANCE—April 3, 2005</w:t>
            </w:r>
          </w:p>
        </w:tc>
        <w:tc>
          <w:tcPr>
            <w:tcW w:w="1000" w:type="dxa"/>
            <w:vAlign w:val="bottom"/>
          </w:tcPr>
          <w:p>
            <w:pPr>
              <w:jc w:val="right"/>
              <w:spacing w:after="0"/>
              <w:rPr>
                <w:sz w:val="20"/>
                <w:szCs w:val="20"/>
                <w:color w:val="auto"/>
              </w:rPr>
            </w:pPr>
            <w:r>
              <w:rPr>
                <w:rFonts w:ascii="Arial" w:cs="Arial" w:eastAsia="Arial" w:hAnsi="Arial"/>
                <w:sz w:val="17"/>
                <w:szCs w:val="17"/>
                <w:color w:val="auto"/>
              </w:rPr>
              <w:t>10,257,341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512,867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38,232,076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7"/>
                <w:szCs w:val="17"/>
                <w:color w:val="auto"/>
              </w:rPr>
              <w:t>(198,702)</w:t>
            </w:r>
          </w:p>
        </w:tc>
        <w:tc>
          <w:tcPr>
            <w:tcW w:w="20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33,849,357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7"/>
                <w:szCs w:val="17"/>
                <w:color w:val="auto"/>
              </w:rPr>
              <w:t>(196,031)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72,199,567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180" w:type="dxa"/>
            <w:vAlign w:val="bottom"/>
            <w:shd w:val="clear" w:color="auto" w:fill="D6F3E8"/>
          </w:tcPr>
          <w:p>
            <w:pPr>
              <w:ind w:left="340"/>
              <w:spacing w:after="0"/>
              <w:rPr>
                <w:sz w:val="20"/>
                <w:szCs w:val="20"/>
                <w:color w:val="auto"/>
              </w:rPr>
            </w:pPr>
            <w:r>
              <w:rPr>
                <w:rFonts w:ascii="Arial" w:cs="Arial" w:eastAsia="Arial" w:hAnsi="Arial"/>
                <w:sz w:val="17"/>
                <w:szCs w:val="17"/>
                <w:color w:val="auto"/>
              </w:rPr>
              <w:t>Cash dividends</w:t>
            </w:r>
          </w:p>
        </w:tc>
        <w:tc>
          <w:tcPr>
            <w:tcW w:w="100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76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9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5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ind w:right="20"/>
              <w:spacing w:after="0"/>
              <w:rPr>
                <w:sz w:val="20"/>
                <w:szCs w:val="20"/>
                <w:color w:val="auto"/>
              </w:rPr>
            </w:pPr>
            <w:r>
              <w:rPr>
                <w:rFonts w:ascii="Arial" w:cs="Arial" w:eastAsia="Arial" w:hAnsi="Arial"/>
                <w:sz w:val="17"/>
                <w:szCs w:val="17"/>
                <w:color w:val="auto"/>
              </w:rPr>
              <w:t>(4,078,395)</w:t>
            </w:r>
          </w:p>
        </w:tc>
        <w:tc>
          <w:tcPr>
            <w:tcW w:w="8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62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2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080" w:type="dxa"/>
            <w:vAlign w:val="bottom"/>
            <w:tcBorders>
              <w:right w:val="single" w:sz="8" w:color="D6F3E8"/>
            </w:tcBorders>
            <w:gridSpan w:val="2"/>
            <w:shd w:val="clear" w:color="auto" w:fill="D6F3E8"/>
          </w:tcPr>
          <w:p>
            <w:pPr>
              <w:jc w:val="right"/>
              <w:spacing w:after="0"/>
              <w:rPr>
                <w:sz w:val="20"/>
                <w:szCs w:val="20"/>
                <w:color w:val="auto"/>
              </w:rPr>
            </w:pPr>
            <w:r>
              <w:rPr>
                <w:rFonts w:ascii="Arial" w:cs="Arial" w:eastAsia="Arial" w:hAnsi="Arial"/>
                <w:sz w:val="17"/>
                <w:szCs w:val="17"/>
                <w:color w:val="auto"/>
              </w:rPr>
              <w:t>(4,078,395)</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180" w:type="dxa"/>
            <w:vAlign w:val="bottom"/>
          </w:tcPr>
          <w:p>
            <w:pPr>
              <w:ind w:left="340"/>
              <w:spacing w:after="0"/>
              <w:rPr>
                <w:sz w:val="20"/>
                <w:szCs w:val="20"/>
                <w:color w:val="auto"/>
              </w:rPr>
            </w:pPr>
            <w:r>
              <w:rPr>
                <w:rFonts w:ascii="Arial" w:cs="Arial" w:eastAsia="Arial" w:hAnsi="Arial"/>
                <w:sz w:val="17"/>
                <w:szCs w:val="17"/>
                <w:color w:val="auto"/>
              </w:rPr>
              <w:t>Shares surrendered for payroll taxes</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(10,487)</w:t>
            </w:r>
          </w:p>
        </w:tc>
        <w:tc>
          <w:tcPr>
            <w:tcW w:w="16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(524)</w:t>
            </w:r>
          </w:p>
        </w:tc>
        <w:tc>
          <w:tcPr>
            <w:tcW w:w="100" w:type="dxa"/>
            <w:vAlign w:val="bottom"/>
          </w:tcPr>
          <w:p>
            <w:pPr>
              <w:spacing w:after="0"/>
              <w:rPr>
                <w:sz w:val="22"/>
                <w:szCs w:val="22"/>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7"/>
                <w:szCs w:val="17"/>
                <w:color w:val="auto"/>
              </w:rPr>
              <w:t>(123,221)</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(123,745)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80" w:type="dxa"/>
            <w:vAlign w:val="bottom"/>
            <w:shd w:val="clear" w:color="auto" w:fill="D6F3E8"/>
          </w:tcPr>
          <w:p>
            <w:pPr>
              <w:ind w:left="340"/>
              <w:spacing w:after="0"/>
              <w:rPr>
                <w:sz w:val="20"/>
                <w:szCs w:val="20"/>
                <w:color w:val="auto"/>
              </w:rPr>
            </w:pPr>
            <w:r>
              <w:rPr>
                <w:rFonts w:ascii="Arial" w:cs="Arial" w:eastAsia="Arial" w:hAnsi="Arial"/>
                <w:sz w:val="17"/>
                <w:szCs w:val="17"/>
                <w:color w:val="auto"/>
              </w:rPr>
              <w:t>Litigation settlement</w:t>
            </w:r>
          </w:p>
        </w:tc>
        <w:tc>
          <w:tcPr>
            <w:tcW w:w="1100" w:type="dxa"/>
            <w:vAlign w:val="bottom"/>
            <w:gridSpan w:val="2"/>
            <w:shd w:val="clear" w:color="auto" w:fill="D6F3E8"/>
          </w:tcPr>
          <w:p>
            <w:pPr>
              <w:jc w:val="right"/>
              <w:ind w:right="40"/>
              <w:spacing w:after="0"/>
              <w:rPr>
                <w:sz w:val="20"/>
                <w:szCs w:val="20"/>
                <w:color w:val="auto"/>
              </w:rPr>
            </w:pPr>
            <w:r>
              <w:rPr>
                <w:rFonts w:ascii="Arial" w:cs="Arial" w:eastAsia="Arial" w:hAnsi="Arial"/>
                <w:sz w:val="17"/>
                <w:szCs w:val="17"/>
                <w:color w:val="auto"/>
              </w:rPr>
              <w:t>(75,358)</w:t>
            </w:r>
          </w:p>
        </w:tc>
        <w:tc>
          <w:tcPr>
            <w:tcW w:w="160" w:type="dxa"/>
            <w:vAlign w:val="bottom"/>
            <w:shd w:val="clear" w:color="auto" w:fill="D6F3E8"/>
          </w:tcPr>
          <w:p>
            <w:pPr>
              <w:spacing w:after="0"/>
              <w:rPr>
                <w:sz w:val="22"/>
                <w:szCs w:val="22"/>
                <w:color w:val="auto"/>
              </w:rPr>
            </w:pPr>
          </w:p>
        </w:tc>
        <w:tc>
          <w:tcPr>
            <w:tcW w:w="860" w:type="dxa"/>
            <w:vAlign w:val="bottom"/>
            <w:gridSpan w:val="2"/>
            <w:shd w:val="clear" w:color="auto" w:fill="D6F3E8"/>
          </w:tcPr>
          <w:p>
            <w:pPr>
              <w:jc w:val="right"/>
              <w:ind w:right="40"/>
              <w:spacing w:after="0"/>
              <w:rPr>
                <w:sz w:val="20"/>
                <w:szCs w:val="20"/>
                <w:color w:val="auto"/>
              </w:rPr>
            </w:pPr>
            <w:r>
              <w:rPr>
                <w:rFonts w:ascii="Arial" w:cs="Arial" w:eastAsia="Arial" w:hAnsi="Arial"/>
                <w:sz w:val="17"/>
                <w:szCs w:val="17"/>
                <w:color w:val="auto"/>
              </w:rPr>
              <w:t>(3,768)</w:t>
            </w:r>
          </w:p>
        </w:tc>
        <w:tc>
          <w:tcPr>
            <w:tcW w:w="100" w:type="dxa"/>
            <w:vAlign w:val="bottom"/>
            <w:shd w:val="clear" w:color="auto" w:fill="D6F3E8"/>
          </w:tcPr>
          <w:p>
            <w:pPr>
              <w:spacing w:after="0"/>
              <w:rPr>
                <w:sz w:val="22"/>
                <w:szCs w:val="22"/>
                <w:color w:val="auto"/>
              </w:rPr>
            </w:pPr>
          </w:p>
        </w:tc>
        <w:tc>
          <w:tcPr>
            <w:tcW w:w="1160" w:type="dxa"/>
            <w:vAlign w:val="bottom"/>
            <w:gridSpan w:val="3"/>
            <w:shd w:val="clear" w:color="auto" w:fill="D6F3E8"/>
          </w:tcPr>
          <w:p>
            <w:pPr>
              <w:jc w:val="right"/>
              <w:ind w:right="60"/>
              <w:spacing w:after="0"/>
              <w:rPr>
                <w:sz w:val="20"/>
                <w:szCs w:val="20"/>
                <w:color w:val="auto"/>
              </w:rPr>
            </w:pPr>
            <w:r>
              <w:rPr>
                <w:rFonts w:ascii="Arial" w:cs="Arial" w:eastAsia="Arial" w:hAnsi="Arial"/>
                <w:sz w:val="17"/>
                <w:szCs w:val="17"/>
                <w:color w:val="auto"/>
              </w:rPr>
              <w:t>(1,052,752)</w:t>
            </w:r>
          </w:p>
        </w:tc>
        <w:tc>
          <w:tcPr>
            <w:tcW w:w="80" w:type="dxa"/>
            <w:vAlign w:val="bottom"/>
            <w:shd w:val="clear" w:color="auto" w:fill="D6F3E8"/>
          </w:tcPr>
          <w:p>
            <w:pPr>
              <w:spacing w:after="0"/>
              <w:rPr>
                <w:sz w:val="22"/>
                <w:szCs w:val="22"/>
                <w:color w:val="auto"/>
              </w:rPr>
            </w:pPr>
          </w:p>
        </w:tc>
        <w:tc>
          <w:tcPr>
            <w:tcW w:w="5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96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62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2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080" w:type="dxa"/>
            <w:vAlign w:val="bottom"/>
            <w:tcBorders>
              <w:right w:val="single" w:sz="8" w:color="D6F3E8"/>
            </w:tcBorders>
            <w:gridSpan w:val="2"/>
            <w:shd w:val="clear" w:color="auto" w:fill="D6F3E8"/>
          </w:tcPr>
          <w:p>
            <w:pPr>
              <w:jc w:val="right"/>
              <w:spacing w:after="0"/>
              <w:rPr>
                <w:sz w:val="20"/>
                <w:szCs w:val="20"/>
                <w:color w:val="auto"/>
              </w:rPr>
            </w:pPr>
            <w:r>
              <w:rPr>
                <w:rFonts w:ascii="Arial" w:cs="Arial" w:eastAsia="Arial" w:hAnsi="Arial"/>
                <w:sz w:val="17"/>
                <w:szCs w:val="17"/>
                <w:color w:val="auto"/>
              </w:rPr>
              <w:t>(1,056,520)</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180" w:type="dxa"/>
            <w:vAlign w:val="bottom"/>
          </w:tcPr>
          <w:p>
            <w:pPr>
              <w:ind w:left="340"/>
              <w:spacing w:after="0"/>
              <w:rPr>
                <w:sz w:val="20"/>
                <w:szCs w:val="20"/>
                <w:color w:val="auto"/>
              </w:rPr>
            </w:pPr>
            <w:r>
              <w:rPr>
                <w:rFonts w:ascii="Arial" w:cs="Arial" w:eastAsia="Arial" w:hAnsi="Arial"/>
                <w:sz w:val="17"/>
                <w:szCs w:val="17"/>
                <w:color w:val="auto"/>
              </w:rPr>
              <w:t>Amortization of unearned</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180" w:type="dxa"/>
            <w:vAlign w:val="bottom"/>
          </w:tcPr>
          <w:p>
            <w:pPr>
              <w:ind w:left="660"/>
              <w:spacing w:after="0"/>
              <w:rPr>
                <w:sz w:val="20"/>
                <w:szCs w:val="20"/>
                <w:color w:val="auto"/>
              </w:rPr>
            </w:pPr>
            <w:r>
              <w:rPr>
                <w:rFonts w:ascii="Arial" w:cs="Arial" w:eastAsia="Arial" w:hAnsi="Arial"/>
                <w:sz w:val="17"/>
                <w:szCs w:val="17"/>
                <w:color w:val="auto"/>
              </w:rPr>
              <w:t>compensation</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7"/>
                <w:szCs w:val="17"/>
                <w:color w:val="auto"/>
              </w:rPr>
              <w:t>198,702</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198,702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180" w:type="dxa"/>
            <w:vAlign w:val="bottom"/>
          </w:tcPr>
          <w:p>
            <w:pPr>
              <w:ind w:left="340"/>
              <w:spacing w:after="0"/>
              <w:rPr>
                <w:sz w:val="20"/>
                <w:szCs w:val="20"/>
                <w:color w:val="auto"/>
              </w:rPr>
            </w:pPr>
            <w:r>
              <w:rPr>
                <w:rFonts w:ascii="Arial" w:cs="Arial" w:eastAsia="Arial" w:hAnsi="Arial"/>
                <w:sz w:val="17"/>
                <w:szCs w:val="17"/>
                <w:color w:val="auto"/>
              </w:rPr>
              <w:t>Comprehensive income:</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180" w:type="dxa"/>
            <w:vAlign w:val="bottom"/>
            <w:shd w:val="clear" w:color="auto" w:fill="D6F3E8"/>
          </w:tcPr>
          <w:p>
            <w:pPr>
              <w:ind w:left="660"/>
              <w:spacing w:after="0"/>
              <w:rPr>
                <w:sz w:val="20"/>
                <w:szCs w:val="20"/>
                <w:color w:val="auto"/>
              </w:rPr>
            </w:pPr>
            <w:r>
              <w:rPr>
                <w:rFonts w:ascii="Arial" w:cs="Arial" w:eastAsia="Arial" w:hAnsi="Arial"/>
                <w:sz w:val="17"/>
                <w:szCs w:val="17"/>
                <w:color w:val="auto"/>
              </w:rPr>
              <w:t>Unrealized gain on investments</w:t>
            </w:r>
          </w:p>
        </w:tc>
        <w:tc>
          <w:tcPr>
            <w:tcW w:w="100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76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92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58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960" w:type="dxa"/>
            <w:vAlign w:val="bottom"/>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220" w:type="dxa"/>
            <w:vAlign w:val="bottom"/>
            <w:shd w:val="clear" w:color="auto" w:fill="D6F3E8"/>
          </w:tcPr>
          <w:p>
            <w:pPr>
              <w:spacing w:after="0"/>
              <w:rPr>
                <w:sz w:val="21"/>
                <w:szCs w:val="21"/>
                <w:color w:val="auto"/>
              </w:rPr>
            </w:pPr>
          </w:p>
        </w:tc>
        <w:tc>
          <w:tcPr>
            <w:tcW w:w="620" w:type="dxa"/>
            <w:vAlign w:val="bottom"/>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2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860" w:type="dxa"/>
            <w:vAlign w:val="bottom"/>
            <w:shd w:val="clear" w:color="auto" w:fill="D6F3E8"/>
          </w:tcPr>
          <w:p>
            <w:pPr>
              <w:spacing w:after="0"/>
              <w:rPr>
                <w:sz w:val="21"/>
                <w:szCs w:val="21"/>
                <w:color w:val="auto"/>
              </w:rPr>
            </w:pPr>
          </w:p>
        </w:tc>
        <w:tc>
          <w:tcPr>
            <w:tcW w:w="220" w:type="dxa"/>
            <w:vAlign w:val="bottom"/>
            <w:tcBorders>
              <w:right w:val="single" w:sz="8" w:color="D6F3E8"/>
            </w:tcBorders>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80" w:type="dxa"/>
            <w:vAlign w:val="bottom"/>
            <w:shd w:val="clear" w:color="auto" w:fill="D6F3E8"/>
          </w:tcPr>
          <w:p>
            <w:pPr>
              <w:ind w:left="980"/>
              <w:spacing w:after="0"/>
              <w:rPr>
                <w:sz w:val="20"/>
                <w:szCs w:val="20"/>
                <w:color w:val="auto"/>
              </w:rPr>
            </w:pPr>
            <w:r>
              <w:rPr>
                <w:rFonts w:ascii="Arial" w:cs="Arial" w:eastAsia="Arial" w:hAnsi="Arial"/>
                <w:sz w:val="17"/>
                <w:szCs w:val="17"/>
                <w:color w:val="auto"/>
              </w:rPr>
              <w:t>available for sale</w:t>
            </w:r>
          </w:p>
        </w:tc>
        <w:tc>
          <w:tcPr>
            <w:tcW w:w="100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76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92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58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200" w:type="dxa"/>
            <w:vAlign w:val="bottom"/>
            <w:shd w:val="clear" w:color="auto" w:fill="D6F3E8"/>
          </w:tcPr>
          <w:p>
            <w:pPr>
              <w:spacing w:after="0"/>
              <w:rPr>
                <w:sz w:val="19"/>
                <w:szCs w:val="19"/>
                <w:color w:val="auto"/>
              </w:rPr>
            </w:pPr>
          </w:p>
        </w:tc>
        <w:tc>
          <w:tcPr>
            <w:tcW w:w="96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7"/>
                <w:szCs w:val="17"/>
                <w:color w:val="auto"/>
              </w:rPr>
              <w:t>70,277</w:t>
            </w:r>
          </w:p>
        </w:tc>
        <w:tc>
          <w:tcPr>
            <w:tcW w:w="8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1080" w:type="dxa"/>
            <w:vAlign w:val="bottom"/>
            <w:tcBorders>
              <w:right w:val="single" w:sz="8" w:color="D6F3E8"/>
            </w:tcBorders>
            <w:gridSpan w:val="2"/>
            <w:shd w:val="clear" w:color="auto" w:fill="D6F3E8"/>
          </w:tcPr>
          <w:p>
            <w:pPr>
              <w:jc w:val="right"/>
              <w:ind w:right="60"/>
              <w:spacing w:after="0"/>
              <w:rPr>
                <w:sz w:val="20"/>
                <w:szCs w:val="20"/>
                <w:color w:val="auto"/>
              </w:rPr>
            </w:pPr>
            <w:r>
              <w:rPr>
                <w:rFonts w:ascii="Arial" w:cs="Arial" w:eastAsia="Arial" w:hAnsi="Arial"/>
                <w:sz w:val="17"/>
                <w:szCs w:val="17"/>
                <w:color w:val="auto"/>
              </w:rPr>
              <w:t>70,277</w:t>
            </w:r>
          </w:p>
        </w:tc>
        <w:tc>
          <w:tcPr>
            <w:tcW w:w="1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180" w:type="dxa"/>
            <w:vAlign w:val="bottom"/>
            <w:tcBorders>
              <w:bottom w:val="single" w:sz="8" w:color="D6F3E8"/>
            </w:tcBorders>
          </w:tcPr>
          <w:p>
            <w:pPr>
              <w:ind w:left="660"/>
              <w:spacing w:after="0"/>
              <w:rPr>
                <w:sz w:val="20"/>
                <w:szCs w:val="20"/>
                <w:color w:val="auto"/>
              </w:rPr>
            </w:pPr>
            <w:r>
              <w:rPr>
                <w:rFonts w:ascii="Arial" w:cs="Arial" w:eastAsia="Arial" w:hAnsi="Arial"/>
                <w:sz w:val="17"/>
                <w:szCs w:val="17"/>
                <w:color w:val="auto"/>
              </w:rPr>
              <w:t>Net income</w:t>
            </w:r>
          </w:p>
        </w:tc>
        <w:tc>
          <w:tcPr>
            <w:tcW w:w="1000" w:type="dxa"/>
            <w:vAlign w:val="bottom"/>
            <w:tcBorders>
              <w:bottom w:val="single" w:sz="8" w:color="D6F3E8"/>
            </w:tcBorders>
          </w:tcPr>
          <w:p>
            <w:pPr>
              <w:spacing w:after="0"/>
              <w:rPr>
                <w:sz w:val="22"/>
                <w:szCs w:val="22"/>
                <w:color w:val="auto"/>
              </w:rPr>
            </w:pPr>
          </w:p>
        </w:tc>
        <w:tc>
          <w:tcPr>
            <w:tcW w:w="100" w:type="dxa"/>
            <w:vAlign w:val="bottom"/>
            <w:tcBorders>
              <w:bottom w:val="single" w:sz="8" w:color="D6F3E8"/>
            </w:tcBorders>
          </w:tcPr>
          <w:p>
            <w:pPr>
              <w:spacing w:after="0"/>
              <w:rPr>
                <w:sz w:val="22"/>
                <w:szCs w:val="22"/>
                <w:color w:val="auto"/>
              </w:rPr>
            </w:pPr>
          </w:p>
        </w:tc>
        <w:tc>
          <w:tcPr>
            <w:tcW w:w="160" w:type="dxa"/>
            <w:vAlign w:val="bottom"/>
            <w:tcBorders>
              <w:bottom w:val="single" w:sz="8" w:color="D6F3E8"/>
            </w:tcBorders>
          </w:tcPr>
          <w:p>
            <w:pPr>
              <w:spacing w:after="0"/>
              <w:rPr>
                <w:sz w:val="22"/>
                <w:szCs w:val="22"/>
                <w:color w:val="auto"/>
              </w:rPr>
            </w:pPr>
          </w:p>
        </w:tc>
        <w:tc>
          <w:tcPr>
            <w:tcW w:w="760" w:type="dxa"/>
            <w:vAlign w:val="bottom"/>
            <w:tcBorders>
              <w:bottom w:val="single" w:sz="8" w:color="D6F3E8"/>
            </w:tcBorders>
          </w:tcPr>
          <w:p>
            <w:pPr>
              <w:spacing w:after="0"/>
              <w:rPr>
                <w:sz w:val="22"/>
                <w:szCs w:val="22"/>
                <w:color w:val="auto"/>
              </w:rPr>
            </w:pPr>
          </w:p>
        </w:tc>
        <w:tc>
          <w:tcPr>
            <w:tcW w:w="100" w:type="dxa"/>
            <w:vAlign w:val="bottom"/>
            <w:tcBorders>
              <w:bottom w:val="single" w:sz="8" w:color="D6F3E8"/>
            </w:tcBorders>
          </w:tcPr>
          <w:p>
            <w:pPr>
              <w:spacing w:after="0"/>
              <w:rPr>
                <w:sz w:val="22"/>
                <w:szCs w:val="22"/>
                <w:color w:val="auto"/>
              </w:rPr>
            </w:pPr>
          </w:p>
        </w:tc>
        <w:tc>
          <w:tcPr>
            <w:tcW w:w="100" w:type="dxa"/>
            <w:vAlign w:val="bottom"/>
            <w:tcBorders>
              <w:bottom w:val="single" w:sz="8" w:color="D6F3E8"/>
            </w:tcBorders>
          </w:tcPr>
          <w:p>
            <w:pPr>
              <w:spacing w:after="0"/>
              <w:rPr>
                <w:sz w:val="22"/>
                <w:szCs w:val="22"/>
                <w:color w:val="auto"/>
              </w:rPr>
            </w:pPr>
          </w:p>
        </w:tc>
        <w:tc>
          <w:tcPr>
            <w:tcW w:w="120" w:type="dxa"/>
            <w:vAlign w:val="bottom"/>
            <w:tcBorders>
              <w:bottom w:val="single" w:sz="8" w:color="D6F3E8"/>
            </w:tcBorders>
          </w:tcPr>
          <w:p>
            <w:pPr>
              <w:spacing w:after="0"/>
              <w:rPr>
                <w:sz w:val="22"/>
                <w:szCs w:val="22"/>
                <w:color w:val="auto"/>
              </w:rPr>
            </w:pPr>
          </w:p>
        </w:tc>
        <w:tc>
          <w:tcPr>
            <w:tcW w:w="920" w:type="dxa"/>
            <w:vAlign w:val="bottom"/>
            <w:tcBorders>
              <w:bottom w:val="single" w:sz="8" w:color="D6F3E8"/>
            </w:tcBorders>
          </w:tcPr>
          <w:p>
            <w:pPr>
              <w:spacing w:after="0"/>
              <w:rPr>
                <w:sz w:val="22"/>
                <w:szCs w:val="22"/>
                <w:color w:val="auto"/>
              </w:rPr>
            </w:pPr>
          </w:p>
        </w:tc>
        <w:tc>
          <w:tcPr>
            <w:tcW w:w="120" w:type="dxa"/>
            <w:vAlign w:val="bottom"/>
            <w:tcBorders>
              <w:bottom w:val="single" w:sz="8" w:color="D6F3E8"/>
            </w:tcBorders>
          </w:tcPr>
          <w:p>
            <w:pPr>
              <w:spacing w:after="0"/>
              <w:rPr>
                <w:sz w:val="22"/>
                <w:szCs w:val="22"/>
                <w:color w:val="auto"/>
              </w:rPr>
            </w:pPr>
          </w:p>
        </w:tc>
        <w:tc>
          <w:tcPr>
            <w:tcW w:w="80" w:type="dxa"/>
            <w:vAlign w:val="bottom"/>
            <w:tcBorders>
              <w:bottom w:val="single" w:sz="8" w:color="D6F3E8"/>
            </w:tcBorders>
          </w:tcPr>
          <w:p>
            <w:pPr>
              <w:spacing w:after="0"/>
              <w:rPr>
                <w:sz w:val="22"/>
                <w:szCs w:val="22"/>
                <w:color w:val="auto"/>
              </w:rPr>
            </w:pPr>
          </w:p>
        </w:tc>
        <w:tc>
          <w:tcPr>
            <w:tcW w:w="580" w:type="dxa"/>
            <w:vAlign w:val="bottom"/>
            <w:tcBorders>
              <w:bottom w:val="single" w:sz="8" w:color="D6F3E8"/>
            </w:tcBorders>
          </w:tcPr>
          <w:p>
            <w:pPr>
              <w:spacing w:after="0"/>
              <w:rPr>
                <w:sz w:val="22"/>
                <w:szCs w:val="22"/>
                <w:color w:val="auto"/>
              </w:rPr>
            </w:pPr>
          </w:p>
        </w:tc>
        <w:tc>
          <w:tcPr>
            <w:tcW w:w="140" w:type="dxa"/>
            <w:vAlign w:val="bottom"/>
            <w:tcBorders>
              <w:bottom w:val="single" w:sz="8" w:color="D6F3E8"/>
            </w:tcBorders>
          </w:tcPr>
          <w:p>
            <w:pPr>
              <w:spacing w:after="0"/>
              <w:rPr>
                <w:sz w:val="22"/>
                <w:szCs w:val="22"/>
                <w:color w:val="auto"/>
              </w:rPr>
            </w:pPr>
          </w:p>
        </w:tc>
        <w:tc>
          <w:tcPr>
            <w:tcW w:w="80" w:type="dxa"/>
            <w:vAlign w:val="bottom"/>
            <w:tcBorders>
              <w:bottom w:val="single" w:sz="8" w:color="D6F3E8"/>
            </w:tcBorders>
          </w:tcPr>
          <w:p>
            <w:pPr>
              <w:spacing w:after="0"/>
              <w:rPr>
                <w:sz w:val="22"/>
                <w:szCs w:val="22"/>
                <w:color w:val="auto"/>
              </w:rPr>
            </w:pPr>
          </w:p>
        </w:tc>
        <w:tc>
          <w:tcPr>
            <w:tcW w:w="120" w:type="dxa"/>
            <w:vAlign w:val="bottom"/>
            <w:tcBorders>
              <w:bottom w:val="single" w:sz="8" w:color="D6F3E8"/>
            </w:tcBorders>
          </w:tcPr>
          <w:p>
            <w:pPr>
              <w:spacing w:after="0"/>
              <w:rPr>
                <w:sz w:val="22"/>
                <w:szCs w:val="22"/>
                <w:color w:val="auto"/>
              </w:rPr>
            </w:pPr>
          </w:p>
        </w:tc>
        <w:tc>
          <w:tcPr>
            <w:tcW w:w="100" w:type="dxa"/>
            <w:vAlign w:val="bottom"/>
            <w:tcBorders>
              <w:bottom w:val="single" w:sz="8" w:color="D6F3E8"/>
            </w:tcBorders>
          </w:tcPr>
          <w:p>
            <w:pPr>
              <w:spacing w:after="0"/>
              <w:rPr>
                <w:sz w:val="22"/>
                <w:szCs w:val="22"/>
                <w:color w:val="auto"/>
              </w:rPr>
            </w:pPr>
          </w:p>
        </w:tc>
        <w:tc>
          <w:tcPr>
            <w:tcW w:w="200" w:type="dxa"/>
            <w:vAlign w:val="bottom"/>
            <w:tcBorders>
              <w:bottom w:val="single" w:sz="8" w:color="D6F3E8"/>
            </w:tcBorders>
          </w:tcPr>
          <w:p>
            <w:pPr>
              <w:spacing w:after="0"/>
              <w:rPr>
                <w:sz w:val="22"/>
                <w:szCs w:val="22"/>
                <w:color w:val="auto"/>
              </w:rPr>
            </w:pPr>
          </w:p>
        </w:tc>
        <w:tc>
          <w:tcPr>
            <w:tcW w:w="1040" w:type="dxa"/>
            <w:vAlign w:val="bottom"/>
            <w:tcBorders>
              <w:bottom w:val="single" w:sz="8" w:color="D6F3E8"/>
            </w:tcBorders>
            <w:gridSpan w:val="2"/>
          </w:tcPr>
          <w:p>
            <w:pPr>
              <w:jc w:val="right"/>
              <w:ind w:right="80"/>
              <w:spacing w:after="0"/>
              <w:rPr>
                <w:sz w:val="20"/>
                <w:szCs w:val="20"/>
                <w:color w:val="auto"/>
              </w:rPr>
            </w:pPr>
            <w:r>
              <w:rPr>
                <w:rFonts w:ascii="Arial" w:cs="Arial" w:eastAsia="Arial" w:hAnsi="Arial"/>
                <w:sz w:val="17"/>
                <w:szCs w:val="17"/>
                <w:color w:val="auto"/>
              </w:rPr>
              <w:t>8,886,153</w:t>
            </w:r>
          </w:p>
        </w:tc>
        <w:tc>
          <w:tcPr>
            <w:tcW w:w="80" w:type="dxa"/>
            <w:vAlign w:val="bottom"/>
            <w:tcBorders>
              <w:bottom w:val="single" w:sz="8" w:color="D6F3E8"/>
            </w:tcBorders>
          </w:tcPr>
          <w:p>
            <w:pPr>
              <w:spacing w:after="0"/>
              <w:rPr>
                <w:sz w:val="22"/>
                <w:szCs w:val="22"/>
                <w:color w:val="auto"/>
              </w:rPr>
            </w:pPr>
          </w:p>
        </w:tc>
        <w:tc>
          <w:tcPr>
            <w:tcW w:w="160" w:type="dxa"/>
            <w:vAlign w:val="bottom"/>
            <w:tcBorders>
              <w:bottom w:val="single" w:sz="8" w:color="D6F3E8"/>
            </w:tcBorders>
          </w:tcPr>
          <w:p>
            <w:pPr>
              <w:spacing w:after="0"/>
              <w:rPr>
                <w:sz w:val="22"/>
                <w:szCs w:val="22"/>
                <w:color w:val="auto"/>
              </w:rPr>
            </w:pPr>
          </w:p>
        </w:tc>
        <w:tc>
          <w:tcPr>
            <w:tcW w:w="220" w:type="dxa"/>
            <w:vAlign w:val="bottom"/>
            <w:tcBorders>
              <w:bottom w:val="single" w:sz="8" w:color="D6F3E8"/>
            </w:tcBorders>
          </w:tcPr>
          <w:p>
            <w:pPr>
              <w:spacing w:after="0"/>
              <w:rPr>
                <w:sz w:val="22"/>
                <w:szCs w:val="22"/>
                <w:color w:val="auto"/>
              </w:rPr>
            </w:pPr>
          </w:p>
        </w:tc>
        <w:tc>
          <w:tcPr>
            <w:tcW w:w="620" w:type="dxa"/>
            <w:vAlign w:val="bottom"/>
            <w:tcBorders>
              <w:bottom w:val="single" w:sz="8" w:color="D6F3E8"/>
            </w:tcBorders>
          </w:tcPr>
          <w:p>
            <w:pPr>
              <w:spacing w:after="0"/>
              <w:rPr>
                <w:sz w:val="22"/>
                <w:szCs w:val="22"/>
                <w:color w:val="auto"/>
              </w:rPr>
            </w:pPr>
          </w:p>
        </w:tc>
        <w:tc>
          <w:tcPr>
            <w:tcW w:w="80" w:type="dxa"/>
            <w:vAlign w:val="bottom"/>
            <w:tcBorders>
              <w:bottom w:val="single" w:sz="8" w:color="D6F3E8"/>
            </w:tcBorders>
          </w:tcPr>
          <w:p>
            <w:pPr>
              <w:spacing w:after="0"/>
              <w:rPr>
                <w:sz w:val="22"/>
                <w:szCs w:val="22"/>
                <w:color w:val="auto"/>
              </w:rPr>
            </w:pPr>
          </w:p>
        </w:tc>
        <w:tc>
          <w:tcPr>
            <w:tcW w:w="20" w:type="dxa"/>
            <w:vAlign w:val="bottom"/>
            <w:tcBorders>
              <w:bottom w:val="single" w:sz="8" w:color="D6F3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8,886,153</w:t>
            </w:r>
          </w:p>
        </w:tc>
        <w:tc>
          <w:tcPr>
            <w:tcW w:w="12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180" w:type="dxa"/>
            <w:vAlign w:val="bottom"/>
            <w:shd w:val="clear" w:color="auto" w:fill="D6F3E8"/>
          </w:tcPr>
          <w:p>
            <w:pPr>
              <w:ind w:left="980"/>
              <w:spacing w:after="0"/>
              <w:rPr>
                <w:sz w:val="20"/>
                <w:szCs w:val="20"/>
                <w:color w:val="auto"/>
              </w:rPr>
            </w:pPr>
            <w:r>
              <w:rPr>
                <w:rFonts w:ascii="Arial" w:cs="Arial" w:eastAsia="Arial" w:hAnsi="Arial"/>
                <w:sz w:val="17"/>
                <w:szCs w:val="17"/>
                <w:color w:val="auto"/>
              </w:rPr>
              <w:t>Comprehensive income</w:t>
            </w:r>
          </w:p>
        </w:tc>
        <w:tc>
          <w:tcPr>
            <w:tcW w:w="1000" w:type="dxa"/>
            <w:vAlign w:val="bottom"/>
            <w:tcBorders>
              <w:bottom w:val="single" w:sz="8" w:color="auto"/>
            </w:tcBorders>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60" w:type="dxa"/>
            <w:vAlign w:val="bottom"/>
            <w:tcBorders>
              <w:bottom w:val="single" w:sz="8" w:color="auto"/>
            </w:tcBorders>
            <w:shd w:val="clear" w:color="auto" w:fill="D6F3E8"/>
          </w:tcPr>
          <w:p>
            <w:pPr>
              <w:spacing w:after="0"/>
              <w:rPr>
                <w:sz w:val="21"/>
                <w:szCs w:val="21"/>
                <w:color w:val="auto"/>
              </w:rPr>
            </w:pPr>
          </w:p>
        </w:tc>
        <w:tc>
          <w:tcPr>
            <w:tcW w:w="760" w:type="dxa"/>
            <w:vAlign w:val="bottom"/>
            <w:tcBorders>
              <w:bottom w:val="single" w:sz="8" w:color="auto"/>
            </w:tcBorders>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00" w:type="dxa"/>
            <w:vAlign w:val="bottom"/>
            <w:tcBorders>
              <w:bottom w:val="single" w:sz="8" w:color="auto"/>
            </w:tcBorders>
            <w:shd w:val="clear" w:color="auto" w:fill="D6F3E8"/>
          </w:tcPr>
          <w:p>
            <w:pPr>
              <w:spacing w:after="0"/>
              <w:rPr>
                <w:sz w:val="21"/>
                <w:szCs w:val="21"/>
                <w:color w:val="auto"/>
              </w:rPr>
            </w:pPr>
          </w:p>
        </w:tc>
        <w:tc>
          <w:tcPr>
            <w:tcW w:w="120" w:type="dxa"/>
            <w:vAlign w:val="bottom"/>
            <w:tcBorders>
              <w:bottom w:val="single" w:sz="8" w:color="auto"/>
            </w:tcBorders>
            <w:shd w:val="clear" w:color="auto" w:fill="D6F3E8"/>
          </w:tcPr>
          <w:p>
            <w:pPr>
              <w:spacing w:after="0"/>
              <w:rPr>
                <w:sz w:val="21"/>
                <w:szCs w:val="21"/>
                <w:color w:val="auto"/>
              </w:rPr>
            </w:pPr>
          </w:p>
        </w:tc>
        <w:tc>
          <w:tcPr>
            <w:tcW w:w="920" w:type="dxa"/>
            <w:vAlign w:val="bottom"/>
            <w:tcBorders>
              <w:bottom w:val="single" w:sz="8" w:color="auto"/>
            </w:tcBorders>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80" w:type="dxa"/>
            <w:vAlign w:val="bottom"/>
            <w:tcBorders>
              <w:bottom w:val="single" w:sz="8" w:color="auto"/>
            </w:tcBorders>
            <w:shd w:val="clear" w:color="auto" w:fill="D6F3E8"/>
          </w:tcPr>
          <w:p>
            <w:pPr>
              <w:spacing w:after="0"/>
              <w:rPr>
                <w:sz w:val="21"/>
                <w:szCs w:val="21"/>
                <w:color w:val="auto"/>
              </w:rPr>
            </w:pPr>
          </w:p>
        </w:tc>
        <w:tc>
          <w:tcPr>
            <w:tcW w:w="580" w:type="dxa"/>
            <w:vAlign w:val="bottom"/>
            <w:tcBorders>
              <w:bottom w:val="single" w:sz="8" w:color="auto"/>
            </w:tcBorders>
            <w:shd w:val="clear" w:color="auto" w:fill="D6F3E8"/>
          </w:tcPr>
          <w:p>
            <w:pPr>
              <w:spacing w:after="0"/>
              <w:rPr>
                <w:sz w:val="21"/>
                <w:szCs w:val="21"/>
                <w:color w:val="auto"/>
              </w:rPr>
            </w:pPr>
          </w:p>
        </w:tc>
        <w:tc>
          <w:tcPr>
            <w:tcW w:w="140" w:type="dxa"/>
            <w:vAlign w:val="bottom"/>
            <w:tcBorders>
              <w:bottom w:val="single" w:sz="8" w:color="auto"/>
            </w:tcBorders>
            <w:shd w:val="clear" w:color="auto" w:fill="D6F3E8"/>
          </w:tcPr>
          <w:p>
            <w:pPr>
              <w:spacing w:after="0"/>
              <w:rPr>
                <w:sz w:val="21"/>
                <w:szCs w:val="21"/>
                <w:color w:val="auto"/>
              </w:rPr>
            </w:pPr>
          </w:p>
        </w:tc>
        <w:tc>
          <w:tcPr>
            <w:tcW w:w="80" w:type="dxa"/>
            <w:vAlign w:val="bottom"/>
            <w:tcBorders>
              <w:bottom w:val="single" w:sz="8" w:color="auto"/>
            </w:tcBorders>
            <w:shd w:val="clear" w:color="auto" w:fill="D6F3E8"/>
          </w:tcPr>
          <w:p>
            <w:pPr>
              <w:spacing w:after="0"/>
              <w:rPr>
                <w:sz w:val="21"/>
                <w:szCs w:val="21"/>
                <w:color w:val="auto"/>
              </w:rPr>
            </w:pPr>
          </w:p>
        </w:tc>
        <w:tc>
          <w:tcPr>
            <w:tcW w:w="120" w:type="dxa"/>
            <w:vAlign w:val="bottom"/>
            <w:tcBorders>
              <w:bottom w:val="single" w:sz="8" w:color="auto"/>
            </w:tcBorders>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200" w:type="dxa"/>
            <w:vAlign w:val="bottom"/>
            <w:tcBorders>
              <w:bottom w:val="single" w:sz="8" w:color="auto"/>
            </w:tcBorders>
            <w:shd w:val="clear" w:color="auto" w:fill="D6F3E8"/>
          </w:tcPr>
          <w:p>
            <w:pPr>
              <w:spacing w:after="0"/>
              <w:rPr>
                <w:sz w:val="21"/>
                <w:szCs w:val="21"/>
                <w:color w:val="auto"/>
              </w:rPr>
            </w:pPr>
          </w:p>
        </w:tc>
        <w:tc>
          <w:tcPr>
            <w:tcW w:w="960" w:type="dxa"/>
            <w:vAlign w:val="bottom"/>
            <w:tcBorders>
              <w:bottom w:val="single" w:sz="8" w:color="auto"/>
            </w:tcBorders>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160" w:type="dxa"/>
            <w:vAlign w:val="bottom"/>
            <w:tcBorders>
              <w:bottom w:val="single" w:sz="8" w:color="auto"/>
            </w:tcBorders>
            <w:shd w:val="clear" w:color="auto" w:fill="D6F3E8"/>
          </w:tcPr>
          <w:p>
            <w:pPr>
              <w:spacing w:after="0"/>
              <w:rPr>
                <w:sz w:val="21"/>
                <w:szCs w:val="21"/>
                <w:color w:val="auto"/>
              </w:rPr>
            </w:pPr>
          </w:p>
        </w:tc>
        <w:tc>
          <w:tcPr>
            <w:tcW w:w="220" w:type="dxa"/>
            <w:vAlign w:val="bottom"/>
            <w:tcBorders>
              <w:bottom w:val="single" w:sz="8" w:color="auto"/>
            </w:tcBorders>
            <w:shd w:val="clear" w:color="auto" w:fill="D6F3E8"/>
          </w:tcPr>
          <w:p>
            <w:pPr>
              <w:spacing w:after="0"/>
              <w:rPr>
                <w:sz w:val="21"/>
                <w:szCs w:val="21"/>
                <w:color w:val="auto"/>
              </w:rPr>
            </w:pPr>
          </w:p>
        </w:tc>
        <w:tc>
          <w:tcPr>
            <w:tcW w:w="620" w:type="dxa"/>
            <w:vAlign w:val="bottom"/>
            <w:tcBorders>
              <w:bottom w:val="single" w:sz="8" w:color="auto"/>
            </w:tcBorders>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20" w:type="dxa"/>
            <w:vAlign w:val="bottom"/>
            <w:shd w:val="clear" w:color="auto" w:fill="D6F3E8"/>
          </w:tcPr>
          <w:p>
            <w:pPr>
              <w:spacing w:after="0"/>
              <w:rPr>
                <w:sz w:val="21"/>
                <w:szCs w:val="21"/>
                <w:color w:val="auto"/>
              </w:rPr>
            </w:pPr>
          </w:p>
        </w:tc>
        <w:tc>
          <w:tcPr>
            <w:tcW w:w="140" w:type="dxa"/>
            <w:vAlign w:val="bottom"/>
            <w:tcBorders>
              <w:bottom w:val="single" w:sz="8" w:color="auto"/>
            </w:tcBorders>
            <w:shd w:val="clear" w:color="auto" w:fill="D6F3E8"/>
          </w:tcPr>
          <w:p>
            <w:pPr>
              <w:spacing w:after="0"/>
              <w:rPr>
                <w:sz w:val="21"/>
                <w:szCs w:val="21"/>
                <w:color w:val="auto"/>
              </w:rPr>
            </w:pPr>
          </w:p>
        </w:tc>
        <w:tc>
          <w:tcPr>
            <w:tcW w:w="1080" w:type="dxa"/>
            <w:vAlign w:val="bottom"/>
            <w:tcBorders>
              <w:bottom w:val="single" w:sz="8" w:color="auto"/>
              <w:right w:val="single" w:sz="8" w:color="D6F3E8"/>
            </w:tcBorders>
            <w:gridSpan w:val="2"/>
            <w:shd w:val="clear" w:color="auto" w:fill="D6F3E8"/>
          </w:tcPr>
          <w:p>
            <w:pPr>
              <w:jc w:val="right"/>
              <w:ind w:right="60"/>
              <w:spacing w:after="0"/>
              <w:rPr>
                <w:sz w:val="20"/>
                <w:szCs w:val="20"/>
                <w:color w:val="auto"/>
              </w:rPr>
            </w:pPr>
            <w:r>
              <w:rPr>
                <w:rFonts w:ascii="Arial" w:cs="Arial" w:eastAsia="Arial" w:hAnsi="Arial"/>
                <w:sz w:val="17"/>
                <w:szCs w:val="17"/>
                <w:color w:val="auto"/>
              </w:rPr>
              <w:t>8,956,430</w:t>
            </w:r>
          </w:p>
        </w:tc>
        <w:tc>
          <w:tcPr>
            <w:tcW w:w="1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436"/>
        </w:trPr>
        <w:tc>
          <w:tcPr>
            <w:tcW w:w="3180" w:type="dxa"/>
            <w:vAlign w:val="bottom"/>
          </w:tcPr>
          <w:p>
            <w:pPr>
              <w:spacing w:after="0"/>
              <w:rPr>
                <w:sz w:val="20"/>
                <w:szCs w:val="20"/>
                <w:color w:val="auto"/>
              </w:rPr>
            </w:pPr>
            <w:r>
              <w:rPr>
                <w:rFonts w:ascii="Arial" w:cs="Arial" w:eastAsia="Arial" w:hAnsi="Arial"/>
                <w:sz w:val="17"/>
                <w:szCs w:val="17"/>
                <w:color w:val="auto"/>
              </w:rPr>
              <w:t>BALANCE—April 2, 2006</w:t>
            </w:r>
          </w:p>
        </w:tc>
        <w:tc>
          <w:tcPr>
            <w:tcW w:w="1000" w:type="dxa"/>
            <w:vAlign w:val="bottom"/>
          </w:tcPr>
          <w:p>
            <w:pPr>
              <w:jc w:val="right"/>
              <w:spacing w:after="0"/>
              <w:rPr>
                <w:sz w:val="20"/>
                <w:szCs w:val="20"/>
                <w:color w:val="auto"/>
              </w:rPr>
            </w:pPr>
            <w:r>
              <w:rPr>
                <w:rFonts w:ascii="Arial" w:cs="Arial" w:eastAsia="Arial" w:hAnsi="Arial"/>
                <w:sz w:val="17"/>
                <w:szCs w:val="17"/>
                <w:color w:val="auto"/>
              </w:rPr>
              <w:t>10,171,496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508,575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37,056,103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38,657,115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7"/>
                <w:szCs w:val="17"/>
                <w:color w:val="auto"/>
              </w:rPr>
              <w:t>(125,754)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76,096,039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180" w:type="dxa"/>
            <w:vAlign w:val="bottom"/>
            <w:shd w:val="clear" w:color="auto" w:fill="D6F3E8"/>
          </w:tcPr>
          <w:p>
            <w:pPr>
              <w:ind w:left="340"/>
              <w:spacing w:after="0"/>
              <w:rPr>
                <w:sz w:val="20"/>
                <w:szCs w:val="20"/>
                <w:color w:val="auto"/>
              </w:rPr>
            </w:pPr>
            <w:r>
              <w:rPr>
                <w:rFonts w:ascii="Arial" w:cs="Arial" w:eastAsia="Arial" w:hAnsi="Arial"/>
                <w:sz w:val="17"/>
                <w:szCs w:val="17"/>
                <w:color w:val="auto"/>
              </w:rPr>
              <w:t>Cash dividends</w:t>
            </w:r>
          </w:p>
        </w:tc>
        <w:tc>
          <w:tcPr>
            <w:tcW w:w="100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76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9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5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ind w:right="20"/>
              <w:spacing w:after="0"/>
              <w:rPr>
                <w:sz w:val="20"/>
                <w:szCs w:val="20"/>
                <w:color w:val="auto"/>
              </w:rPr>
            </w:pPr>
            <w:r>
              <w:rPr>
                <w:rFonts w:ascii="Arial" w:cs="Arial" w:eastAsia="Arial" w:hAnsi="Arial"/>
                <w:sz w:val="17"/>
                <w:szCs w:val="17"/>
                <w:color w:val="auto"/>
              </w:rPr>
              <w:t>(4,485,415)</w:t>
            </w:r>
          </w:p>
        </w:tc>
        <w:tc>
          <w:tcPr>
            <w:tcW w:w="8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62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2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080" w:type="dxa"/>
            <w:vAlign w:val="bottom"/>
            <w:tcBorders>
              <w:right w:val="single" w:sz="8" w:color="D6F3E8"/>
            </w:tcBorders>
            <w:gridSpan w:val="2"/>
            <w:shd w:val="clear" w:color="auto" w:fill="D6F3E8"/>
          </w:tcPr>
          <w:p>
            <w:pPr>
              <w:jc w:val="right"/>
              <w:spacing w:after="0"/>
              <w:rPr>
                <w:sz w:val="20"/>
                <w:szCs w:val="20"/>
                <w:color w:val="auto"/>
              </w:rPr>
            </w:pPr>
            <w:r>
              <w:rPr>
                <w:rFonts w:ascii="Arial" w:cs="Arial" w:eastAsia="Arial" w:hAnsi="Arial"/>
                <w:sz w:val="17"/>
                <w:szCs w:val="17"/>
                <w:color w:val="auto"/>
              </w:rPr>
              <w:t>(4,485,415)</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180" w:type="dxa"/>
            <w:vAlign w:val="bottom"/>
          </w:tcPr>
          <w:p>
            <w:pPr>
              <w:ind w:left="340"/>
              <w:spacing w:after="0"/>
              <w:rPr>
                <w:sz w:val="20"/>
                <w:szCs w:val="20"/>
                <w:color w:val="auto"/>
              </w:rPr>
            </w:pPr>
            <w:r>
              <w:rPr>
                <w:rFonts w:ascii="Arial" w:cs="Arial" w:eastAsia="Arial" w:hAnsi="Arial"/>
                <w:sz w:val="17"/>
                <w:szCs w:val="17"/>
                <w:color w:val="auto"/>
              </w:rPr>
              <w:t>Restricted stock compensation</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185,987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185,987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80" w:type="dxa"/>
            <w:vAlign w:val="bottom"/>
          </w:tcPr>
          <w:p>
            <w:pPr>
              <w:ind w:left="340"/>
              <w:spacing w:after="0"/>
              <w:rPr>
                <w:sz w:val="20"/>
                <w:szCs w:val="20"/>
                <w:color w:val="auto"/>
              </w:rPr>
            </w:pPr>
            <w:r>
              <w:rPr>
                <w:rFonts w:ascii="Arial" w:cs="Arial" w:eastAsia="Arial" w:hAnsi="Arial"/>
                <w:sz w:val="17"/>
                <w:szCs w:val="17"/>
                <w:color w:val="auto"/>
              </w:rPr>
              <w:t>Comprehensive income:</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180" w:type="dxa"/>
            <w:vAlign w:val="bottom"/>
            <w:shd w:val="clear" w:color="auto" w:fill="D6F3E8"/>
          </w:tcPr>
          <w:p>
            <w:pPr>
              <w:ind w:left="660"/>
              <w:spacing w:after="0"/>
              <w:rPr>
                <w:sz w:val="20"/>
                <w:szCs w:val="20"/>
                <w:color w:val="auto"/>
              </w:rPr>
            </w:pPr>
            <w:r>
              <w:rPr>
                <w:rFonts w:ascii="Arial" w:cs="Arial" w:eastAsia="Arial" w:hAnsi="Arial"/>
                <w:sz w:val="17"/>
                <w:szCs w:val="17"/>
                <w:color w:val="auto"/>
              </w:rPr>
              <w:t>Unrealized gain on investments</w:t>
            </w:r>
          </w:p>
        </w:tc>
        <w:tc>
          <w:tcPr>
            <w:tcW w:w="100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76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92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58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960" w:type="dxa"/>
            <w:vAlign w:val="bottom"/>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220" w:type="dxa"/>
            <w:vAlign w:val="bottom"/>
            <w:shd w:val="clear" w:color="auto" w:fill="D6F3E8"/>
          </w:tcPr>
          <w:p>
            <w:pPr>
              <w:spacing w:after="0"/>
              <w:rPr>
                <w:sz w:val="21"/>
                <w:szCs w:val="21"/>
                <w:color w:val="auto"/>
              </w:rPr>
            </w:pPr>
          </w:p>
        </w:tc>
        <w:tc>
          <w:tcPr>
            <w:tcW w:w="620" w:type="dxa"/>
            <w:vAlign w:val="bottom"/>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2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860" w:type="dxa"/>
            <w:vAlign w:val="bottom"/>
            <w:shd w:val="clear" w:color="auto" w:fill="D6F3E8"/>
          </w:tcPr>
          <w:p>
            <w:pPr>
              <w:spacing w:after="0"/>
              <w:rPr>
                <w:sz w:val="21"/>
                <w:szCs w:val="21"/>
                <w:color w:val="auto"/>
              </w:rPr>
            </w:pPr>
          </w:p>
        </w:tc>
        <w:tc>
          <w:tcPr>
            <w:tcW w:w="220" w:type="dxa"/>
            <w:vAlign w:val="bottom"/>
            <w:tcBorders>
              <w:right w:val="single" w:sz="8" w:color="D6F3E8"/>
            </w:tcBorders>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80" w:type="dxa"/>
            <w:vAlign w:val="bottom"/>
            <w:shd w:val="clear" w:color="auto" w:fill="D6F3E8"/>
          </w:tcPr>
          <w:p>
            <w:pPr>
              <w:ind w:left="980"/>
              <w:spacing w:after="0"/>
              <w:rPr>
                <w:sz w:val="20"/>
                <w:szCs w:val="20"/>
                <w:color w:val="auto"/>
              </w:rPr>
            </w:pPr>
            <w:r>
              <w:rPr>
                <w:rFonts w:ascii="Arial" w:cs="Arial" w:eastAsia="Arial" w:hAnsi="Arial"/>
                <w:sz w:val="17"/>
                <w:szCs w:val="17"/>
                <w:color w:val="auto"/>
              </w:rPr>
              <w:t>available for sale</w:t>
            </w:r>
          </w:p>
        </w:tc>
        <w:tc>
          <w:tcPr>
            <w:tcW w:w="100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76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92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58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200" w:type="dxa"/>
            <w:vAlign w:val="bottom"/>
            <w:shd w:val="clear" w:color="auto" w:fill="D6F3E8"/>
          </w:tcPr>
          <w:p>
            <w:pPr>
              <w:spacing w:after="0"/>
              <w:rPr>
                <w:sz w:val="19"/>
                <w:szCs w:val="19"/>
                <w:color w:val="auto"/>
              </w:rPr>
            </w:pPr>
          </w:p>
        </w:tc>
        <w:tc>
          <w:tcPr>
            <w:tcW w:w="96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7"/>
                <w:szCs w:val="17"/>
                <w:color w:val="auto"/>
              </w:rPr>
              <w:t>122,486</w:t>
            </w:r>
          </w:p>
        </w:tc>
        <w:tc>
          <w:tcPr>
            <w:tcW w:w="8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1080" w:type="dxa"/>
            <w:vAlign w:val="bottom"/>
            <w:tcBorders>
              <w:right w:val="single" w:sz="8" w:color="D6F3E8"/>
            </w:tcBorders>
            <w:gridSpan w:val="2"/>
            <w:shd w:val="clear" w:color="auto" w:fill="D6F3E8"/>
          </w:tcPr>
          <w:p>
            <w:pPr>
              <w:jc w:val="right"/>
              <w:ind w:right="60"/>
              <w:spacing w:after="0"/>
              <w:rPr>
                <w:sz w:val="20"/>
                <w:szCs w:val="20"/>
                <w:color w:val="auto"/>
              </w:rPr>
            </w:pPr>
            <w:r>
              <w:rPr>
                <w:rFonts w:ascii="Arial" w:cs="Arial" w:eastAsia="Arial" w:hAnsi="Arial"/>
                <w:sz w:val="17"/>
                <w:szCs w:val="17"/>
                <w:color w:val="auto"/>
              </w:rPr>
              <w:t>122,486</w:t>
            </w:r>
          </w:p>
        </w:tc>
        <w:tc>
          <w:tcPr>
            <w:tcW w:w="1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180" w:type="dxa"/>
            <w:vAlign w:val="bottom"/>
          </w:tcPr>
          <w:p>
            <w:pPr>
              <w:ind w:left="660"/>
              <w:spacing w:after="0"/>
              <w:rPr>
                <w:sz w:val="20"/>
                <w:szCs w:val="20"/>
                <w:color w:val="auto"/>
              </w:rPr>
            </w:pPr>
            <w:r>
              <w:rPr>
                <w:rFonts w:ascii="Arial" w:cs="Arial" w:eastAsia="Arial" w:hAnsi="Arial"/>
                <w:sz w:val="17"/>
                <w:szCs w:val="17"/>
                <w:color w:val="auto"/>
                <w:w w:val="96"/>
              </w:rPr>
              <w:t>Unrealized loss on post-retirement</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980"/>
              <w:spacing w:after="0"/>
              <w:rPr>
                <w:sz w:val="20"/>
                <w:szCs w:val="20"/>
                <w:color w:val="auto"/>
              </w:rPr>
            </w:pPr>
            <w:r>
              <w:rPr>
                <w:rFonts w:ascii="Arial" w:cs="Arial" w:eastAsia="Arial" w:hAnsi="Arial"/>
                <w:sz w:val="17"/>
                <w:szCs w:val="17"/>
                <w:color w:val="auto"/>
              </w:rPr>
              <w:t>plan liability</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7"/>
                <w:szCs w:val="17"/>
                <w:color w:val="auto"/>
              </w:rPr>
              <w:t>(10,337)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(10,337)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180" w:type="dxa"/>
            <w:vAlign w:val="bottom"/>
            <w:shd w:val="clear" w:color="auto" w:fill="D6F3E8"/>
          </w:tcPr>
          <w:p>
            <w:pPr>
              <w:ind w:left="660"/>
              <w:spacing w:after="0"/>
              <w:rPr>
                <w:sz w:val="20"/>
                <w:szCs w:val="20"/>
                <w:color w:val="auto"/>
              </w:rPr>
            </w:pPr>
            <w:r>
              <w:rPr>
                <w:rFonts w:ascii="Arial" w:cs="Arial" w:eastAsia="Arial" w:hAnsi="Arial"/>
                <w:sz w:val="17"/>
                <w:szCs w:val="17"/>
                <w:color w:val="auto"/>
              </w:rPr>
              <w:t>Net income</w:t>
            </w:r>
          </w:p>
        </w:tc>
        <w:tc>
          <w:tcPr>
            <w:tcW w:w="100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76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9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5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ind w:right="80"/>
              <w:spacing w:after="0"/>
              <w:rPr>
                <w:sz w:val="20"/>
                <w:szCs w:val="20"/>
                <w:color w:val="auto"/>
              </w:rPr>
            </w:pPr>
            <w:r>
              <w:rPr>
                <w:rFonts w:ascii="Arial" w:cs="Arial" w:eastAsia="Arial" w:hAnsi="Arial"/>
                <w:sz w:val="17"/>
                <w:szCs w:val="17"/>
                <w:color w:val="auto"/>
              </w:rPr>
              <w:t>8,068,883</w:t>
            </w:r>
          </w:p>
        </w:tc>
        <w:tc>
          <w:tcPr>
            <w:tcW w:w="8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62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20" w:type="dxa"/>
            <w:vAlign w:val="bottom"/>
            <w:shd w:val="clear" w:color="auto" w:fill="D6F3E8"/>
          </w:tcPr>
          <w:p>
            <w:pPr>
              <w:spacing w:after="0"/>
              <w:rPr>
                <w:sz w:val="22"/>
                <w:szCs w:val="22"/>
                <w:color w:val="auto"/>
              </w:rPr>
            </w:pPr>
          </w:p>
        </w:tc>
        <w:tc>
          <w:tcPr>
            <w:tcW w:w="140" w:type="dxa"/>
            <w:vAlign w:val="bottom"/>
            <w:tcBorders>
              <w:bottom w:val="single" w:sz="8" w:color="auto"/>
            </w:tcBorders>
            <w:shd w:val="clear" w:color="auto" w:fill="D6F3E8"/>
          </w:tcPr>
          <w:p>
            <w:pPr>
              <w:spacing w:after="0"/>
              <w:rPr>
                <w:sz w:val="22"/>
                <w:szCs w:val="22"/>
                <w:color w:val="auto"/>
              </w:rPr>
            </w:pPr>
          </w:p>
        </w:tc>
        <w:tc>
          <w:tcPr>
            <w:tcW w:w="1080" w:type="dxa"/>
            <w:vAlign w:val="bottom"/>
            <w:tcBorders>
              <w:bottom w:val="single" w:sz="8" w:color="auto"/>
              <w:right w:val="single" w:sz="8" w:color="D6F3E8"/>
            </w:tcBorders>
            <w:gridSpan w:val="2"/>
            <w:shd w:val="clear" w:color="auto" w:fill="D6F3E8"/>
          </w:tcPr>
          <w:p>
            <w:pPr>
              <w:jc w:val="right"/>
              <w:ind w:right="60"/>
              <w:spacing w:after="0"/>
              <w:rPr>
                <w:sz w:val="20"/>
                <w:szCs w:val="20"/>
                <w:color w:val="auto"/>
              </w:rPr>
            </w:pPr>
            <w:r>
              <w:rPr>
                <w:rFonts w:ascii="Arial" w:cs="Arial" w:eastAsia="Arial" w:hAnsi="Arial"/>
                <w:sz w:val="17"/>
                <w:szCs w:val="17"/>
                <w:color w:val="auto"/>
              </w:rPr>
              <w:t>8,068,883</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180" w:type="dxa"/>
            <w:vAlign w:val="bottom"/>
          </w:tcPr>
          <w:p>
            <w:pPr>
              <w:ind w:left="980"/>
              <w:spacing w:after="0"/>
              <w:rPr>
                <w:sz w:val="20"/>
                <w:szCs w:val="20"/>
                <w:color w:val="auto"/>
              </w:rPr>
            </w:pPr>
            <w:r>
              <w:rPr>
                <w:rFonts w:ascii="Arial" w:cs="Arial" w:eastAsia="Arial" w:hAnsi="Arial"/>
                <w:sz w:val="17"/>
                <w:szCs w:val="17"/>
                <w:color w:val="auto"/>
              </w:rPr>
              <w:t>Comprehensive income</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8,181,032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180" w:type="dxa"/>
            <w:vAlign w:val="bottom"/>
            <w:shd w:val="clear" w:color="auto" w:fill="D6F3E8"/>
          </w:tcPr>
          <w:p>
            <w:pPr>
              <w:spacing w:after="0"/>
              <w:rPr>
                <w:sz w:val="20"/>
                <w:szCs w:val="20"/>
                <w:color w:val="auto"/>
              </w:rPr>
            </w:pPr>
            <w:r>
              <w:rPr>
                <w:rFonts w:ascii="Arial" w:cs="Arial" w:eastAsia="Arial" w:hAnsi="Arial"/>
                <w:sz w:val="17"/>
                <w:szCs w:val="17"/>
                <w:color w:val="auto"/>
              </w:rPr>
              <w:t>BALANCE—April 1, 2007</w:t>
            </w:r>
          </w:p>
        </w:tc>
        <w:tc>
          <w:tcPr>
            <w:tcW w:w="10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10,171,496</w:t>
            </w:r>
          </w:p>
        </w:tc>
        <w:tc>
          <w:tcPr>
            <w:tcW w:w="100" w:type="dxa"/>
            <w:vAlign w:val="bottom"/>
            <w:shd w:val="clear" w:color="auto" w:fill="D6F3E8"/>
          </w:tcPr>
          <w:p>
            <w:pPr>
              <w:spacing w:after="0"/>
              <w:rPr>
                <w:sz w:val="22"/>
                <w:szCs w:val="22"/>
                <w:color w:val="auto"/>
              </w:rPr>
            </w:pPr>
          </w:p>
        </w:tc>
        <w:tc>
          <w:tcPr>
            <w:tcW w:w="160" w:type="dxa"/>
            <w:vAlign w:val="bottom"/>
            <w:shd w:val="clear" w:color="auto" w:fill="D6F3E8"/>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508,575</w:t>
            </w:r>
          </w:p>
        </w:tc>
        <w:tc>
          <w:tcPr>
            <w:tcW w:w="100" w:type="dxa"/>
            <w:vAlign w:val="bottom"/>
            <w:shd w:val="clear" w:color="auto" w:fill="D6F3E8"/>
          </w:tcPr>
          <w:p>
            <w:pPr>
              <w:spacing w:after="0"/>
              <w:rPr>
                <w:sz w:val="22"/>
                <w:szCs w:val="22"/>
                <w:color w:val="auto"/>
              </w:rPr>
            </w:pPr>
          </w:p>
        </w:tc>
        <w:tc>
          <w:tcPr>
            <w:tcW w:w="100" w:type="dxa"/>
            <w:vAlign w:val="bottom"/>
            <w:shd w:val="clear" w:color="auto" w:fill="D6F3E8"/>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7"/>
                <w:szCs w:val="17"/>
                <w:color w:val="auto"/>
              </w:rPr>
              <w:t>37,242,090</w:t>
            </w:r>
          </w:p>
        </w:tc>
        <w:tc>
          <w:tcPr>
            <w:tcW w:w="120" w:type="dxa"/>
            <w:vAlign w:val="bottom"/>
            <w:shd w:val="clear" w:color="auto" w:fill="D6F3E8"/>
          </w:tcPr>
          <w:p>
            <w:pPr>
              <w:spacing w:after="0"/>
              <w:rPr>
                <w:sz w:val="22"/>
                <w:szCs w:val="22"/>
                <w:color w:val="auto"/>
              </w:rPr>
            </w:pPr>
          </w:p>
        </w:tc>
        <w:tc>
          <w:tcPr>
            <w:tcW w:w="8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300" w:type="dxa"/>
            <w:vAlign w:val="bottom"/>
            <w:gridSpan w:val="3"/>
            <w:shd w:val="clear" w:color="auto" w:fill="D6F3E8"/>
          </w:tcPr>
          <w:p>
            <w:pPr>
              <w:jc w:val="right"/>
              <w:ind w:right="100"/>
              <w:spacing w:after="0"/>
              <w:rPr>
                <w:sz w:val="20"/>
                <w:szCs w:val="20"/>
                <w:color w:val="auto"/>
              </w:rPr>
            </w:pPr>
            <w:r>
              <w:rPr>
                <w:rFonts w:ascii="Arial" w:cs="Arial" w:eastAsia="Arial" w:hAnsi="Arial"/>
                <w:sz w:val="17"/>
                <w:szCs w:val="17"/>
                <w:color w:val="auto"/>
              </w:rPr>
              <w:t>—</w:t>
            </w:r>
          </w:p>
        </w:tc>
        <w:tc>
          <w:tcPr>
            <w:tcW w:w="200" w:type="dxa"/>
            <w:vAlign w:val="bottom"/>
            <w:shd w:val="clear" w:color="auto" w:fill="D6F3E8"/>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D6F3E8"/>
          </w:tcPr>
          <w:p>
            <w:pPr>
              <w:jc w:val="right"/>
              <w:ind w:right="80"/>
              <w:spacing w:after="0"/>
              <w:rPr>
                <w:sz w:val="20"/>
                <w:szCs w:val="20"/>
                <w:color w:val="auto"/>
              </w:rPr>
            </w:pPr>
            <w:r>
              <w:rPr>
                <w:rFonts w:ascii="Arial" w:cs="Arial" w:eastAsia="Arial" w:hAnsi="Arial"/>
                <w:sz w:val="17"/>
                <w:szCs w:val="17"/>
                <w:color w:val="auto"/>
              </w:rPr>
              <w:t>42,240,583</w:t>
            </w:r>
          </w:p>
        </w:tc>
        <w:tc>
          <w:tcPr>
            <w:tcW w:w="240" w:type="dxa"/>
            <w:vAlign w:val="bottom"/>
            <w:gridSpan w:val="2"/>
            <w:shd w:val="clear" w:color="auto" w:fill="D6F3E8"/>
          </w:tcPr>
          <w:p>
            <w:pPr>
              <w:jc w:val="right"/>
              <w:ind w:right="13"/>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D6F3E8"/>
          </w:tcPr>
          <w:p>
            <w:pPr>
              <w:jc w:val="right"/>
              <w:ind w:right="20"/>
              <w:spacing w:after="0"/>
              <w:rPr>
                <w:sz w:val="20"/>
                <w:szCs w:val="20"/>
                <w:color w:val="auto"/>
              </w:rPr>
            </w:pPr>
            <w:r>
              <w:rPr>
                <w:rFonts w:ascii="Arial" w:cs="Arial" w:eastAsia="Arial" w:hAnsi="Arial"/>
                <w:sz w:val="17"/>
                <w:szCs w:val="17"/>
                <w:color w:val="auto"/>
              </w:rPr>
              <w:t>(13,605)</w:t>
            </w:r>
          </w:p>
        </w:tc>
        <w:tc>
          <w:tcPr>
            <w:tcW w:w="160" w:type="dxa"/>
            <w:vAlign w:val="bottom"/>
            <w:gridSpan w:val="2"/>
            <w:shd w:val="clear" w:color="auto" w:fill="D6F3E8"/>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D6F3E8"/>
            </w:tcBorders>
            <w:gridSpan w:val="2"/>
            <w:shd w:val="clear" w:color="auto" w:fill="D6F3E8"/>
          </w:tcPr>
          <w:p>
            <w:pPr>
              <w:jc w:val="right"/>
              <w:ind w:right="60"/>
              <w:spacing w:after="0"/>
              <w:rPr>
                <w:sz w:val="20"/>
                <w:szCs w:val="20"/>
                <w:color w:val="auto"/>
              </w:rPr>
            </w:pPr>
            <w:r>
              <w:rPr>
                <w:rFonts w:ascii="Arial" w:cs="Arial" w:eastAsia="Arial" w:hAnsi="Arial"/>
                <w:sz w:val="17"/>
                <w:szCs w:val="17"/>
                <w:color w:val="auto"/>
              </w:rPr>
              <w:t>79,977,643</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D6F3E8"/>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2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-7154545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-7154545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HAWKINS,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7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368" w:right="23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49"/>
        </w:trPr>
        <w:tc>
          <w:tcPr>
            <w:tcW w:w="5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2"/>
              </w:rPr>
              <w:t>Fiscal</w:t>
            </w:r>
          </w:p>
        </w:tc>
        <w:tc>
          <w:tcPr>
            <w:tcW w:w="20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Fiscal</w:t>
            </w:r>
          </w:p>
        </w:tc>
        <w:tc>
          <w:tcPr>
            <w:tcW w:w="200" w:type="dxa"/>
            <w:vAlign w:val="bottom"/>
          </w:tcPr>
          <w:p>
            <w:pPr>
              <w:spacing w:after="0"/>
              <w:rPr>
                <w:sz w:val="13"/>
                <w:szCs w:val="13"/>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92"/>
              </w:rPr>
              <w:t>Fiscal</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400"/>
              <w:spacing w:after="0" w:line="148" w:lineRule="exact"/>
              <w:rPr>
                <w:sz w:val="20"/>
                <w:szCs w:val="20"/>
                <w:color w:val="auto"/>
              </w:rPr>
            </w:pPr>
            <w:r>
              <w:rPr>
                <w:rFonts w:ascii="Arial" w:cs="Arial" w:eastAsia="Arial" w:hAnsi="Arial"/>
                <w:sz w:val="13"/>
                <w:szCs w:val="13"/>
                <w:b w:val="1"/>
                <w:bCs w:val="1"/>
                <w:color w:val="auto"/>
                <w:w w:val="95"/>
              </w:rPr>
              <w:t>Year Ended</w:t>
            </w:r>
          </w:p>
        </w:tc>
        <w:tc>
          <w:tcPr>
            <w:tcW w:w="200" w:type="dxa"/>
            <w:vAlign w:val="bottom"/>
          </w:tcPr>
          <w:p>
            <w:pPr>
              <w:spacing w:after="0"/>
              <w:rPr>
                <w:sz w:val="12"/>
                <w:szCs w:val="12"/>
                <w:color w:val="auto"/>
              </w:rPr>
            </w:pPr>
          </w:p>
        </w:tc>
        <w:tc>
          <w:tcPr>
            <w:tcW w:w="1380" w:type="dxa"/>
            <w:vAlign w:val="bottom"/>
            <w:gridSpan w:val="2"/>
          </w:tcPr>
          <w:p>
            <w:pPr>
              <w:jc w:val="center"/>
              <w:ind w:right="420"/>
              <w:spacing w:after="0" w:line="148" w:lineRule="exact"/>
              <w:rPr>
                <w:sz w:val="20"/>
                <w:szCs w:val="20"/>
                <w:color w:val="auto"/>
              </w:rPr>
            </w:pPr>
            <w:r>
              <w:rPr>
                <w:rFonts w:ascii="Arial" w:cs="Arial" w:eastAsia="Arial" w:hAnsi="Arial"/>
                <w:sz w:val="13"/>
                <w:szCs w:val="13"/>
                <w:b w:val="1"/>
                <w:bCs w:val="1"/>
                <w:color w:val="auto"/>
                <w:w w:val="95"/>
              </w:rPr>
              <w:t>Year Ended</w:t>
            </w:r>
          </w:p>
        </w:tc>
        <w:tc>
          <w:tcPr>
            <w:tcW w:w="200" w:type="dxa"/>
            <w:vAlign w:val="bottom"/>
          </w:tcPr>
          <w:p>
            <w:pPr>
              <w:spacing w:after="0"/>
              <w:rPr>
                <w:sz w:val="12"/>
                <w:szCs w:val="12"/>
                <w:color w:val="auto"/>
              </w:rPr>
            </w:pPr>
          </w:p>
        </w:tc>
        <w:tc>
          <w:tcPr>
            <w:tcW w:w="1360" w:type="dxa"/>
            <w:vAlign w:val="bottom"/>
            <w:gridSpan w:val="3"/>
          </w:tcPr>
          <w:p>
            <w:pPr>
              <w:jc w:val="center"/>
              <w:ind w:right="440"/>
              <w:spacing w:after="0" w:line="148" w:lineRule="exact"/>
              <w:rPr>
                <w:sz w:val="20"/>
                <w:szCs w:val="20"/>
                <w:color w:val="auto"/>
              </w:rPr>
            </w:pPr>
            <w:r>
              <w:rPr>
                <w:rFonts w:ascii="Arial" w:cs="Arial" w:eastAsia="Arial" w:hAnsi="Arial"/>
                <w:sz w:val="13"/>
                <w:szCs w:val="13"/>
                <w:b w:val="1"/>
                <w:bCs w:val="1"/>
                <w:color w:val="auto"/>
                <w:w w:val="95"/>
              </w:rPr>
              <w:t>Year Ended</w:t>
            </w:r>
          </w:p>
        </w:tc>
        <w:tc>
          <w:tcPr>
            <w:tcW w:w="0" w:type="dxa"/>
            <w:vAlign w:val="bottom"/>
          </w:tcPr>
          <w:p>
            <w:pPr>
              <w:spacing w:after="0"/>
              <w:rPr>
                <w:sz w:val="1"/>
                <w:szCs w:val="1"/>
                <w:color w:val="auto"/>
              </w:rPr>
            </w:pPr>
          </w:p>
        </w:tc>
      </w:tr>
      <w:tr>
        <w:trPr>
          <w:trHeight w:val="161"/>
        </w:trPr>
        <w:tc>
          <w:tcPr>
            <w:tcW w:w="5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6"/>
              </w:rPr>
              <w:t>April 1, 2007</w:t>
            </w:r>
          </w:p>
        </w:tc>
        <w:tc>
          <w:tcPr>
            <w:tcW w:w="20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April 2, 2006</w:t>
            </w:r>
          </w:p>
        </w:tc>
        <w:tc>
          <w:tcPr>
            <w:tcW w:w="200" w:type="dxa"/>
            <w:vAlign w:val="bottom"/>
          </w:tcPr>
          <w:p>
            <w:pPr>
              <w:spacing w:after="0"/>
              <w:rPr>
                <w:sz w:val="13"/>
                <w:szCs w:val="13"/>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6"/>
              </w:rPr>
              <w:t>April 3, 2005</w:t>
            </w:r>
          </w:p>
        </w:tc>
        <w:tc>
          <w:tcPr>
            <w:tcW w:w="0" w:type="dxa"/>
            <w:vAlign w:val="bottom"/>
          </w:tcPr>
          <w:p>
            <w:pPr>
              <w:spacing w:after="0"/>
              <w:rPr>
                <w:sz w:val="1"/>
                <w:szCs w:val="1"/>
                <w:color w:val="auto"/>
              </w:rPr>
            </w:pPr>
          </w:p>
        </w:tc>
      </w:tr>
      <w:tr>
        <w:trPr>
          <w:trHeight w:val="436"/>
        </w:trPr>
        <w:tc>
          <w:tcPr>
            <w:tcW w:w="5680" w:type="dxa"/>
            <w:vAlign w:val="bottom"/>
          </w:tcPr>
          <w:p>
            <w:pPr>
              <w:spacing w:after="0"/>
              <w:rPr>
                <w:sz w:val="20"/>
                <w:szCs w:val="20"/>
                <w:color w:val="auto"/>
              </w:rPr>
            </w:pPr>
            <w:r>
              <w:rPr>
                <w:rFonts w:ascii="Arial" w:cs="Arial" w:eastAsia="Arial" w:hAnsi="Arial"/>
                <w:sz w:val="17"/>
                <w:szCs w:val="17"/>
                <w:color w:val="auto"/>
              </w:rPr>
              <w:t>CASH FLOWS FROM OPERATING ACTIVITIES:</w:t>
            </w:r>
          </w:p>
        </w:tc>
        <w:tc>
          <w:tcPr>
            <w:tcW w:w="8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680" w:type="dxa"/>
            <w:vAlign w:val="bottom"/>
            <w:shd w:val="clear" w:color="auto" w:fill="D6F3E8"/>
          </w:tcPr>
          <w:p>
            <w:pPr>
              <w:ind w:left="340"/>
              <w:spacing w:after="0"/>
              <w:rPr>
                <w:sz w:val="20"/>
                <w:szCs w:val="20"/>
                <w:color w:val="auto"/>
              </w:rPr>
            </w:pPr>
            <w:r>
              <w:rPr>
                <w:rFonts w:ascii="Arial" w:cs="Arial" w:eastAsia="Arial" w:hAnsi="Arial"/>
                <w:sz w:val="17"/>
                <w:szCs w:val="17"/>
                <w:color w:val="auto"/>
              </w:rPr>
              <w:t>Net income</w:t>
            </w:r>
          </w:p>
        </w:tc>
        <w:tc>
          <w:tcPr>
            <w:tcW w:w="1080" w:type="dxa"/>
            <w:vAlign w:val="bottom"/>
            <w:gridSpan w:val="2"/>
            <w:shd w:val="clear" w:color="auto" w:fill="D6F3E8"/>
          </w:tcPr>
          <w:p>
            <w:pPr>
              <w:jc w:val="right"/>
              <w:ind w:right="13"/>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D6F3E8"/>
          </w:tcPr>
          <w:p>
            <w:pPr>
              <w:jc w:val="right"/>
              <w:ind w:right="220"/>
              <w:spacing w:after="0"/>
              <w:rPr>
                <w:sz w:val="20"/>
                <w:szCs w:val="20"/>
                <w:color w:val="auto"/>
              </w:rPr>
            </w:pPr>
            <w:r>
              <w:rPr>
                <w:rFonts w:ascii="Arial" w:cs="Arial" w:eastAsia="Arial" w:hAnsi="Arial"/>
                <w:sz w:val="17"/>
                <w:szCs w:val="17"/>
                <w:color w:val="auto"/>
              </w:rPr>
              <w:t>8,068,883</w:t>
            </w:r>
          </w:p>
        </w:tc>
        <w:tc>
          <w:tcPr>
            <w:tcW w:w="200" w:type="dxa"/>
            <w:vAlign w:val="bottom"/>
            <w:shd w:val="clear" w:color="auto" w:fill="D6F3E8"/>
          </w:tcPr>
          <w:p>
            <w:pPr>
              <w:jc w:val="right"/>
              <w:ind w:right="1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8,886,153</w:t>
            </w:r>
          </w:p>
        </w:tc>
        <w:tc>
          <w:tcPr>
            <w:tcW w:w="220" w:type="dxa"/>
            <w:vAlign w:val="bottom"/>
            <w:shd w:val="clear" w:color="auto" w:fill="D6F3E8"/>
          </w:tcPr>
          <w:p>
            <w:pPr>
              <w:spacing w:after="0"/>
              <w:rPr>
                <w:sz w:val="22"/>
                <w:szCs w:val="22"/>
                <w:color w:val="auto"/>
              </w:rPr>
            </w:pPr>
          </w:p>
        </w:tc>
        <w:tc>
          <w:tcPr>
            <w:tcW w:w="200" w:type="dxa"/>
            <w:vAlign w:val="bottom"/>
            <w:shd w:val="clear" w:color="auto" w:fill="D6F3E8"/>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7"/>
                <w:szCs w:val="17"/>
                <w:color w:val="auto"/>
              </w:rPr>
              <w:t>8,092,009</w:t>
            </w:r>
          </w:p>
        </w:tc>
        <w:tc>
          <w:tcPr>
            <w:tcW w:w="2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680" w:type="dxa"/>
            <w:vAlign w:val="bottom"/>
          </w:tcPr>
          <w:p>
            <w:pPr>
              <w:ind w:left="340"/>
              <w:spacing w:after="0"/>
              <w:rPr>
                <w:sz w:val="20"/>
                <w:szCs w:val="20"/>
                <w:color w:val="auto"/>
              </w:rPr>
            </w:pPr>
            <w:r>
              <w:rPr>
                <w:rFonts w:ascii="Arial" w:cs="Arial" w:eastAsia="Arial" w:hAnsi="Arial"/>
                <w:sz w:val="17"/>
                <w:szCs w:val="17"/>
                <w:color w:val="auto"/>
              </w:rPr>
              <w:t>Reconciliation to cash flows:</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80" w:type="dxa"/>
            <w:vAlign w:val="bottom"/>
          </w:tcPr>
          <w:p>
            <w:pPr>
              <w:ind w:left="660"/>
              <w:spacing w:after="0"/>
              <w:rPr>
                <w:sz w:val="20"/>
                <w:szCs w:val="20"/>
                <w:color w:val="auto"/>
              </w:rPr>
            </w:pPr>
            <w:r>
              <w:rPr>
                <w:rFonts w:ascii="Arial" w:cs="Arial" w:eastAsia="Arial" w:hAnsi="Arial"/>
                <w:sz w:val="17"/>
                <w:szCs w:val="17"/>
                <w:color w:val="auto"/>
              </w:rPr>
              <w:t>Depreciation and amortization</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4,337,009</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3,688,448</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4,522,861</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80" w:type="dxa"/>
            <w:vAlign w:val="bottom"/>
            <w:shd w:val="clear" w:color="auto" w:fill="D6F3E8"/>
          </w:tcPr>
          <w:p>
            <w:pPr>
              <w:ind w:left="660"/>
              <w:spacing w:after="0"/>
              <w:rPr>
                <w:sz w:val="20"/>
                <w:szCs w:val="20"/>
                <w:color w:val="auto"/>
              </w:rPr>
            </w:pPr>
            <w:r>
              <w:rPr>
                <w:rFonts w:ascii="Arial" w:cs="Arial" w:eastAsia="Arial" w:hAnsi="Arial"/>
                <w:sz w:val="17"/>
                <w:szCs w:val="17"/>
                <w:color w:val="auto"/>
              </w:rPr>
              <w:t>Deferred income taxes</w:t>
            </w:r>
          </w:p>
        </w:tc>
        <w:tc>
          <w:tcPr>
            <w:tcW w:w="88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220"/>
              <w:spacing w:after="0"/>
              <w:rPr>
                <w:sz w:val="20"/>
                <w:szCs w:val="20"/>
                <w:color w:val="auto"/>
              </w:rPr>
            </w:pPr>
            <w:r>
              <w:rPr>
                <w:rFonts w:ascii="Arial" w:cs="Arial" w:eastAsia="Arial" w:hAnsi="Arial"/>
                <w:sz w:val="17"/>
                <w:szCs w:val="17"/>
                <w:color w:val="auto"/>
              </w:rPr>
              <w:t>159,676</w:t>
            </w:r>
          </w:p>
        </w:tc>
        <w:tc>
          <w:tcPr>
            <w:tcW w:w="200" w:type="dxa"/>
            <w:vAlign w:val="bottom"/>
            <w:shd w:val="clear" w:color="auto" w:fill="D6F3E8"/>
          </w:tcPr>
          <w:p>
            <w:pPr>
              <w:spacing w:after="0"/>
              <w:rPr>
                <w:sz w:val="22"/>
                <w:szCs w:val="22"/>
                <w:color w:val="auto"/>
              </w:rPr>
            </w:pPr>
          </w:p>
        </w:tc>
        <w:tc>
          <w:tcPr>
            <w:tcW w:w="1380" w:type="dxa"/>
            <w:vAlign w:val="bottom"/>
            <w:gridSpan w:val="2"/>
            <w:shd w:val="clear" w:color="auto" w:fill="D6F3E8"/>
          </w:tcPr>
          <w:p>
            <w:pPr>
              <w:jc w:val="right"/>
              <w:ind w:right="160"/>
              <w:spacing w:after="0"/>
              <w:rPr>
                <w:sz w:val="20"/>
                <w:szCs w:val="20"/>
                <w:color w:val="auto"/>
              </w:rPr>
            </w:pPr>
            <w:r>
              <w:rPr>
                <w:rFonts w:ascii="Arial" w:cs="Arial" w:eastAsia="Arial" w:hAnsi="Arial"/>
                <w:sz w:val="17"/>
                <w:szCs w:val="17"/>
                <w:color w:val="auto"/>
              </w:rPr>
              <w:t>(953,694)</w:t>
            </w:r>
          </w:p>
        </w:tc>
        <w:tc>
          <w:tcPr>
            <w:tcW w:w="200" w:type="dxa"/>
            <w:vAlign w:val="bottom"/>
            <w:shd w:val="clear" w:color="auto" w:fill="D6F3E8"/>
          </w:tcPr>
          <w:p>
            <w:pPr>
              <w:spacing w:after="0"/>
              <w:rPr>
                <w:sz w:val="22"/>
                <w:szCs w:val="22"/>
                <w:color w:val="auto"/>
              </w:rPr>
            </w:pP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7"/>
                <w:szCs w:val="17"/>
                <w:color w:val="auto"/>
              </w:rPr>
              <w:t>23,033</w:t>
            </w:r>
          </w:p>
        </w:tc>
        <w:tc>
          <w:tcPr>
            <w:tcW w:w="2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680" w:type="dxa"/>
            <w:vAlign w:val="bottom"/>
          </w:tcPr>
          <w:p>
            <w:pPr>
              <w:ind w:left="660"/>
              <w:spacing w:after="0"/>
              <w:rPr>
                <w:sz w:val="20"/>
                <w:szCs w:val="20"/>
                <w:color w:val="auto"/>
              </w:rPr>
            </w:pPr>
            <w:r>
              <w:rPr>
                <w:rFonts w:ascii="Arial" w:cs="Arial" w:eastAsia="Arial" w:hAnsi="Arial"/>
                <w:sz w:val="17"/>
                <w:szCs w:val="17"/>
                <w:color w:val="auto"/>
              </w:rPr>
              <w:t>Restricted stock compensation expense</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185,987</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198,702</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287,915</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80" w:type="dxa"/>
            <w:vAlign w:val="bottom"/>
            <w:shd w:val="clear" w:color="auto" w:fill="D6F3E8"/>
          </w:tcPr>
          <w:p>
            <w:pPr>
              <w:ind w:left="660"/>
              <w:spacing w:after="0"/>
              <w:rPr>
                <w:sz w:val="20"/>
                <w:szCs w:val="20"/>
                <w:color w:val="auto"/>
              </w:rPr>
            </w:pPr>
            <w:r>
              <w:rPr>
                <w:rFonts w:ascii="Arial" w:cs="Arial" w:eastAsia="Arial" w:hAnsi="Arial"/>
                <w:sz w:val="17"/>
                <w:szCs w:val="17"/>
                <w:color w:val="auto"/>
              </w:rPr>
              <w:t>Adjustment of notes receivable reserve</w:t>
            </w:r>
          </w:p>
        </w:tc>
        <w:tc>
          <w:tcPr>
            <w:tcW w:w="88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18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16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360" w:type="dxa"/>
            <w:vAlign w:val="bottom"/>
            <w:gridSpan w:val="3"/>
            <w:shd w:val="clear" w:color="auto" w:fill="D6F3E8"/>
          </w:tcPr>
          <w:p>
            <w:pPr>
              <w:jc w:val="right"/>
              <w:ind w:right="160"/>
              <w:spacing w:after="0"/>
              <w:rPr>
                <w:sz w:val="20"/>
                <w:szCs w:val="20"/>
                <w:color w:val="auto"/>
              </w:rPr>
            </w:pPr>
            <w:r>
              <w:rPr>
                <w:rFonts w:ascii="Arial" w:cs="Arial" w:eastAsia="Arial" w:hAnsi="Arial"/>
                <w:sz w:val="17"/>
                <w:szCs w:val="17"/>
                <w:color w:val="auto"/>
              </w:rPr>
              <w:t>(658,134)</w:t>
            </w:r>
          </w:p>
        </w:tc>
        <w:tc>
          <w:tcPr>
            <w:tcW w:w="0" w:type="dxa"/>
            <w:vAlign w:val="bottom"/>
          </w:tcPr>
          <w:p>
            <w:pPr>
              <w:spacing w:after="0"/>
              <w:rPr>
                <w:sz w:val="1"/>
                <w:szCs w:val="1"/>
                <w:color w:val="auto"/>
              </w:rPr>
            </w:pPr>
          </w:p>
        </w:tc>
      </w:tr>
      <w:tr>
        <w:trPr>
          <w:trHeight w:val="255"/>
        </w:trPr>
        <w:tc>
          <w:tcPr>
            <w:tcW w:w="5680" w:type="dxa"/>
            <w:vAlign w:val="bottom"/>
          </w:tcPr>
          <w:p>
            <w:pPr>
              <w:ind w:left="660"/>
              <w:spacing w:after="0"/>
              <w:rPr>
                <w:sz w:val="20"/>
                <w:szCs w:val="20"/>
                <w:color w:val="auto"/>
              </w:rPr>
            </w:pPr>
            <w:r>
              <w:rPr>
                <w:rFonts w:ascii="Arial" w:cs="Arial" w:eastAsia="Arial" w:hAnsi="Arial"/>
                <w:sz w:val="17"/>
                <w:szCs w:val="17"/>
                <w:color w:val="auto"/>
              </w:rPr>
              <w:t>Impairment of intangibles</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176,000</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80" w:type="dxa"/>
            <w:vAlign w:val="bottom"/>
            <w:shd w:val="clear" w:color="auto" w:fill="D6F3E8"/>
          </w:tcPr>
          <w:p>
            <w:pPr>
              <w:ind w:left="660"/>
              <w:spacing w:after="0"/>
              <w:rPr>
                <w:sz w:val="20"/>
                <w:szCs w:val="20"/>
                <w:color w:val="auto"/>
              </w:rPr>
            </w:pPr>
            <w:r>
              <w:rPr>
                <w:rFonts w:ascii="Arial" w:cs="Arial" w:eastAsia="Arial" w:hAnsi="Arial"/>
                <w:sz w:val="17"/>
                <w:szCs w:val="17"/>
                <w:color w:val="auto"/>
              </w:rPr>
              <w:t>Impairment of investments</w:t>
            </w:r>
          </w:p>
        </w:tc>
        <w:tc>
          <w:tcPr>
            <w:tcW w:w="88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220"/>
              <w:spacing w:after="0"/>
              <w:rPr>
                <w:sz w:val="20"/>
                <w:szCs w:val="20"/>
                <w:color w:val="auto"/>
              </w:rPr>
            </w:pPr>
            <w:r>
              <w:rPr>
                <w:rFonts w:ascii="Arial" w:cs="Arial" w:eastAsia="Arial" w:hAnsi="Arial"/>
                <w:sz w:val="17"/>
                <w:szCs w:val="17"/>
                <w:color w:val="auto"/>
              </w:rPr>
              <w:t>30,595</w:t>
            </w:r>
          </w:p>
        </w:tc>
        <w:tc>
          <w:tcPr>
            <w:tcW w:w="200" w:type="dxa"/>
            <w:vAlign w:val="bottom"/>
            <w:shd w:val="clear" w:color="auto" w:fill="D6F3E8"/>
          </w:tcPr>
          <w:p>
            <w:pPr>
              <w:spacing w:after="0"/>
              <w:rPr>
                <w:sz w:val="22"/>
                <w:szCs w:val="22"/>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280,699</w:t>
            </w:r>
          </w:p>
        </w:tc>
        <w:tc>
          <w:tcPr>
            <w:tcW w:w="22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140" w:type="dxa"/>
            <w:vAlign w:val="bottom"/>
            <w:shd w:val="clear" w:color="auto" w:fill="D6F3E8"/>
          </w:tcPr>
          <w:p>
            <w:pPr>
              <w:spacing w:after="0"/>
              <w:rPr>
                <w:sz w:val="22"/>
                <w:szCs w:val="22"/>
                <w:color w:val="auto"/>
              </w:rPr>
            </w:pPr>
          </w:p>
        </w:tc>
        <w:tc>
          <w:tcPr>
            <w:tcW w:w="2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680" w:type="dxa"/>
            <w:vAlign w:val="bottom"/>
          </w:tcPr>
          <w:p>
            <w:pPr>
              <w:ind w:left="660"/>
              <w:spacing w:after="0"/>
              <w:rPr>
                <w:sz w:val="20"/>
                <w:szCs w:val="20"/>
                <w:color w:val="auto"/>
              </w:rPr>
            </w:pPr>
            <w:r>
              <w:rPr>
                <w:rFonts w:ascii="Arial" w:cs="Arial" w:eastAsia="Arial" w:hAnsi="Arial"/>
                <w:sz w:val="17"/>
                <w:szCs w:val="17"/>
                <w:color w:val="auto"/>
              </w:rPr>
              <w:t>Earnings on other assets</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7"/>
                <w:szCs w:val="17"/>
                <w:color w:val="auto"/>
              </w:rPr>
              <w:t>(6,854)</w:t>
            </w:r>
          </w:p>
        </w:tc>
        <w:tc>
          <w:tcPr>
            <w:tcW w:w="0" w:type="dxa"/>
            <w:vAlign w:val="bottom"/>
          </w:tcPr>
          <w:p>
            <w:pPr>
              <w:spacing w:after="0"/>
              <w:rPr>
                <w:sz w:val="1"/>
                <w:szCs w:val="1"/>
                <w:color w:val="auto"/>
              </w:rPr>
            </w:pPr>
          </w:p>
        </w:tc>
      </w:tr>
      <w:tr>
        <w:trPr>
          <w:trHeight w:val="256"/>
        </w:trPr>
        <w:tc>
          <w:tcPr>
            <w:tcW w:w="5680" w:type="dxa"/>
            <w:vAlign w:val="bottom"/>
            <w:shd w:val="clear" w:color="auto" w:fill="D6F3E8"/>
          </w:tcPr>
          <w:p>
            <w:pPr>
              <w:ind w:left="660"/>
              <w:spacing w:after="0"/>
              <w:rPr>
                <w:sz w:val="20"/>
                <w:szCs w:val="20"/>
                <w:color w:val="auto"/>
              </w:rPr>
            </w:pPr>
            <w:r>
              <w:rPr>
                <w:rFonts w:ascii="Arial" w:cs="Arial" w:eastAsia="Arial" w:hAnsi="Arial"/>
                <w:sz w:val="17"/>
                <w:szCs w:val="17"/>
                <w:color w:val="auto"/>
              </w:rPr>
              <w:t>Loss (gain) from property disposals</w:t>
            </w:r>
          </w:p>
        </w:tc>
        <w:tc>
          <w:tcPr>
            <w:tcW w:w="88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220"/>
              <w:spacing w:after="0"/>
              <w:rPr>
                <w:sz w:val="20"/>
                <w:szCs w:val="20"/>
                <w:color w:val="auto"/>
              </w:rPr>
            </w:pPr>
            <w:r>
              <w:rPr>
                <w:rFonts w:ascii="Arial" w:cs="Arial" w:eastAsia="Arial" w:hAnsi="Arial"/>
                <w:sz w:val="17"/>
                <w:szCs w:val="17"/>
                <w:color w:val="auto"/>
              </w:rPr>
              <w:t>195,738</w:t>
            </w:r>
          </w:p>
        </w:tc>
        <w:tc>
          <w:tcPr>
            <w:tcW w:w="200" w:type="dxa"/>
            <w:vAlign w:val="bottom"/>
            <w:shd w:val="clear" w:color="auto" w:fill="D6F3E8"/>
          </w:tcPr>
          <w:p>
            <w:pPr>
              <w:spacing w:after="0"/>
              <w:rPr>
                <w:sz w:val="22"/>
                <w:szCs w:val="22"/>
                <w:color w:val="auto"/>
              </w:rPr>
            </w:pPr>
          </w:p>
        </w:tc>
        <w:tc>
          <w:tcPr>
            <w:tcW w:w="1380" w:type="dxa"/>
            <w:vAlign w:val="bottom"/>
            <w:gridSpan w:val="2"/>
            <w:shd w:val="clear" w:color="auto" w:fill="D6F3E8"/>
          </w:tcPr>
          <w:p>
            <w:pPr>
              <w:jc w:val="right"/>
              <w:ind w:right="160"/>
              <w:spacing w:after="0"/>
              <w:rPr>
                <w:sz w:val="20"/>
                <w:szCs w:val="20"/>
                <w:color w:val="auto"/>
              </w:rPr>
            </w:pPr>
            <w:r>
              <w:rPr>
                <w:rFonts w:ascii="Arial" w:cs="Arial" w:eastAsia="Arial" w:hAnsi="Arial"/>
                <w:sz w:val="17"/>
                <w:szCs w:val="17"/>
                <w:color w:val="auto"/>
              </w:rPr>
              <w:t>(159,192)</w:t>
            </w:r>
          </w:p>
        </w:tc>
        <w:tc>
          <w:tcPr>
            <w:tcW w:w="200" w:type="dxa"/>
            <w:vAlign w:val="bottom"/>
            <w:shd w:val="clear" w:color="auto" w:fill="D6F3E8"/>
          </w:tcPr>
          <w:p>
            <w:pPr>
              <w:spacing w:after="0"/>
              <w:rPr>
                <w:sz w:val="22"/>
                <w:szCs w:val="22"/>
                <w:color w:val="auto"/>
              </w:rPr>
            </w:pP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7"/>
                <w:szCs w:val="17"/>
                <w:color w:val="auto"/>
              </w:rPr>
              <w:t>134,439</w:t>
            </w:r>
          </w:p>
        </w:tc>
        <w:tc>
          <w:tcPr>
            <w:tcW w:w="2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680" w:type="dxa"/>
            <w:vAlign w:val="bottom"/>
          </w:tcPr>
          <w:p>
            <w:pPr>
              <w:ind w:left="660"/>
              <w:spacing w:after="0"/>
              <w:rPr>
                <w:sz w:val="20"/>
                <w:szCs w:val="20"/>
                <w:color w:val="auto"/>
              </w:rPr>
            </w:pPr>
            <w:r>
              <w:rPr>
                <w:rFonts w:ascii="Arial" w:cs="Arial" w:eastAsia="Arial" w:hAnsi="Arial"/>
                <w:sz w:val="17"/>
                <w:szCs w:val="17"/>
                <w:color w:val="auto"/>
              </w:rPr>
              <w:t>Litigation settlement</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(1,056,520)</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80" w:type="dxa"/>
            <w:vAlign w:val="bottom"/>
          </w:tcPr>
          <w:p>
            <w:pPr>
              <w:ind w:left="660"/>
              <w:spacing w:after="0"/>
              <w:rPr>
                <w:sz w:val="20"/>
                <w:szCs w:val="20"/>
                <w:color w:val="auto"/>
              </w:rPr>
            </w:pPr>
            <w:r>
              <w:rPr>
                <w:rFonts w:ascii="Arial" w:cs="Arial" w:eastAsia="Arial" w:hAnsi="Arial"/>
                <w:sz w:val="17"/>
                <w:szCs w:val="17"/>
                <w:color w:val="auto"/>
              </w:rPr>
              <w:t>Changes in operating accounts (using) providing cash:</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80" w:type="dxa"/>
            <w:vAlign w:val="bottom"/>
            <w:shd w:val="clear" w:color="auto" w:fill="D6F3E8"/>
          </w:tcPr>
          <w:p>
            <w:pPr>
              <w:ind w:left="980"/>
              <w:spacing w:after="0"/>
              <w:rPr>
                <w:sz w:val="20"/>
                <w:szCs w:val="20"/>
                <w:color w:val="auto"/>
              </w:rPr>
            </w:pPr>
            <w:r>
              <w:rPr>
                <w:rFonts w:ascii="Arial" w:cs="Arial" w:eastAsia="Arial" w:hAnsi="Arial"/>
                <w:sz w:val="17"/>
                <w:szCs w:val="17"/>
                <w:color w:val="auto"/>
              </w:rPr>
              <w:t>Trade receivables</w:t>
            </w:r>
          </w:p>
        </w:tc>
        <w:tc>
          <w:tcPr>
            <w:tcW w:w="88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160"/>
              <w:spacing w:after="0"/>
              <w:rPr>
                <w:sz w:val="20"/>
                <w:szCs w:val="20"/>
                <w:color w:val="auto"/>
              </w:rPr>
            </w:pPr>
            <w:r>
              <w:rPr>
                <w:rFonts w:ascii="Arial" w:cs="Arial" w:eastAsia="Arial" w:hAnsi="Arial"/>
                <w:sz w:val="17"/>
                <w:szCs w:val="17"/>
                <w:color w:val="auto"/>
              </w:rPr>
              <w:t>(3,477,609)</w:t>
            </w:r>
          </w:p>
        </w:tc>
        <w:tc>
          <w:tcPr>
            <w:tcW w:w="200" w:type="dxa"/>
            <w:vAlign w:val="bottom"/>
            <w:shd w:val="clear" w:color="auto" w:fill="D6F3E8"/>
          </w:tcPr>
          <w:p>
            <w:pPr>
              <w:spacing w:after="0"/>
              <w:rPr>
                <w:sz w:val="22"/>
                <w:szCs w:val="22"/>
                <w:color w:val="auto"/>
              </w:rPr>
            </w:pPr>
          </w:p>
        </w:tc>
        <w:tc>
          <w:tcPr>
            <w:tcW w:w="1380" w:type="dxa"/>
            <w:vAlign w:val="bottom"/>
            <w:gridSpan w:val="2"/>
            <w:shd w:val="clear" w:color="auto" w:fill="D6F3E8"/>
          </w:tcPr>
          <w:p>
            <w:pPr>
              <w:jc w:val="right"/>
              <w:ind w:right="160"/>
              <w:spacing w:after="0"/>
              <w:rPr>
                <w:sz w:val="20"/>
                <w:szCs w:val="20"/>
                <w:color w:val="auto"/>
              </w:rPr>
            </w:pPr>
            <w:r>
              <w:rPr>
                <w:rFonts w:ascii="Arial" w:cs="Arial" w:eastAsia="Arial" w:hAnsi="Arial"/>
                <w:sz w:val="17"/>
                <w:szCs w:val="17"/>
                <w:color w:val="auto"/>
              </w:rPr>
              <w:t>(2,511,607)</w:t>
            </w:r>
          </w:p>
        </w:tc>
        <w:tc>
          <w:tcPr>
            <w:tcW w:w="200" w:type="dxa"/>
            <w:vAlign w:val="bottom"/>
            <w:shd w:val="clear" w:color="auto" w:fill="D6F3E8"/>
          </w:tcPr>
          <w:p>
            <w:pPr>
              <w:spacing w:after="0"/>
              <w:rPr>
                <w:sz w:val="22"/>
                <w:szCs w:val="22"/>
                <w:color w:val="auto"/>
              </w:rPr>
            </w:pPr>
          </w:p>
        </w:tc>
        <w:tc>
          <w:tcPr>
            <w:tcW w:w="1360" w:type="dxa"/>
            <w:vAlign w:val="bottom"/>
            <w:gridSpan w:val="3"/>
            <w:shd w:val="clear" w:color="auto" w:fill="D6F3E8"/>
          </w:tcPr>
          <w:p>
            <w:pPr>
              <w:jc w:val="right"/>
              <w:ind w:right="160"/>
              <w:spacing w:after="0"/>
              <w:rPr>
                <w:sz w:val="20"/>
                <w:szCs w:val="20"/>
                <w:color w:val="auto"/>
              </w:rPr>
            </w:pPr>
            <w:r>
              <w:rPr>
                <w:rFonts w:ascii="Arial" w:cs="Arial" w:eastAsia="Arial" w:hAnsi="Arial"/>
                <w:sz w:val="17"/>
                <w:szCs w:val="17"/>
                <w:color w:val="auto"/>
              </w:rPr>
              <w:t>(2,365,102)</w:t>
            </w:r>
          </w:p>
        </w:tc>
        <w:tc>
          <w:tcPr>
            <w:tcW w:w="0" w:type="dxa"/>
            <w:vAlign w:val="bottom"/>
          </w:tcPr>
          <w:p>
            <w:pPr>
              <w:spacing w:after="0"/>
              <w:rPr>
                <w:sz w:val="1"/>
                <w:szCs w:val="1"/>
                <w:color w:val="auto"/>
              </w:rPr>
            </w:pPr>
          </w:p>
        </w:tc>
      </w:tr>
      <w:tr>
        <w:trPr>
          <w:trHeight w:val="255"/>
        </w:trPr>
        <w:tc>
          <w:tcPr>
            <w:tcW w:w="5680" w:type="dxa"/>
            <w:vAlign w:val="bottom"/>
          </w:tcPr>
          <w:p>
            <w:pPr>
              <w:ind w:left="980"/>
              <w:spacing w:after="0"/>
              <w:rPr>
                <w:sz w:val="20"/>
                <w:szCs w:val="20"/>
                <w:color w:val="auto"/>
              </w:rPr>
            </w:pPr>
            <w:r>
              <w:rPr>
                <w:rFonts w:ascii="Arial" w:cs="Arial" w:eastAsia="Arial" w:hAnsi="Arial"/>
                <w:sz w:val="17"/>
                <w:szCs w:val="17"/>
                <w:color w:val="auto"/>
              </w:rPr>
              <w:t>Inventories</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(2,336,677)</w:t>
            </w:r>
          </w:p>
        </w:tc>
        <w:tc>
          <w:tcPr>
            <w:tcW w:w="20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(1,862,061)</w:t>
            </w:r>
          </w:p>
        </w:tc>
        <w:tc>
          <w:tcPr>
            <w:tcW w:w="20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299,471</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80" w:type="dxa"/>
            <w:vAlign w:val="bottom"/>
            <w:shd w:val="clear" w:color="auto" w:fill="D6F3E8"/>
          </w:tcPr>
          <w:p>
            <w:pPr>
              <w:ind w:left="980"/>
              <w:spacing w:after="0"/>
              <w:rPr>
                <w:sz w:val="20"/>
                <w:szCs w:val="20"/>
                <w:color w:val="auto"/>
              </w:rPr>
            </w:pPr>
            <w:r>
              <w:rPr>
                <w:rFonts w:ascii="Arial" w:cs="Arial" w:eastAsia="Arial" w:hAnsi="Arial"/>
                <w:sz w:val="17"/>
                <w:szCs w:val="17"/>
                <w:color w:val="auto"/>
              </w:rPr>
              <w:t>Accounts payable</w:t>
            </w:r>
          </w:p>
        </w:tc>
        <w:tc>
          <w:tcPr>
            <w:tcW w:w="88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220"/>
              <w:spacing w:after="0"/>
              <w:rPr>
                <w:sz w:val="20"/>
                <w:szCs w:val="20"/>
                <w:color w:val="auto"/>
              </w:rPr>
            </w:pPr>
            <w:r>
              <w:rPr>
                <w:rFonts w:ascii="Arial" w:cs="Arial" w:eastAsia="Arial" w:hAnsi="Arial"/>
                <w:sz w:val="17"/>
                <w:szCs w:val="17"/>
                <w:color w:val="auto"/>
              </w:rPr>
              <w:t>2,634,642</w:t>
            </w:r>
          </w:p>
        </w:tc>
        <w:tc>
          <w:tcPr>
            <w:tcW w:w="200" w:type="dxa"/>
            <w:vAlign w:val="bottom"/>
            <w:shd w:val="clear" w:color="auto" w:fill="D6F3E8"/>
          </w:tcPr>
          <w:p>
            <w:pPr>
              <w:spacing w:after="0"/>
              <w:rPr>
                <w:sz w:val="22"/>
                <w:szCs w:val="22"/>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2,128,099</w:t>
            </w:r>
          </w:p>
        </w:tc>
        <w:tc>
          <w:tcPr>
            <w:tcW w:w="22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7"/>
                <w:szCs w:val="17"/>
                <w:color w:val="auto"/>
              </w:rPr>
              <w:t>1,194,140</w:t>
            </w:r>
          </w:p>
        </w:tc>
        <w:tc>
          <w:tcPr>
            <w:tcW w:w="2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680" w:type="dxa"/>
            <w:vAlign w:val="bottom"/>
          </w:tcPr>
          <w:p>
            <w:pPr>
              <w:ind w:left="980"/>
              <w:spacing w:after="0"/>
              <w:rPr>
                <w:sz w:val="20"/>
                <w:szCs w:val="20"/>
                <w:color w:val="auto"/>
              </w:rPr>
            </w:pPr>
            <w:r>
              <w:rPr>
                <w:rFonts w:ascii="Arial" w:cs="Arial" w:eastAsia="Arial" w:hAnsi="Arial"/>
                <w:sz w:val="17"/>
                <w:szCs w:val="17"/>
                <w:color w:val="auto"/>
              </w:rPr>
              <w:t>Accrued liabilities</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724,991</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466,599</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7"/>
                <w:szCs w:val="17"/>
                <w:color w:val="auto"/>
              </w:rPr>
              <w:t>(18,745)</w:t>
            </w:r>
          </w:p>
        </w:tc>
        <w:tc>
          <w:tcPr>
            <w:tcW w:w="0" w:type="dxa"/>
            <w:vAlign w:val="bottom"/>
          </w:tcPr>
          <w:p>
            <w:pPr>
              <w:spacing w:after="0"/>
              <w:rPr>
                <w:sz w:val="1"/>
                <w:szCs w:val="1"/>
                <w:color w:val="auto"/>
              </w:rPr>
            </w:pPr>
          </w:p>
        </w:tc>
      </w:tr>
      <w:tr>
        <w:trPr>
          <w:trHeight w:val="256"/>
        </w:trPr>
        <w:tc>
          <w:tcPr>
            <w:tcW w:w="5680" w:type="dxa"/>
            <w:vAlign w:val="bottom"/>
            <w:shd w:val="clear" w:color="auto" w:fill="D6F3E8"/>
          </w:tcPr>
          <w:p>
            <w:pPr>
              <w:ind w:left="980"/>
              <w:spacing w:after="0"/>
              <w:rPr>
                <w:sz w:val="20"/>
                <w:szCs w:val="20"/>
                <w:color w:val="auto"/>
              </w:rPr>
            </w:pPr>
            <w:r>
              <w:rPr>
                <w:rFonts w:ascii="Arial" w:cs="Arial" w:eastAsia="Arial" w:hAnsi="Arial"/>
                <w:sz w:val="17"/>
                <w:szCs w:val="17"/>
                <w:color w:val="auto"/>
              </w:rPr>
              <w:t>Other</w:t>
            </w:r>
          </w:p>
        </w:tc>
        <w:tc>
          <w:tcPr>
            <w:tcW w:w="88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160"/>
              <w:spacing w:after="0"/>
              <w:rPr>
                <w:sz w:val="20"/>
                <w:szCs w:val="20"/>
                <w:color w:val="auto"/>
              </w:rPr>
            </w:pPr>
            <w:r>
              <w:rPr>
                <w:rFonts w:ascii="Arial" w:cs="Arial" w:eastAsia="Arial" w:hAnsi="Arial"/>
                <w:sz w:val="17"/>
                <w:szCs w:val="17"/>
                <w:color w:val="auto"/>
              </w:rPr>
              <w:t>(1,793,760)</w:t>
            </w:r>
          </w:p>
        </w:tc>
        <w:tc>
          <w:tcPr>
            <w:tcW w:w="200" w:type="dxa"/>
            <w:vAlign w:val="bottom"/>
            <w:shd w:val="clear" w:color="auto" w:fill="D6F3E8"/>
          </w:tcPr>
          <w:p>
            <w:pPr>
              <w:spacing w:after="0"/>
              <w:rPr>
                <w:sz w:val="22"/>
                <w:szCs w:val="22"/>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176,096</w:t>
            </w:r>
          </w:p>
        </w:tc>
        <w:tc>
          <w:tcPr>
            <w:tcW w:w="22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7"/>
                <w:szCs w:val="17"/>
                <w:color w:val="auto"/>
              </w:rPr>
              <w:t>1,112,125</w:t>
            </w:r>
          </w:p>
        </w:tc>
        <w:tc>
          <w:tcPr>
            <w:tcW w:w="2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680" w:type="dxa"/>
            <w:vAlign w:val="bottom"/>
          </w:tcPr>
          <w:p>
            <w:pPr>
              <w:ind w:left="1300"/>
              <w:spacing w:after="0"/>
              <w:rPr>
                <w:sz w:val="20"/>
                <w:szCs w:val="20"/>
                <w:color w:val="auto"/>
              </w:rPr>
            </w:pPr>
            <w:r>
              <w:rPr>
                <w:rFonts w:ascii="Arial" w:cs="Arial" w:eastAsia="Arial" w:hAnsi="Arial"/>
                <w:sz w:val="17"/>
                <w:szCs w:val="17"/>
                <w:color w:val="auto"/>
              </w:rPr>
              <w:t>Net cash provided by operating activities</w:t>
            </w:r>
          </w:p>
        </w:tc>
        <w:tc>
          <w:tcPr>
            <w:tcW w:w="8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8,729,475</w:t>
            </w:r>
          </w:p>
        </w:tc>
        <w:tc>
          <w:tcPr>
            <w:tcW w:w="2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9,457,722</w:t>
            </w:r>
          </w:p>
        </w:tc>
        <w:tc>
          <w:tcPr>
            <w:tcW w:w="2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12,617,158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4"/>
        </w:trPr>
        <w:tc>
          <w:tcPr>
            <w:tcW w:w="568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680" w:type="dxa"/>
            <w:vAlign w:val="bottom"/>
            <w:shd w:val="clear" w:color="auto" w:fill="D6F3E8"/>
          </w:tcPr>
          <w:p>
            <w:pPr>
              <w:ind w:left="340"/>
              <w:spacing w:after="0"/>
              <w:rPr>
                <w:sz w:val="20"/>
                <w:szCs w:val="20"/>
                <w:color w:val="auto"/>
              </w:rPr>
            </w:pPr>
            <w:r>
              <w:rPr>
                <w:rFonts w:ascii="Arial" w:cs="Arial" w:eastAsia="Arial" w:hAnsi="Arial"/>
                <w:sz w:val="17"/>
                <w:szCs w:val="17"/>
                <w:color w:val="auto"/>
              </w:rPr>
              <w:t>Additions to property, plant, and equipment</w:t>
            </w:r>
          </w:p>
        </w:tc>
        <w:tc>
          <w:tcPr>
            <w:tcW w:w="88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160"/>
              <w:spacing w:after="0"/>
              <w:rPr>
                <w:sz w:val="20"/>
                <w:szCs w:val="20"/>
                <w:color w:val="auto"/>
              </w:rPr>
            </w:pPr>
            <w:r>
              <w:rPr>
                <w:rFonts w:ascii="Arial" w:cs="Arial" w:eastAsia="Arial" w:hAnsi="Arial"/>
                <w:sz w:val="17"/>
                <w:szCs w:val="17"/>
                <w:color w:val="auto"/>
              </w:rPr>
              <w:t>(4,687,973)</w:t>
            </w:r>
          </w:p>
        </w:tc>
        <w:tc>
          <w:tcPr>
            <w:tcW w:w="200" w:type="dxa"/>
            <w:vAlign w:val="bottom"/>
            <w:shd w:val="clear" w:color="auto" w:fill="D6F3E8"/>
          </w:tcPr>
          <w:p>
            <w:pPr>
              <w:spacing w:after="0"/>
              <w:rPr>
                <w:sz w:val="22"/>
                <w:szCs w:val="22"/>
                <w:color w:val="auto"/>
              </w:rPr>
            </w:pPr>
          </w:p>
        </w:tc>
        <w:tc>
          <w:tcPr>
            <w:tcW w:w="1380" w:type="dxa"/>
            <w:vAlign w:val="bottom"/>
            <w:gridSpan w:val="2"/>
            <w:shd w:val="clear" w:color="auto" w:fill="D6F3E8"/>
          </w:tcPr>
          <w:p>
            <w:pPr>
              <w:jc w:val="right"/>
              <w:ind w:right="160"/>
              <w:spacing w:after="0"/>
              <w:rPr>
                <w:sz w:val="20"/>
                <w:szCs w:val="20"/>
                <w:color w:val="auto"/>
              </w:rPr>
            </w:pPr>
            <w:r>
              <w:rPr>
                <w:rFonts w:ascii="Arial" w:cs="Arial" w:eastAsia="Arial" w:hAnsi="Arial"/>
                <w:sz w:val="17"/>
                <w:szCs w:val="17"/>
                <w:color w:val="auto"/>
              </w:rPr>
              <w:t>(6,948,010)</w:t>
            </w:r>
          </w:p>
        </w:tc>
        <w:tc>
          <w:tcPr>
            <w:tcW w:w="200" w:type="dxa"/>
            <w:vAlign w:val="bottom"/>
            <w:shd w:val="clear" w:color="auto" w:fill="D6F3E8"/>
          </w:tcPr>
          <w:p>
            <w:pPr>
              <w:spacing w:after="0"/>
              <w:rPr>
                <w:sz w:val="22"/>
                <w:szCs w:val="22"/>
                <w:color w:val="auto"/>
              </w:rPr>
            </w:pPr>
          </w:p>
        </w:tc>
        <w:tc>
          <w:tcPr>
            <w:tcW w:w="1360" w:type="dxa"/>
            <w:vAlign w:val="bottom"/>
            <w:gridSpan w:val="3"/>
            <w:shd w:val="clear" w:color="auto" w:fill="D6F3E8"/>
          </w:tcPr>
          <w:p>
            <w:pPr>
              <w:jc w:val="right"/>
              <w:ind w:right="160"/>
              <w:spacing w:after="0"/>
              <w:rPr>
                <w:sz w:val="20"/>
                <w:szCs w:val="20"/>
                <w:color w:val="auto"/>
              </w:rPr>
            </w:pPr>
            <w:r>
              <w:rPr>
                <w:rFonts w:ascii="Arial" w:cs="Arial" w:eastAsia="Arial" w:hAnsi="Arial"/>
                <w:sz w:val="17"/>
                <w:szCs w:val="17"/>
                <w:color w:val="auto"/>
              </w:rPr>
              <w:t>(5,922,862)</w:t>
            </w:r>
          </w:p>
        </w:tc>
        <w:tc>
          <w:tcPr>
            <w:tcW w:w="0" w:type="dxa"/>
            <w:vAlign w:val="bottom"/>
          </w:tcPr>
          <w:p>
            <w:pPr>
              <w:spacing w:after="0"/>
              <w:rPr>
                <w:sz w:val="1"/>
                <w:szCs w:val="1"/>
                <w:color w:val="auto"/>
              </w:rPr>
            </w:pPr>
          </w:p>
        </w:tc>
      </w:tr>
      <w:tr>
        <w:trPr>
          <w:trHeight w:val="255"/>
        </w:trPr>
        <w:tc>
          <w:tcPr>
            <w:tcW w:w="5680" w:type="dxa"/>
            <w:vAlign w:val="bottom"/>
          </w:tcPr>
          <w:p>
            <w:pPr>
              <w:ind w:left="340"/>
              <w:spacing w:after="0"/>
              <w:rPr>
                <w:sz w:val="20"/>
                <w:szCs w:val="20"/>
                <w:color w:val="auto"/>
              </w:rPr>
            </w:pPr>
            <w:r>
              <w:rPr>
                <w:rFonts w:ascii="Arial" w:cs="Arial" w:eastAsia="Arial" w:hAnsi="Arial"/>
                <w:sz w:val="17"/>
                <w:szCs w:val="17"/>
                <w:color w:val="auto"/>
              </w:rPr>
              <w:t>Purchase of investments</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(2,069,866)</w:t>
            </w:r>
          </w:p>
        </w:tc>
        <w:tc>
          <w:tcPr>
            <w:tcW w:w="200" w:type="dxa"/>
            <w:vAlign w:val="bottom"/>
          </w:tcPr>
          <w:p>
            <w:pPr>
              <w:spacing w:after="0"/>
              <w:rPr>
                <w:sz w:val="22"/>
                <w:szCs w:val="22"/>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7"/>
                <w:szCs w:val="17"/>
                <w:color w:val="auto"/>
              </w:rPr>
              <w:t>(11,491,472)</w:t>
            </w:r>
          </w:p>
        </w:tc>
        <w:tc>
          <w:tcPr>
            <w:tcW w:w="0" w:type="dxa"/>
            <w:vAlign w:val="bottom"/>
          </w:tcPr>
          <w:p>
            <w:pPr>
              <w:spacing w:after="0"/>
              <w:rPr>
                <w:sz w:val="1"/>
                <w:szCs w:val="1"/>
                <w:color w:val="auto"/>
              </w:rPr>
            </w:pPr>
          </w:p>
        </w:tc>
      </w:tr>
      <w:tr>
        <w:trPr>
          <w:trHeight w:val="256"/>
        </w:trPr>
        <w:tc>
          <w:tcPr>
            <w:tcW w:w="5680" w:type="dxa"/>
            <w:vAlign w:val="bottom"/>
            <w:shd w:val="clear" w:color="auto" w:fill="D6F3E8"/>
          </w:tcPr>
          <w:p>
            <w:pPr>
              <w:ind w:left="340"/>
              <w:spacing w:after="0"/>
              <w:rPr>
                <w:sz w:val="20"/>
                <w:szCs w:val="20"/>
                <w:color w:val="auto"/>
              </w:rPr>
            </w:pPr>
            <w:r>
              <w:rPr>
                <w:rFonts w:ascii="Arial" w:cs="Arial" w:eastAsia="Arial" w:hAnsi="Arial"/>
                <w:sz w:val="17"/>
                <w:szCs w:val="17"/>
                <w:color w:val="auto"/>
              </w:rPr>
              <w:t>Sale and maturities of investments</w:t>
            </w:r>
          </w:p>
        </w:tc>
        <w:tc>
          <w:tcPr>
            <w:tcW w:w="88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220"/>
              <w:spacing w:after="0"/>
              <w:rPr>
                <w:sz w:val="20"/>
                <w:szCs w:val="20"/>
                <w:color w:val="auto"/>
              </w:rPr>
            </w:pPr>
            <w:r>
              <w:rPr>
                <w:rFonts w:ascii="Arial" w:cs="Arial" w:eastAsia="Arial" w:hAnsi="Arial"/>
                <w:sz w:val="17"/>
                <w:szCs w:val="17"/>
                <w:color w:val="auto"/>
              </w:rPr>
              <w:t>3,293,320</w:t>
            </w:r>
          </w:p>
        </w:tc>
        <w:tc>
          <w:tcPr>
            <w:tcW w:w="200" w:type="dxa"/>
            <w:vAlign w:val="bottom"/>
            <w:shd w:val="clear" w:color="auto" w:fill="D6F3E8"/>
          </w:tcPr>
          <w:p>
            <w:pPr>
              <w:spacing w:after="0"/>
              <w:rPr>
                <w:sz w:val="22"/>
                <w:szCs w:val="22"/>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4,822,151</w:t>
            </w:r>
          </w:p>
        </w:tc>
        <w:tc>
          <w:tcPr>
            <w:tcW w:w="22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7"/>
                <w:szCs w:val="17"/>
                <w:color w:val="auto"/>
              </w:rPr>
              <w:t>11,201,957</w:t>
            </w:r>
          </w:p>
        </w:tc>
        <w:tc>
          <w:tcPr>
            <w:tcW w:w="2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680" w:type="dxa"/>
            <w:vAlign w:val="bottom"/>
          </w:tcPr>
          <w:p>
            <w:pPr>
              <w:ind w:left="340"/>
              <w:spacing w:after="0"/>
              <w:rPr>
                <w:sz w:val="20"/>
                <w:szCs w:val="20"/>
                <w:color w:val="auto"/>
              </w:rPr>
            </w:pPr>
            <w:r>
              <w:rPr>
                <w:rFonts w:ascii="Arial" w:cs="Arial" w:eastAsia="Arial" w:hAnsi="Arial"/>
                <w:sz w:val="17"/>
                <w:szCs w:val="17"/>
                <w:color w:val="auto"/>
              </w:rPr>
              <w:t>Proceeds from property disposals</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101,977</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236,492</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110,283</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80" w:type="dxa"/>
            <w:vAlign w:val="bottom"/>
            <w:shd w:val="clear" w:color="auto" w:fill="D6F3E8"/>
          </w:tcPr>
          <w:p>
            <w:pPr>
              <w:ind w:left="340"/>
              <w:spacing w:after="0"/>
              <w:rPr>
                <w:sz w:val="20"/>
                <w:szCs w:val="20"/>
                <w:color w:val="auto"/>
              </w:rPr>
            </w:pPr>
            <w:r>
              <w:rPr>
                <w:rFonts w:ascii="Arial" w:cs="Arial" w:eastAsia="Arial" w:hAnsi="Arial"/>
                <w:sz w:val="17"/>
                <w:szCs w:val="17"/>
                <w:color w:val="auto"/>
              </w:rPr>
              <w:t>Payments received on notes receivable</w:t>
            </w:r>
          </w:p>
        </w:tc>
        <w:tc>
          <w:tcPr>
            <w:tcW w:w="880" w:type="dxa"/>
            <w:vAlign w:val="bottom"/>
            <w:shd w:val="clear" w:color="auto" w:fill="D6F3E8"/>
          </w:tcPr>
          <w:p>
            <w:pPr>
              <w:spacing w:after="0"/>
              <w:rPr>
                <w:sz w:val="22"/>
                <w:szCs w:val="22"/>
                <w:color w:val="auto"/>
              </w:rPr>
            </w:pPr>
          </w:p>
        </w:tc>
        <w:tc>
          <w:tcPr>
            <w:tcW w:w="200" w:type="dxa"/>
            <w:vAlign w:val="bottom"/>
            <w:tcBorders>
              <w:bottom w:val="single" w:sz="8" w:color="auto"/>
            </w:tcBorders>
            <w:shd w:val="clear" w:color="auto" w:fill="D6F3E8"/>
          </w:tcPr>
          <w:p>
            <w:pPr>
              <w:spacing w:after="0"/>
              <w:rPr>
                <w:sz w:val="22"/>
                <w:szCs w:val="22"/>
                <w:color w:val="auto"/>
              </w:rPr>
            </w:pPr>
          </w:p>
        </w:tc>
        <w:tc>
          <w:tcPr>
            <w:tcW w:w="11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7"/>
                <w:szCs w:val="17"/>
                <w:color w:val="auto"/>
              </w:rPr>
              <w:t>2,098,164</w:t>
            </w:r>
          </w:p>
        </w:tc>
        <w:tc>
          <w:tcPr>
            <w:tcW w:w="220" w:type="dxa"/>
            <w:vAlign w:val="bottom"/>
            <w:shd w:val="clear" w:color="auto" w:fill="D6F3E8"/>
          </w:tcPr>
          <w:p>
            <w:pPr>
              <w:spacing w:after="0"/>
              <w:rPr>
                <w:sz w:val="22"/>
                <w:szCs w:val="22"/>
                <w:color w:val="auto"/>
              </w:rPr>
            </w:pPr>
          </w:p>
        </w:tc>
        <w:tc>
          <w:tcPr>
            <w:tcW w:w="200" w:type="dxa"/>
            <w:vAlign w:val="bottom"/>
            <w:tcBorders>
              <w:bottom w:val="single" w:sz="8" w:color="auto"/>
            </w:tcBorders>
            <w:shd w:val="clear" w:color="auto" w:fill="D6F3E8"/>
          </w:tcPr>
          <w:p>
            <w:pPr>
              <w:spacing w:after="0"/>
              <w:rPr>
                <w:sz w:val="22"/>
                <w:szCs w:val="22"/>
                <w:color w:val="auto"/>
              </w:rPr>
            </w:pPr>
          </w:p>
        </w:tc>
        <w:tc>
          <w:tcPr>
            <w:tcW w:w="1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7"/>
                <w:szCs w:val="17"/>
                <w:color w:val="auto"/>
              </w:rPr>
              <w:t>157,142</w:t>
            </w:r>
          </w:p>
        </w:tc>
        <w:tc>
          <w:tcPr>
            <w:tcW w:w="220" w:type="dxa"/>
            <w:vAlign w:val="bottom"/>
            <w:shd w:val="clear" w:color="auto" w:fill="D6F3E8"/>
          </w:tcPr>
          <w:p>
            <w:pPr>
              <w:spacing w:after="0"/>
              <w:rPr>
                <w:sz w:val="22"/>
                <w:szCs w:val="22"/>
                <w:color w:val="auto"/>
              </w:rPr>
            </w:pPr>
          </w:p>
        </w:tc>
        <w:tc>
          <w:tcPr>
            <w:tcW w:w="200" w:type="dxa"/>
            <w:vAlign w:val="bottom"/>
            <w:tcBorders>
              <w:bottom w:val="single" w:sz="8" w:color="auto"/>
            </w:tcBorders>
            <w:shd w:val="clear" w:color="auto" w:fill="D6F3E8"/>
          </w:tcPr>
          <w:p>
            <w:pPr>
              <w:spacing w:after="0"/>
              <w:rPr>
                <w:sz w:val="22"/>
                <w:szCs w:val="22"/>
                <w:color w:val="auto"/>
              </w:rPr>
            </w:pP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7"/>
                <w:szCs w:val="17"/>
                <w:color w:val="auto"/>
              </w:rPr>
              <w:t>176,083</w:t>
            </w:r>
          </w:p>
        </w:tc>
        <w:tc>
          <w:tcPr>
            <w:tcW w:w="2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680" w:type="dxa"/>
            <w:vAlign w:val="bottom"/>
          </w:tcPr>
          <w:p>
            <w:pPr>
              <w:ind w:left="1300"/>
              <w:spacing w:after="0"/>
              <w:rPr>
                <w:sz w:val="20"/>
                <w:szCs w:val="20"/>
                <w:color w:val="auto"/>
              </w:rPr>
            </w:pPr>
            <w:r>
              <w:rPr>
                <w:rFonts w:ascii="Arial" w:cs="Arial" w:eastAsia="Arial" w:hAnsi="Arial"/>
                <w:sz w:val="17"/>
                <w:szCs w:val="17"/>
                <w:color w:val="auto"/>
              </w:rPr>
              <w:t>Net cash provided by (used in) investing activities</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805,488</w:t>
            </w: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(3,802,091)</w:t>
            </w:r>
          </w:p>
        </w:tc>
        <w:tc>
          <w:tcPr>
            <w:tcW w:w="200" w:type="dxa"/>
            <w:vAlign w:val="bottom"/>
          </w:tcPr>
          <w:p>
            <w:pPr>
              <w:spacing w:after="0"/>
              <w:rPr>
                <w:sz w:val="21"/>
                <w:szCs w:val="21"/>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7"/>
                <w:szCs w:val="17"/>
                <w:color w:val="auto"/>
              </w:rPr>
              <w:t>(5,926,011)</w:t>
            </w:r>
          </w:p>
        </w:tc>
        <w:tc>
          <w:tcPr>
            <w:tcW w:w="0" w:type="dxa"/>
            <w:vAlign w:val="bottom"/>
          </w:tcPr>
          <w:p>
            <w:pPr>
              <w:spacing w:after="0"/>
              <w:rPr>
                <w:sz w:val="1"/>
                <w:szCs w:val="1"/>
                <w:color w:val="auto"/>
              </w:rPr>
            </w:pPr>
          </w:p>
        </w:tc>
      </w:tr>
      <w:tr>
        <w:trPr>
          <w:trHeight w:val="444"/>
        </w:trPr>
        <w:tc>
          <w:tcPr>
            <w:tcW w:w="568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680" w:type="dxa"/>
            <w:vAlign w:val="bottom"/>
            <w:shd w:val="clear" w:color="auto" w:fill="D6F3E8"/>
          </w:tcPr>
          <w:p>
            <w:pPr>
              <w:ind w:left="340"/>
              <w:spacing w:after="0"/>
              <w:rPr>
                <w:sz w:val="20"/>
                <w:szCs w:val="20"/>
                <w:color w:val="auto"/>
              </w:rPr>
            </w:pPr>
            <w:r>
              <w:rPr>
                <w:rFonts w:ascii="Arial" w:cs="Arial" w:eastAsia="Arial" w:hAnsi="Arial"/>
                <w:sz w:val="17"/>
                <w:szCs w:val="17"/>
                <w:color w:val="auto"/>
              </w:rPr>
              <w:t>Cash dividends paid</w:t>
            </w:r>
          </w:p>
        </w:tc>
        <w:tc>
          <w:tcPr>
            <w:tcW w:w="88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160"/>
              <w:spacing w:after="0"/>
              <w:rPr>
                <w:sz w:val="20"/>
                <w:szCs w:val="20"/>
                <w:color w:val="auto"/>
              </w:rPr>
            </w:pPr>
            <w:r>
              <w:rPr>
                <w:rFonts w:ascii="Arial" w:cs="Arial" w:eastAsia="Arial" w:hAnsi="Arial"/>
                <w:sz w:val="17"/>
                <w:szCs w:val="17"/>
                <w:color w:val="auto"/>
              </w:rPr>
              <w:t>(4,272,028)</w:t>
            </w:r>
          </w:p>
        </w:tc>
        <w:tc>
          <w:tcPr>
            <w:tcW w:w="200" w:type="dxa"/>
            <w:vAlign w:val="bottom"/>
            <w:shd w:val="clear" w:color="auto" w:fill="D6F3E8"/>
          </w:tcPr>
          <w:p>
            <w:pPr>
              <w:spacing w:after="0"/>
              <w:rPr>
                <w:sz w:val="22"/>
                <w:szCs w:val="22"/>
                <w:color w:val="auto"/>
              </w:rPr>
            </w:pPr>
          </w:p>
        </w:tc>
        <w:tc>
          <w:tcPr>
            <w:tcW w:w="1380" w:type="dxa"/>
            <w:vAlign w:val="bottom"/>
            <w:gridSpan w:val="2"/>
            <w:shd w:val="clear" w:color="auto" w:fill="D6F3E8"/>
          </w:tcPr>
          <w:p>
            <w:pPr>
              <w:jc w:val="right"/>
              <w:ind w:right="160"/>
              <w:spacing w:after="0"/>
              <w:rPr>
                <w:sz w:val="20"/>
                <w:szCs w:val="20"/>
                <w:color w:val="auto"/>
              </w:rPr>
            </w:pPr>
            <w:r>
              <w:rPr>
                <w:rFonts w:ascii="Arial" w:cs="Arial" w:eastAsia="Arial" w:hAnsi="Arial"/>
                <w:sz w:val="17"/>
                <w:szCs w:val="17"/>
                <w:color w:val="auto"/>
              </w:rPr>
              <w:t>(3,890,417)</w:t>
            </w:r>
          </w:p>
        </w:tc>
        <w:tc>
          <w:tcPr>
            <w:tcW w:w="200" w:type="dxa"/>
            <w:vAlign w:val="bottom"/>
            <w:shd w:val="clear" w:color="auto" w:fill="D6F3E8"/>
          </w:tcPr>
          <w:p>
            <w:pPr>
              <w:spacing w:after="0"/>
              <w:rPr>
                <w:sz w:val="22"/>
                <w:szCs w:val="22"/>
                <w:color w:val="auto"/>
              </w:rPr>
            </w:pPr>
          </w:p>
        </w:tc>
        <w:tc>
          <w:tcPr>
            <w:tcW w:w="1360" w:type="dxa"/>
            <w:vAlign w:val="bottom"/>
            <w:gridSpan w:val="3"/>
            <w:shd w:val="clear" w:color="auto" w:fill="D6F3E8"/>
          </w:tcPr>
          <w:p>
            <w:pPr>
              <w:jc w:val="right"/>
              <w:ind w:right="160"/>
              <w:spacing w:after="0"/>
              <w:rPr>
                <w:sz w:val="20"/>
                <w:szCs w:val="20"/>
                <w:color w:val="auto"/>
              </w:rPr>
            </w:pPr>
            <w:r>
              <w:rPr>
                <w:rFonts w:ascii="Arial" w:cs="Arial" w:eastAsia="Arial" w:hAnsi="Arial"/>
                <w:sz w:val="17"/>
                <w:szCs w:val="17"/>
                <w:color w:val="auto"/>
              </w:rPr>
              <w:t>(3,685,326)</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1300"/>
              <w:spacing w:after="0"/>
              <w:rPr>
                <w:sz w:val="20"/>
                <w:szCs w:val="20"/>
                <w:color w:val="auto"/>
              </w:rPr>
            </w:pPr>
            <w:r>
              <w:rPr>
                <w:rFonts w:ascii="Arial" w:cs="Arial" w:eastAsia="Arial" w:hAnsi="Arial"/>
                <w:sz w:val="17"/>
                <w:szCs w:val="17"/>
                <w:color w:val="auto"/>
              </w:rPr>
              <w:t>Net cash used in financing activities</w:t>
            </w:r>
          </w:p>
        </w:tc>
        <w:tc>
          <w:tcPr>
            <w:tcW w:w="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80" w:type="dxa"/>
            <w:vAlign w:val="bottom"/>
            <w:vMerge w:val="continue"/>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(4,272,028)</w:t>
            </w: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(3,890,417)</w:t>
            </w:r>
          </w:p>
        </w:tc>
        <w:tc>
          <w:tcPr>
            <w:tcW w:w="200" w:type="dxa"/>
            <w:vAlign w:val="bottom"/>
          </w:tcPr>
          <w:p>
            <w:pPr>
              <w:spacing w:after="0"/>
              <w:rPr>
                <w:sz w:val="21"/>
                <w:szCs w:val="21"/>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7"/>
                <w:szCs w:val="17"/>
                <w:color w:val="auto"/>
              </w:rPr>
              <w:t>(3,685,326)</w:t>
            </w:r>
          </w:p>
        </w:tc>
        <w:tc>
          <w:tcPr>
            <w:tcW w:w="0" w:type="dxa"/>
            <w:vAlign w:val="bottom"/>
          </w:tcPr>
          <w:p>
            <w:pPr>
              <w:spacing w:after="0"/>
              <w:rPr>
                <w:sz w:val="1"/>
                <w:szCs w:val="1"/>
                <w:color w:val="auto"/>
              </w:rPr>
            </w:pPr>
          </w:p>
        </w:tc>
      </w:tr>
      <w:tr>
        <w:trPr>
          <w:trHeight w:val="183"/>
        </w:trPr>
        <w:tc>
          <w:tcPr>
            <w:tcW w:w="5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80" w:type="dxa"/>
            <w:vAlign w:val="bottom"/>
            <w:shd w:val="clear" w:color="auto" w:fill="D6F3E8"/>
          </w:tcPr>
          <w:p>
            <w:pPr>
              <w:spacing w:after="0"/>
              <w:rPr>
                <w:sz w:val="20"/>
                <w:szCs w:val="20"/>
                <w:color w:val="auto"/>
              </w:rPr>
            </w:pPr>
            <w:r>
              <w:rPr>
                <w:rFonts w:ascii="Arial" w:cs="Arial" w:eastAsia="Arial" w:hAnsi="Arial"/>
                <w:sz w:val="17"/>
                <w:szCs w:val="17"/>
                <w:color w:val="auto"/>
              </w:rPr>
              <w:t>NET INCREASE IN CASH AND CASH EQUIVALENTS</w:t>
            </w:r>
          </w:p>
        </w:tc>
        <w:tc>
          <w:tcPr>
            <w:tcW w:w="88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220"/>
              <w:spacing w:after="0"/>
              <w:rPr>
                <w:sz w:val="20"/>
                <w:szCs w:val="20"/>
                <w:color w:val="auto"/>
              </w:rPr>
            </w:pPr>
            <w:r>
              <w:rPr>
                <w:rFonts w:ascii="Arial" w:cs="Arial" w:eastAsia="Arial" w:hAnsi="Arial"/>
                <w:sz w:val="17"/>
                <w:szCs w:val="17"/>
                <w:color w:val="auto"/>
              </w:rPr>
              <w:t>5,262,935</w:t>
            </w:r>
          </w:p>
        </w:tc>
        <w:tc>
          <w:tcPr>
            <w:tcW w:w="200" w:type="dxa"/>
            <w:vAlign w:val="bottom"/>
            <w:shd w:val="clear" w:color="auto" w:fill="D6F3E8"/>
          </w:tcPr>
          <w:p>
            <w:pPr>
              <w:spacing w:after="0"/>
              <w:rPr>
                <w:sz w:val="22"/>
                <w:szCs w:val="22"/>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1,765,214</w:t>
            </w:r>
          </w:p>
        </w:tc>
        <w:tc>
          <w:tcPr>
            <w:tcW w:w="22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7"/>
                <w:szCs w:val="17"/>
                <w:color w:val="auto"/>
              </w:rPr>
              <w:t>3,005,821</w:t>
            </w:r>
          </w:p>
        </w:tc>
        <w:tc>
          <w:tcPr>
            <w:tcW w:w="2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42"/>
        </w:trPr>
        <w:tc>
          <w:tcPr>
            <w:tcW w:w="568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680" w:type="dxa"/>
            <w:vAlign w:val="bottom"/>
          </w:tcPr>
          <w:p>
            <w:pPr>
              <w:ind w:left="340"/>
              <w:spacing w:after="0"/>
              <w:rPr>
                <w:sz w:val="20"/>
                <w:szCs w:val="20"/>
                <w:color w:val="auto"/>
              </w:rPr>
            </w:pPr>
            <w:r>
              <w:rPr>
                <w:rFonts w:ascii="Arial" w:cs="Arial" w:eastAsia="Arial" w:hAnsi="Arial"/>
                <w:sz w:val="17"/>
                <w:szCs w:val="17"/>
                <w:color w:val="auto"/>
              </w:rPr>
              <w:t>Beginning of period</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6,330,004</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4,564,790</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1,558,969</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568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8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680" w:type="dxa"/>
            <w:vAlign w:val="bottom"/>
            <w:shd w:val="clear" w:color="auto" w:fill="D6F3E8"/>
          </w:tcPr>
          <w:p>
            <w:pPr>
              <w:ind w:left="340"/>
              <w:spacing w:after="0"/>
              <w:rPr>
                <w:sz w:val="20"/>
                <w:szCs w:val="20"/>
                <w:color w:val="auto"/>
              </w:rPr>
            </w:pPr>
            <w:r>
              <w:rPr>
                <w:rFonts w:ascii="Arial" w:cs="Arial" w:eastAsia="Arial" w:hAnsi="Arial"/>
                <w:sz w:val="17"/>
                <w:szCs w:val="17"/>
                <w:color w:val="auto"/>
              </w:rPr>
              <w:t>End of period</w:t>
            </w:r>
          </w:p>
        </w:tc>
        <w:tc>
          <w:tcPr>
            <w:tcW w:w="1080" w:type="dxa"/>
            <w:vAlign w:val="bottom"/>
            <w:gridSpan w:val="2"/>
            <w:shd w:val="clear" w:color="auto" w:fill="D6F3E8"/>
          </w:tcPr>
          <w:p>
            <w:pPr>
              <w:jc w:val="right"/>
              <w:ind w:right="13"/>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D6F3E8"/>
          </w:tcPr>
          <w:p>
            <w:pPr>
              <w:jc w:val="right"/>
              <w:ind w:right="220"/>
              <w:spacing w:after="0"/>
              <w:rPr>
                <w:sz w:val="20"/>
                <w:szCs w:val="20"/>
                <w:color w:val="auto"/>
              </w:rPr>
            </w:pPr>
            <w:r>
              <w:rPr>
                <w:rFonts w:ascii="Arial" w:cs="Arial" w:eastAsia="Arial" w:hAnsi="Arial"/>
                <w:sz w:val="17"/>
                <w:szCs w:val="17"/>
                <w:color w:val="auto"/>
              </w:rPr>
              <w:t>11,592,939</w:t>
            </w:r>
          </w:p>
        </w:tc>
        <w:tc>
          <w:tcPr>
            <w:tcW w:w="200" w:type="dxa"/>
            <w:vAlign w:val="bottom"/>
            <w:shd w:val="clear" w:color="auto" w:fill="D6F3E8"/>
          </w:tcPr>
          <w:p>
            <w:pPr>
              <w:jc w:val="right"/>
              <w:ind w:right="1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6,330,004</w:t>
            </w:r>
          </w:p>
        </w:tc>
        <w:tc>
          <w:tcPr>
            <w:tcW w:w="220" w:type="dxa"/>
            <w:vAlign w:val="bottom"/>
            <w:shd w:val="clear" w:color="auto" w:fill="D6F3E8"/>
          </w:tcPr>
          <w:p>
            <w:pPr>
              <w:spacing w:after="0"/>
              <w:rPr>
                <w:sz w:val="22"/>
                <w:szCs w:val="22"/>
                <w:color w:val="auto"/>
              </w:rPr>
            </w:pPr>
          </w:p>
        </w:tc>
        <w:tc>
          <w:tcPr>
            <w:tcW w:w="200" w:type="dxa"/>
            <w:vAlign w:val="bottom"/>
            <w:shd w:val="clear" w:color="auto" w:fill="D6F3E8"/>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7"/>
                <w:szCs w:val="17"/>
                <w:color w:val="auto"/>
              </w:rPr>
              <w:t>4,564,790</w:t>
            </w:r>
          </w:p>
        </w:tc>
        <w:tc>
          <w:tcPr>
            <w:tcW w:w="2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7"/>
                <w:szCs w:val="17"/>
                <w:color w:val="auto"/>
              </w:rPr>
              <w:t>SUPPLEMENTAL DISCLOSURES OF CASH</w:t>
            </w:r>
          </w:p>
        </w:tc>
        <w:tc>
          <w:tcPr>
            <w:tcW w:w="88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6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680" w:type="dxa"/>
            <w:vAlign w:val="bottom"/>
          </w:tcPr>
          <w:p>
            <w:pPr>
              <w:spacing w:after="0"/>
              <w:rPr>
                <w:sz w:val="20"/>
                <w:szCs w:val="20"/>
                <w:color w:val="auto"/>
              </w:rPr>
            </w:pPr>
            <w:r>
              <w:rPr>
                <w:rFonts w:ascii="Arial" w:cs="Arial" w:eastAsia="Arial" w:hAnsi="Arial"/>
                <w:sz w:val="17"/>
                <w:szCs w:val="17"/>
                <w:color w:val="auto"/>
              </w:rPr>
              <w:t>FLOW INFORMATION—</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5680" w:type="dxa"/>
            <w:vAlign w:val="bottom"/>
            <w:tcBorders>
              <w:bottom w:val="single" w:sz="8" w:color="D6F3E8"/>
            </w:tcBorders>
          </w:tcPr>
          <w:p>
            <w:pPr>
              <w:ind w:left="340"/>
              <w:spacing w:after="0"/>
              <w:rPr>
                <w:sz w:val="20"/>
                <w:szCs w:val="20"/>
                <w:color w:val="auto"/>
              </w:rPr>
            </w:pPr>
            <w:r>
              <w:rPr>
                <w:rFonts w:ascii="Arial" w:cs="Arial" w:eastAsia="Arial" w:hAnsi="Arial"/>
                <w:sz w:val="17"/>
                <w:szCs w:val="17"/>
                <w:color w:val="auto"/>
              </w:rPr>
              <w:t>Issuance of restricted stock (Note 1)</w:t>
            </w:r>
          </w:p>
        </w:tc>
        <w:tc>
          <w:tcPr>
            <w:tcW w:w="880" w:type="dxa"/>
            <w:vAlign w:val="bottom"/>
            <w:tcBorders>
              <w:bottom w:val="single" w:sz="8" w:color="D6F3E8"/>
            </w:tcBorders>
          </w:tcPr>
          <w:p>
            <w:pPr>
              <w:spacing w:after="0"/>
              <w:rPr>
                <w:sz w:val="24"/>
                <w:szCs w:val="24"/>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D6F3E8"/>
            </w:tcBorders>
          </w:tcPr>
          <w:p>
            <w:pPr>
              <w:spacing w:after="0"/>
              <w:rPr>
                <w:sz w:val="24"/>
                <w:szCs w:val="24"/>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D6F3E8"/>
            </w:tcBorders>
          </w:tcPr>
          <w:p>
            <w:pPr>
              <w:spacing w:after="0"/>
              <w:rPr>
                <w:sz w:val="24"/>
                <w:szCs w:val="24"/>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486,617</w:t>
            </w:r>
          </w:p>
        </w:tc>
        <w:tc>
          <w:tcPr>
            <w:tcW w:w="20" w:type="dxa"/>
            <w:vAlign w:val="bottom"/>
            <w:tcBorders>
              <w:bottom w:val="single" w:sz="8" w:color="D6F3E8"/>
            </w:tcBorders>
          </w:tcPr>
          <w:p>
            <w:pPr>
              <w:spacing w:after="0"/>
              <w:rPr>
                <w:sz w:val="24"/>
                <w:szCs w:val="24"/>
                <w:color w:val="auto"/>
              </w:rPr>
            </w:pPr>
          </w:p>
        </w:tc>
        <w:tc>
          <w:tcPr>
            <w:tcW w:w="200" w:type="dxa"/>
            <w:vAlign w:val="bottom"/>
            <w:tcBorders>
              <w:bottom w:val="single" w:sz="8" w:color="D6F3E8"/>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680" w:type="dxa"/>
            <w:vAlign w:val="bottom"/>
            <w:shd w:val="clear" w:color="auto" w:fill="D6F3E8"/>
          </w:tcPr>
          <w:p>
            <w:pPr>
              <w:ind w:left="340"/>
              <w:spacing w:after="0"/>
              <w:rPr>
                <w:sz w:val="20"/>
                <w:szCs w:val="20"/>
                <w:color w:val="auto"/>
              </w:rPr>
            </w:pPr>
            <w:r>
              <w:rPr>
                <w:rFonts w:ascii="Arial" w:cs="Arial" w:eastAsia="Arial" w:hAnsi="Arial"/>
                <w:sz w:val="17"/>
                <w:szCs w:val="17"/>
                <w:color w:val="auto"/>
              </w:rPr>
              <w:t>Cash paid during the year for income taxes</w:t>
            </w:r>
          </w:p>
        </w:tc>
        <w:tc>
          <w:tcPr>
            <w:tcW w:w="1080" w:type="dxa"/>
            <w:vAlign w:val="bottom"/>
            <w:gridSpan w:val="2"/>
            <w:shd w:val="clear" w:color="auto" w:fill="D6F3E8"/>
          </w:tcPr>
          <w:p>
            <w:pPr>
              <w:jc w:val="right"/>
              <w:ind w:right="13"/>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D6F3E8"/>
          </w:tcPr>
          <w:p>
            <w:pPr>
              <w:jc w:val="right"/>
              <w:ind w:right="220"/>
              <w:spacing w:after="0"/>
              <w:rPr>
                <w:sz w:val="20"/>
                <w:szCs w:val="20"/>
                <w:color w:val="auto"/>
              </w:rPr>
            </w:pPr>
            <w:r>
              <w:rPr>
                <w:rFonts w:ascii="Arial" w:cs="Arial" w:eastAsia="Arial" w:hAnsi="Arial"/>
                <w:sz w:val="17"/>
                <w:szCs w:val="17"/>
                <w:color w:val="auto"/>
              </w:rPr>
              <w:t>5,858,478</w:t>
            </w:r>
          </w:p>
        </w:tc>
        <w:tc>
          <w:tcPr>
            <w:tcW w:w="200" w:type="dxa"/>
            <w:vAlign w:val="bottom"/>
            <w:shd w:val="clear" w:color="auto" w:fill="D6F3E8"/>
          </w:tcPr>
          <w:p>
            <w:pPr>
              <w:jc w:val="right"/>
              <w:ind w:right="1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5,608,626</w:t>
            </w:r>
          </w:p>
        </w:tc>
        <w:tc>
          <w:tcPr>
            <w:tcW w:w="220" w:type="dxa"/>
            <w:vAlign w:val="bottom"/>
            <w:shd w:val="clear" w:color="auto" w:fill="D6F3E8"/>
          </w:tcPr>
          <w:p>
            <w:pPr>
              <w:spacing w:after="0"/>
              <w:rPr>
                <w:sz w:val="20"/>
                <w:szCs w:val="20"/>
                <w:color w:val="auto"/>
              </w:rPr>
            </w:pPr>
          </w:p>
        </w:tc>
        <w:tc>
          <w:tcPr>
            <w:tcW w:w="200" w:type="dxa"/>
            <w:vAlign w:val="bottom"/>
            <w:shd w:val="clear" w:color="auto" w:fill="D6F3E8"/>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7"/>
                <w:szCs w:val="17"/>
                <w:color w:val="auto"/>
              </w:rPr>
              <w:t>3,374,364</w:t>
            </w:r>
          </w:p>
        </w:tc>
        <w:tc>
          <w:tcPr>
            <w:tcW w:w="20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D6F3E8"/>
              <w:bottom w:val="single" w:sz="8" w:color="D6F3E8"/>
            </w:tcBorders>
            <w:vMerge w:val="restart"/>
          </w:tcPr>
          <w:p>
            <w:pPr>
              <w:ind w:left="340"/>
              <w:spacing w:after="0"/>
              <w:rPr>
                <w:sz w:val="20"/>
                <w:szCs w:val="20"/>
                <w:color w:val="auto"/>
              </w:rPr>
            </w:pPr>
            <w:r>
              <w:rPr>
                <w:rFonts w:ascii="Arial" w:cs="Arial" w:eastAsia="Arial" w:hAnsi="Arial"/>
                <w:sz w:val="17"/>
                <w:szCs w:val="17"/>
                <w:color w:val="auto"/>
              </w:rPr>
              <w:t>Noncash investing activities—</w:t>
            </w:r>
          </w:p>
        </w:tc>
        <w:tc>
          <w:tcPr>
            <w:tcW w:w="88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8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680" w:type="dxa"/>
            <w:vAlign w:val="bottom"/>
          </w:tcPr>
          <w:p>
            <w:pPr>
              <w:ind w:left="660"/>
              <w:spacing w:after="0"/>
              <w:rPr>
                <w:sz w:val="20"/>
                <w:szCs w:val="20"/>
                <w:color w:val="auto"/>
              </w:rPr>
            </w:pPr>
            <w:r>
              <w:rPr>
                <w:rFonts w:ascii="Arial" w:cs="Arial" w:eastAsia="Arial" w:hAnsi="Arial"/>
                <w:sz w:val="17"/>
                <w:szCs w:val="17"/>
                <w:color w:val="auto"/>
              </w:rPr>
              <w:t>Capital expenditures in accounts payable</w:t>
            </w:r>
          </w:p>
        </w:tc>
        <w:tc>
          <w:tcPr>
            <w:tcW w:w="108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182,232</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461,577</w:t>
            </w:r>
          </w:p>
        </w:tc>
        <w:tc>
          <w:tcPr>
            <w:tcW w:w="220" w:type="dxa"/>
            <w:vAlign w:val="bottom"/>
          </w:tcPr>
          <w:p>
            <w:pPr>
              <w:spacing w:after="0"/>
              <w:rPr>
                <w:sz w:val="22"/>
                <w:szCs w:val="22"/>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214,644</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financial statements.</w:t>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7"/>
          <w:szCs w:val="17"/>
          <w:i w:val="1"/>
          <w:iCs w:val="1"/>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HAWKINS,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7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760" w:hanging="752"/>
        <w:spacing w:after="0"/>
        <w:tabs>
          <w:tab w:leader="none" w:pos="7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NATURE OF BUSINESS AND SIGNIFICANT ACCOUNTING POLICIES</w:t>
      </w:r>
    </w:p>
    <w:p>
      <w:pPr>
        <w:spacing w:after="0" w:line="234" w:lineRule="exact"/>
        <w:rPr>
          <w:rFonts w:ascii="Arial" w:cs="Arial" w:eastAsia="Arial" w:hAnsi="Arial"/>
          <w:sz w:val="17"/>
          <w:szCs w:val="17"/>
          <w:b w:val="1"/>
          <w:bCs w:val="1"/>
          <w:color w:val="auto"/>
        </w:rPr>
      </w:pPr>
    </w:p>
    <w:p>
      <w:pPr>
        <w:ind w:left="760" w:right="20"/>
        <w:spacing w:after="0" w:line="337" w:lineRule="auto"/>
        <w:rPr>
          <w:rFonts w:ascii="Arial" w:cs="Arial" w:eastAsia="Arial" w:hAnsi="Arial"/>
          <w:sz w:val="17"/>
          <w:szCs w:val="17"/>
          <w:b w:val="1"/>
          <w:bCs w:val="1"/>
          <w:color w:val="auto"/>
        </w:rPr>
      </w:pPr>
      <w:r>
        <w:rPr>
          <w:rFonts w:ascii="Arial" w:cs="Arial" w:eastAsia="Arial" w:hAnsi="Arial"/>
          <w:sz w:val="15"/>
          <w:szCs w:val="15"/>
          <w:b w:val="1"/>
          <w:bCs w:val="1"/>
          <w:i w:val="1"/>
          <w:iCs w:val="1"/>
          <w:color w:val="auto"/>
        </w:rPr>
        <w:t>Nature of Business</w:t>
      </w:r>
      <w:r>
        <w:rPr>
          <w:rFonts w:ascii="Arial" w:cs="Arial" w:eastAsia="Arial" w:hAnsi="Arial"/>
          <w:sz w:val="15"/>
          <w:szCs w:val="15"/>
          <w:b w:val="1"/>
          <w:bCs w:val="1"/>
          <w:color w:val="auto"/>
        </w:rPr>
        <w:t>—</w:t>
      </w:r>
      <w:r>
        <w:rPr>
          <w:rFonts w:ascii="Arial" w:cs="Arial" w:eastAsia="Arial" w:hAnsi="Arial"/>
          <w:sz w:val="15"/>
          <w:szCs w:val="15"/>
          <w:color w:val="auto"/>
        </w:rPr>
        <w:t>Hawkins, Inc. (the “Company”) has three reportable segments: Industrial, Water Treatment and Pharmaceutical. The Industrial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segment specializes in providing industrial chemicals and services to the energy, electronics, and plating industries. In addition, the Industrial segment provides products and services to food manufacturers and processing plants. The Water Treatment segment specializes in providing water and waste-</w:t>
      </w:r>
    </w:p>
    <w:p>
      <w:pPr>
        <w:sectPr>
          <w:pgSz w:w="11900" w:h="16838" w:orient="portrait"/>
          <w:cols w:equalWidth="0" w:num="1">
            <w:col w:w="11300"/>
          </w:cols>
          <w:pgMar w:left="240" w:top="555" w:right="359" w:bottom="0" w:gutter="0" w:footer="0" w:header="0"/>
        </w:sectPr>
      </w:pPr>
    </w:p>
    <w:bookmarkStart w:id="16" w:name="page17"/>
    <w:bookmarkEnd w:id="16"/>
    <w:p>
      <w:pPr>
        <w:spacing w:after="0" w:line="38" w:lineRule="exact"/>
        <w:rPr>
          <w:sz w:val="20"/>
          <w:szCs w:val="20"/>
          <w:color w:val="auto"/>
        </w:rPr>
      </w:pPr>
    </w:p>
    <w:p>
      <w:pPr>
        <w:ind w:right="660"/>
        <w:spacing w:after="0" w:line="296" w:lineRule="auto"/>
        <w:rPr>
          <w:sz w:val="20"/>
          <w:szCs w:val="20"/>
          <w:color w:val="auto"/>
        </w:rPr>
      </w:pPr>
      <w:r>
        <w:rPr>
          <w:rFonts w:ascii="Arial" w:cs="Arial" w:eastAsia="Arial" w:hAnsi="Arial"/>
          <w:sz w:val="17"/>
          <w:szCs w:val="17"/>
          <w:color w:val="auto"/>
        </w:rPr>
        <w:t>water treatment equipment, chemicals and service to municipal and industrial customers. The Pharmaceutical segment specializes in providing pharmaceutical chemicals to pharmacies and small-scale pharmaceutical manufacturers.</w:t>
      </w:r>
    </w:p>
    <w:p>
      <w:pPr>
        <w:spacing w:after="0" w:line="157" w:lineRule="exact"/>
        <w:rPr>
          <w:sz w:val="20"/>
          <w:szCs w:val="20"/>
          <w:color w:val="auto"/>
        </w:rPr>
      </w:pPr>
    </w:p>
    <w:p>
      <w:pPr>
        <w:ind w:right="360"/>
        <w:spacing w:after="0" w:line="303" w:lineRule="auto"/>
        <w:rPr>
          <w:sz w:val="20"/>
          <w:szCs w:val="20"/>
          <w:color w:val="auto"/>
        </w:rPr>
      </w:pPr>
      <w:r>
        <w:rPr>
          <w:rFonts w:ascii="Arial" w:cs="Arial" w:eastAsia="Arial" w:hAnsi="Arial"/>
          <w:sz w:val="17"/>
          <w:szCs w:val="17"/>
          <w:b w:val="1"/>
          <w:bCs w:val="1"/>
          <w:i w:val="1"/>
          <w:iCs w:val="1"/>
          <w:color w:val="auto"/>
        </w:rPr>
        <w:t>Fiscal Year</w:t>
      </w:r>
      <w:r>
        <w:rPr>
          <w:rFonts w:ascii="Arial" w:cs="Arial" w:eastAsia="Arial" w:hAnsi="Arial"/>
          <w:sz w:val="17"/>
          <w:szCs w:val="17"/>
          <w:b w:val="1"/>
          <w:bCs w:val="1"/>
          <w:color w:val="auto"/>
        </w:rPr>
        <w:t>—</w:t>
      </w:r>
      <w:r>
        <w:rPr>
          <w:rFonts w:ascii="Arial" w:cs="Arial" w:eastAsia="Arial" w:hAnsi="Arial"/>
          <w:sz w:val="17"/>
          <w:szCs w:val="17"/>
          <w:color w:val="auto"/>
        </w:rPr>
        <w:t>The Company’s fiscal year is a 52/53-week year ending on the Sunday closest to March 31. The fiscal years ended April 1, 2007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April 2, 2006 were 52-week years and the fiscal year ended April 3, 2005 was 53-week year.</w:t>
      </w:r>
    </w:p>
    <w:p>
      <w:pPr>
        <w:spacing w:after="0" w:line="152"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b w:val="1"/>
          <w:bCs w:val="1"/>
          <w:i w:val="1"/>
          <w:iCs w:val="1"/>
          <w:color w:val="auto"/>
        </w:rPr>
        <w:t>Estimates</w:t>
      </w:r>
      <w:r>
        <w:rPr>
          <w:rFonts w:ascii="Arial" w:cs="Arial" w:eastAsia="Arial" w:hAnsi="Arial"/>
          <w:sz w:val="17"/>
          <w:szCs w:val="17"/>
          <w:b w:val="1"/>
          <w:bCs w:val="1"/>
          <w:color w:val="auto"/>
        </w:rPr>
        <w:t>—</w:t>
      </w:r>
      <w:r>
        <w:rPr>
          <w:rFonts w:ascii="Arial" w:cs="Arial" w:eastAsia="Arial" w:hAnsi="Arial"/>
          <w:sz w:val="17"/>
          <w:szCs w:val="17"/>
          <w:color w:val="auto"/>
        </w:rPr>
        <w:t>The preparation of financial statements in conformity with accounting principles generally accepted in the United States of America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73"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b w:val="1"/>
          <w:bCs w:val="1"/>
          <w:i w:val="1"/>
          <w:iCs w:val="1"/>
          <w:color w:val="auto"/>
        </w:rPr>
        <w:t>Revenue Recognition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recognizes revenue when title passes to our customers, which occurs primarily when product has been shipped,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there is evidence that the customer has agreed to purchase the products, performance has occurred, the price and terms of sale are fixed, and collection is reasonably assured.</w:t>
      </w:r>
    </w:p>
    <w:p>
      <w:pPr>
        <w:spacing w:after="0" w:line="175" w:lineRule="exact"/>
        <w:rPr>
          <w:sz w:val="20"/>
          <w:szCs w:val="20"/>
          <w:color w:val="auto"/>
        </w:rPr>
      </w:pPr>
    </w:p>
    <w:p>
      <w:pPr>
        <w:ind w:right="440"/>
        <w:spacing w:after="0" w:line="296" w:lineRule="auto"/>
        <w:rPr>
          <w:sz w:val="20"/>
          <w:szCs w:val="20"/>
          <w:color w:val="auto"/>
        </w:rPr>
      </w:pPr>
      <w:r>
        <w:rPr>
          <w:rFonts w:ascii="Arial" w:cs="Arial" w:eastAsia="Arial" w:hAnsi="Arial"/>
          <w:sz w:val="17"/>
          <w:szCs w:val="17"/>
          <w:b w:val="1"/>
          <w:bCs w:val="1"/>
          <w:i w:val="1"/>
          <w:iCs w:val="1"/>
          <w:color w:val="auto"/>
        </w:rPr>
        <w:t>Shipping and Handling—</w:t>
      </w:r>
      <w:r>
        <w:rPr>
          <w:rFonts w:ascii="Arial" w:cs="Arial" w:eastAsia="Arial" w:hAnsi="Arial"/>
          <w:sz w:val="17"/>
          <w:szCs w:val="17"/>
          <w:color w:val="auto"/>
        </w:rPr>
        <w:t>All shipping and handling amounts billed to customers are included in revenues. Costs incurred related to shipping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handling are included in costs of sales.</w:t>
      </w:r>
    </w:p>
    <w:p>
      <w:pPr>
        <w:spacing w:after="0" w:line="157" w:lineRule="exact"/>
        <w:rPr>
          <w:sz w:val="20"/>
          <w:szCs w:val="20"/>
          <w:color w:val="auto"/>
        </w:rPr>
      </w:pPr>
    </w:p>
    <w:p>
      <w:pPr>
        <w:ind w:right="260"/>
        <w:spacing w:after="0" w:line="283" w:lineRule="auto"/>
        <w:rPr>
          <w:sz w:val="20"/>
          <w:szCs w:val="20"/>
          <w:color w:val="auto"/>
        </w:rPr>
      </w:pPr>
      <w:r>
        <w:rPr>
          <w:rFonts w:ascii="Arial" w:cs="Arial" w:eastAsia="Arial" w:hAnsi="Arial"/>
          <w:sz w:val="17"/>
          <w:szCs w:val="17"/>
          <w:b w:val="1"/>
          <w:bCs w:val="1"/>
          <w:i w:val="1"/>
          <w:iCs w:val="1"/>
          <w:color w:val="auto"/>
        </w:rPr>
        <w:t>Cash Equivalents</w:t>
      </w:r>
      <w:r>
        <w:rPr>
          <w:rFonts w:ascii="Arial" w:cs="Arial" w:eastAsia="Arial" w:hAnsi="Arial"/>
          <w:sz w:val="17"/>
          <w:szCs w:val="17"/>
          <w:b w:val="1"/>
          <w:bCs w:val="1"/>
          <w:color w:val="auto"/>
        </w:rPr>
        <w:t>—</w:t>
      </w:r>
      <w:r>
        <w:rPr>
          <w:rFonts w:ascii="Arial" w:cs="Arial" w:eastAsia="Arial" w:hAnsi="Arial"/>
          <w:sz w:val="17"/>
          <w:szCs w:val="17"/>
          <w:color w:val="auto"/>
        </w:rPr>
        <w:t>Cash equivalents include all liquid debt instruments (primarily cash funds, money market accounts and certificates of deposit)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purchased with an original maturity of three months or less. The balances maintained at financial institutions may, at times, exceed federally insured limits.</w:t>
      </w:r>
    </w:p>
    <w:p>
      <w:pPr>
        <w:spacing w:after="0" w:line="16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 xml:space="preserve">Investments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Held-to-maturity securities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 of debt securities, which the Company has the intent and ability to hold to maturity and are valued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amortized historical cost. Under certain circumstances (including the deterioration of the issuer’s creditworthiness or a change in tax law or statutory or regulatory requirements), securities held-to-maturity may be sold or transferred to another portfolio.</w:t>
      </w:r>
    </w:p>
    <w:p>
      <w:pPr>
        <w:spacing w:after="0" w:line="175" w:lineRule="exact"/>
        <w:rPr>
          <w:sz w:val="20"/>
          <w:szCs w:val="20"/>
          <w:color w:val="auto"/>
        </w:rPr>
      </w:pPr>
    </w:p>
    <w:p>
      <w:pPr>
        <w:spacing w:after="0" w:line="309" w:lineRule="auto"/>
        <w:rPr>
          <w:sz w:val="20"/>
          <w:szCs w:val="20"/>
          <w:color w:val="auto"/>
        </w:rPr>
      </w:pPr>
      <w:r>
        <w:rPr>
          <w:rFonts w:ascii="Arial" w:cs="Arial" w:eastAsia="Arial" w:hAnsi="Arial"/>
          <w:sz w:val="15"/>
          <w:szCs w:val="15"/>
          <w:i w:val="1"/>
          <w:iCs w:val="1"/>
          <w:color w:val="auto"/>
        </w:rPr>
        <w:t xml:space="preserve">Available-for-sale securities </w:t>
      </w:r>
      <w:r>
        <w:rPr>
          <w:rFonts w:ascii="Arial" w:cs="Arial" w:eastAsia="Arial" w:hAnsi="Arial"/>
          <w:sz w:val="15"/>
          <w:szCs w:val="15"/>
          <w:color w:val="auto"/>
        </w:rPr>
        <w:t>consist of debt and equity securities that will be held for indefinite periods of time, including securities that may be sold in</w:t>
      </w:r>
      <w:r>
        <w:rPr>
          <w:rFonts w:ascii="Arial" w:cs="Arial" w:eastAsia="Arial" w:hAnsi="Arial"/>
          <w:sz w:val="15"/>
          <w:szCs w:val="15"/>
          <w:i w:val="1"/>
          <w:iCs w:val="1"/>
          <w:color w:val="auto"/>
        </w:rPr>
        <w:t xml:space="preserve"> </w:t>
      </w:r>
      <w:r>
        <w:rPr>
          <w:rFonts w:ascii="Arial" w:cs="Arial" w:eastAsia="Arial" w:hAnsi="Arial"/>
          <w:sz w:val="15"/>
          <w:szCs w:val="15"/>
          <w:color w:val="auto"/>
        </w:rPr>
        <w:t>response to changes in market interest or prepayment rates, needs for liquidity, or changes in the availability or yield of alternative investments. These securities are valued at current market value, with the resulting unrealized holding gains and losses excluded from earnings and reported, net of tax, as a separate component of shareholders’ equity until realized. Available-for-sale securities are included in current assets if their market value exceeds its amortized cost and are available to fund current operations. Available-for-sale securities whose market value is less than its amortized cost that have not been identified as other-than-temporarily impaired are classified as current assets if the security matures in less than one year and non-current assets if the security matures in one year or longer and the Company intends to hold the investments for at least one more year. Available-for-sale securities with a market value of $2,648,888 and $5,293,341 were classified as non-current at April 1, 2007 and April 2, 2006, respectively.</w:t>
      </w:r>
    </w:p>
    <w:p>
      <w:pPr>
        <w:spacing w:after="0" w:line="15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All securities with gross unrealized losses are subjected to the Company’s process for identifying other-than-temporary impairments. The Company writes down to fair value securities that it deems to be other-than-temporarily impaired in the period the securities are deemed to be impaired. The initial indicator of impairment is a sustained decline in market price below the amortized cost of the investment. On a case-by-case basis, the Company considers the length of time and the extent to which market value has been less than cost, the cause of the price decline, the extent to which the price decline is due to the general level of interest rates or other issuer specific factors, the issuer’s financial condition and ability to make future payments in a timely manner, and the Company’s investment horizon. Losses of $30,595 and $280,699 were recorded during the fiscal years ended April 1, 2007 and April 2, 2006, respectively, due to declines in market value that were deemed other than temporary. The Company does not engage in trading activities.</w:t>
      </w:r>
    </w:p>
    <w:p>
      <w:pPr>
        <w:spacing w:after="0" w:line="190" w:lineRule="exact"/>
        <w:rPr>
          <w:sz w:val="20"/>
          <w:szCs w:val="20"/>
          <w:color w:val="auto"/>
        </w:rPr>
      </w:pPr>
    </w:p>
    <w:p>
      <w:pPr>
        <w:ind w:left="4660"/>
        <w:spacing w:after="0"/>
        <w:rPr>
          <w:sz w:val="20"/>
          <w:szCs w:val="20"/>
          <w:color w:val="auto"/>
        </w:rPr>
      </w:pPr>
      <w:r>
        <w:rPr>
          <w:rFonts w:ascii="Arial" w:cs="Arial" w:eastAsia="Arial" w:hAnsi="Arial"/>
          <w:sz w:val="17"/>
          <w:szCs w:val="17"/>
          <w:i w:val="1"/>
          <w:iCs w:val="1"/>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237490</wp:posOffset>
            </wp:positionV>
            <wp:extent cx="725106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60"/>
        <w:spacing w:after="0" w:line="309" w:lineRule="auto"/>
        <w:rPr>
          <w:sz w:val="20"/>
          <w:szCs w:val="20"/>
          <w:color w:val="auto"/>
        </w:rPr>
      </w:pPr>
      <w:r>
        <w:rPr>
          <w:rFonts w:ascii="Arial" w:cs="Arial" w:eastAsia="Arial" w:hAnsi="Arial"/>
          <w:sz w:val="16"/>
          <w:szCs w:val="16"/>
          <w:b w:val="1"/>
          <w:bCs w:val="1"/>
          <w:i w:val="1"/>
          <w:iCs w:val="1"/>
          <w:color w:val="auto"/>
        </w:rPr>
        <w:t>Inventories</w:t>
      </w:r>
      <w:r>
        <w:rPr>
          <w:rFonts w:ascii="Arial" w:cs="Arial" w:eastAsia="Arial" w:hAnsi="Arial"/>
          <w:sz w:val="16"/>
          <w:szCs w:val="16"/>
          <w:b w:val="1"/>
          <w:bCs w:val="1"/>
          <w:color w:val="auto"/>
        </w:rPr>
        <w:t>—</w:t>
      </w:r>
      <w:r>
        <w:rPr>
          <w:rFonts w:ascii="Arial" w:cs="Arial" w:eastAsia="Arial" w:hAnsi="Arial"/>
          <w:sz w:val="16"/>
          <w:szCs w:val="16"/>
          <w:color w:val="auto"/>
        </w:rPr>
        <w:t>Inventories, consisting primarily of finished goods, are primarily valued at the lower of cost or net realizable value, with cost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using the last-in, first-out (“LIFO”) method. The Pharmaceutical segment’s inventory cost is determined using the first-in, first-out (“FIFO”) method, which represents approximately 13% and 12% of the total FIFO inventory balance at April 1, 2007 and April 2, 2006, respectively.</w:t>
      </w:r>
    </w:p>
    <w:p>
      <w:pPr>
        <w:spacing w:after="0" w:line="150"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b w:val="1"/>
          <w:bCs w:val="1"/>
          <w:i w:val="1"/>
          <w:iCs w:val="1"/>
          <w:color w:val="auto"/>
        </w:rPr>
        <w:t>Property, Plant and Equipment</w:t>
      </w:r>
      <w:r>
        <w:rPr>
          <w:rFonts w:ascii="Arial" w:cs="Arial" w:eastAsia="Arial" w:hAnsi="Arial"/>
          <w:sz w:val="17"/>
          <w:szCs w:val="17"/>
          <w:b w:val="1"/>
          <w:bCs w:val="1"/>
          <w:color w:val="auto"/>
        </w:rPr>
        <w:t>—</w:t>
      </w:r>
      <w:r>
        <w:rPr>
          <w:rFonts w:ascii="Arial" w:cs="Arial" w:eastAsia="Arial" w:hAnsi="Arial"/>
          <w:sz w:val="17"/>
          <w:szCs w:val="17"/>
          <w:color w:val="auto"/>
        </w:rPr>
        <w:t>Property is stated at cost and depreciated over the lives of the assets, using both straight-line and declining-balance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methods. Estimated lives are: 10 to 50 years for buildings and improvements; 3 to 15 years for machinery and equipment; 3 to 10 years for transportation equipment; and 3 to 10 years for office furniture and equipment.</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Intangible Assets</w:t>
      </w:r>
      <w:r>
        <w:rPr>
          <w:rFonts w:ascii="Arial" w:cs="Arial" w:eastAsia="Arial" w:hAnsi="Arial"/>
          <w:sz w:val="15"/>
          <w:szCs w:val="15"/>
          <w:b w:val="1"/>
          <w:bCs w:val="1"/>
          <w:color w:val="auto"/>
        </w:rPr>
        <w:t>—</w:t>
      </w:r>
      <w:r>
        <w:rPr>
          <w:rFonts w:ascii="Arial" w:cs="Arial" w:eastAsia="Arial" w:hAnsi="Arial"/>
          <w:sz w:val="15"/>
          <w:szCs w:val="15"/>
          <w:color w:val="auto"/>
        </w:rPr>
        <w:t>Intangible assets consist primarily of customer lists, trademarks, and trade names acquired in previous business acquisitions. The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values assigned to the intangible assets are being amortized primarily over 15 years. As of April 1, 2007, the Company had net intangible assets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$1,839,725. During the fiscal year ended April 2, 2006 the Company determined that the intangible assets associated with the acquisition of Industrial</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Chemical and Equipment Company in 1993, an asset group within the Industrial segment, were impaired based on undiscounted cash flow calculations.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undiscounted cash flow calculations took into consideration the business outlook over the remaining useful life for this asset group. The sum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expected future cash flows was less than the carrying amount of the intangible assets. The impairment amount was $176,000, which also represented</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the net book value of the intangible assets at that time. The amount of the impairment is included within Selling, General and Administrative expense in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Statement of Income for the fiscal year ended April 2, 2006. Amortization expense was $224,817 during the fiscal year ended April 1, 2007,</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$251,788 during the fiscal year ended April 2, 2006, and $285,848 during the fiscal year ended April 3, 2005. The estimated amortization expense for</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each of the next five years is approximately $225,000 per year.</w:t>
      </w:r>
    </w:p>
    <w:p>
      <w:pPr>
        <w:spacing w:after="0" w:line="222"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b w:val="1"/>
          <w:bCs w:val="1"/>
          <w:i w:val="1"/>
          <w:iCs w:val="1"/>
          <w:color w:val="auto"/>
        </w:rPr>
        <w:t>Recoverability of Long-Lived Assets</w:t>
      </w:r>
      <w:r>
        <w:rPr>
          <w:rFonts w:ascii="Arial" w:cs="Arial" w:eastAsia="Arial" w:hAnsi="Arial"/>
          <w:sz w:val="15"/>
          <w:szCs w:val="15"/>
          <w:b w:val="1"/>
          <w:bCs w:val="1"/>
          <w:color w:val="auto"/>
        </w:rPr>
        <w:t>—</w:t>
      </w:r>
      <w:r>
        <w:rPr>
          <w:rFonts w:ascii="Arial" w:cs="Arial" w:eastAsia="Arial" w:hAnsi="Arial"/>
          <w:sz w:val="15"/>
          <w:szCs w:val="15"/>
          <w:color w:val="auto"/>
        </w:rPr>
        <w:t>The Company reviews its long-lived assets whenever events or changes in circumstances indicate the carrying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amount of the assets may not be recoverable. The Company determines potential impairment by comparing the carrying value of the assets with expected net cash flows expected to be provided by operating activities of the business or related products. Should the sum of the expected future net cash flows be less than the carrying value, the Company would determine whether an impairment loss should be recognized. An impairment loss would be measured by comparing the amount by which the carrying value exceeds the fair value of the asset based on market value that is based on the discounted cash flows expected to be generated by the asset. There were no material assets that were determined to be impaired during fiscal 2007.</w:t>
      </w:r>
    </w:p>
    <w:p>
      <w:pPr>
        <w:spacing w:after="0" w:line="152" w:lineRule="exact"/>
        <w:rPr>
          <w:sz w:val="20"/>
          <w:szCs w:val="20"/>
          <w:color w:val="auto"/>
        </w:rPr>
      </w:pPr>
    </w:p>
    <w:p>
      <w:pPr>
        <w:ind w:right="220"/>
        <w:spacing w:after="0" w:line="376" w:lineRule="auto"/>
        <w:rPr>
          <w:sz w:val="20"/>
          <w:szCs w:val="20"/>
          <w:color w:val="auto"/>
        </w:rPr>
      </w:pPr>
      <w:r>
        <w:rPr>
          <w:rFonts w:ascii="Arial" w:cs="Arial" w:eastAsia="Arial" w:hAnsi="Arial"/>
          <w:sz w:val="15"/>
          <w:szCs w:val="15"/>
          <w:b w:val="1"/>
          <w:bCs w:val="1"/>
          <w:i w:val="1"/>
          <w:iCs w:val="1"/>
          <w:color w:val="auto"/>
        </w:rPr>
        <w:t>Income Taxes</w:t>
      </w:r>
      <w:r>
        <w:rPr>
          <w:rFonts w:ascii="Arial" w:cs="Arial" w:eastAsia="Arial" w:hAnsi="Arial"/>
          <w:sz w:val="15"/>
          <w:szCs w:val="15"/>
          <w:b w:val="1"/>
          <w:bCs w:val="1"/>
          <w:color w:val="auto"/>
        </w:rPr>
        <w:t>—</w:t>
      </w:r>
      <w:r>
        <w:rPr>
          <w:rFonts w:ascii="Arial" w:cs="Arial" w:eastAsia="Arial" w:hAnsi="Arial"/>
          <w:sz w:val="15"/>
          <w:szCs w:val="15"/>
          <w:color w:val="auto"/>
        </w:rPr>
        <w:t>The Company follows Statement of Financial Accounting Standards (SFAS) No. 109, “Accounting for Income Taxes.” Under SFAS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 109, the deferred tax assets and liabilities are recognized based on differences between the financial statements and the tax bases of assets and</w:t>
      </w:r>
    </w:p>
    <w:p>
      <w:pPr>
        <w:sectPr>
          <w:pgSz w:w="11900" w:h="16876" w:orient="portrait"/>
          <w:cols w:equalWidth="0" w:num="1">
            <w:col w:w="10640"/>
          </w:cols>
          <w:pgMar w:left="1000" w:top="131" w:right="259" w:bottom="0" w:gutter="0" w:footer="0" w:header="0"/>
        </w:sectPr>
      </w:pPr>
    </w:p>
    <w:bookmarkStart w:id="17" w:name="page18"/>
    <w:bookmarkEnd w:id="17"/>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liabilities using presently enacted tax rates.</w:t>
      </w:r>
    </w:p>
    <w:p>
      <w:pPr>
        <w:spacing w:after="0" w:line="229" w:lineRule="exact"/>
        <w:rPr>
          <w:sz w:val="20"/>
          <w:szCs w:val="20"/>
          <w:color w:val="auto"/>
        </w:rPr>
      </w:pPr>
    </w:p>
    <w:p>
      <w:pPr>
        <w:ind w:left="60" w:right="20"/>
        <w:spacing w:after="0" w:line="283" w:lineRule="auto"/>
        <w:rPr>
          <w:sz w:val="20"/>
          <w:szCs w:val="20"/>
          <w:color w:val="auto"/>
        </w:rPr>
      </w:pPr>
      <w:r>
        <w:rPr>
          <w:rFonts w:ascii="Arial" w:cs="Arial" w:eastAsia="Arial" w:hAnsi="Arial"/>
          <w:sz w:val="17"/>
          <w:szCs w:val="17"/>
          <w:b w:val="1"/>
          <w:bCs w:val="1"/>
          <w:i w:val="1"/>
          <w:iCs w:val="1"/>
          <w:color w:val="auto"/>
        </w:rPr>
        <w:t>Earnings Per Share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Basic earnings per share are computed by dividing net income by the weighted-average number of common shares outstanding.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Diluted earnings per share are computed by dividing net income by the weighted average number of common shares outstanding, including any dilutive effects of non-vested shares.</w:t>
      </w:r>
    </w:p>
    <w:p>
      <w:pPr>
        <w:spacing w:after="0" w:line="175" w:lineRule="exact"/>
        <w:rPr>
          <w:sz w:val="20"/>
          <w:szCs w:val="20"/>
          <w:color w:val="auto"/>
        </w:rPr>
      </w:pPr>
    </w:p>
    <w:p>
      <w:pPr>
        <w:jc w:val="both"/>
        <w:ind w:right="240"/>
        <w:spacing w:after="0" w:line="367" w:lineRule="auto"/>
        <w:rPr>
          <w:sz w:val="20"/>
          <w:szCs w:val="20"/>
          <w:color w:val="auto"/>
        </w:rPr>
      </w:pPr>
      <w:r>
        <w:rPr>
          <w:rFonts w:ascii="Arial" w:cs="Arial" w:eastAsia="Arial" w:hAnsi="Arial"/>
          <w:sz w:val="15"/>
          <w:szCs w:val="15"/>
          <w:b w:val="1"/>
          <w:bCs w:val="1"/>
          <w:i w:val="1"/>
          <w:iCs w:val="1"/>
          <w:color w:val="auto"/>
        </w:rPr>
        <w:t>Management Agreement</w:t>
      </w:r>
      <w:r>
        <w:rPr>
          <w:rFonts w:ascii="Arial" w:cs="Arial" w:eastAsia="Arial" w:hAnsi="Arial"/>
          <w:sz w:val="15"/>
          <w:szCs w:val="15"/>
          <w:i w:val="1"/>
          <w:iCs w:val="1"/>
          <w:color w:val="auto"/>
        </w:rPr>
        <w:t>—</w:t>
      </w:r>
      <w:r>
        <w:rPr>
          <w:rFonts w:ascii="Arial" w:cs="Arial" w:eastAsia="Arial" w:hAnsi="Arial"/>
          <w:sz w:val="15"/>
          <w:szCs w:val="15"/>
          <w:color w:val="auto"/>
        </w:rPr>
        <w:t>During fiscal 2006, the Company entered into a consulting agreement with a member of its Board of Directors to provide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consulting services for certain strategic projects. Consulting fees of $75,000 and $35,000 were expensed in fiscal 2007 and fiscal 2006, respectively.</w:t>
      </w:r>
    </w:p>
    <w:p>
      <w:pPr>
        <w:spacing w:after="0" w:line="112"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b w:val="1"/>
          <w:bCs w:val="1"/>
          <w:i w:val="1"/>
          <w:iCs w:val="1"/>
          <w:color w:val="auto"/>
        </w:rPr>
        <w:t>Concentrations of Credit Risk</w:t>
      </w:r>
      <w:r>
        <w:rPr>
          <w:rFonts w:ascii="Arial" w:cs="Arial" w:eastAsia="Arial" w:hAnsi="Arial"/>
          <w:sz w:val="16"/>
          <w:szCs w:val="16"/>
          <w:b w:val="1"/>
          <w:bCs w:val="1"/>
          <w:color w:val="auto"/>
        </w:rPr>
        <w:t>—</w:t>
      </w:r>
      <w:r>
        <w:rPr>
          <w:rFonts w:ascii="Arial" w:cs="Arial" w:eastAsia="Arial" w:hAnsi="Arial"/>
          <w:sz w:val="16"/>
          <w:szCs w:val="16"/>
          <w:color w:val="auto"/>
        </w:rPr>
        <w:t>Financial instruments which potentially subject the Company to a concentration of credit risk principally consist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available-for-sale and trade receivables. The Company sells its principal products to a large number of customers in many different industries. To reduce credit risk, the Company routinely assesses the financial strength of its customers. The Company invests its excess cash balances in certificate of deposits with original maturities of three months or less and a money market account at a single financial institution.</w:t>
      </w:r>
    </w:p>
    <w:p>
      <w:pPr>
        <w:spacing w:after="0" w:line="16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At April 1, 2007, the Company’s investment portfolio included fixed income securities and a mutual fund of $5,599,623 and $7,564,732, respectively. The fixed income securities, like all fixed income instruments, are subject to interest rate risk and will decline in value if market interest rates increase. However, the Company has the ability to hold its fixed income investments until maturity and therefore the Company would not expect to recognize an adverse impact on net income or cash flows. The value of the mutual fund, like all mutual funds, may increase or decrease due to market volatility. The mutual fund held by the Company as of April 1, 2007 is a short-term bond fund that invests primarily in investment grade securities. During the fiscal years ended April 1, 2007 and April 2, 2006, losses of $30,595 and $280,699, respectively were recognized due to other than temporary declines in market value.</w:t>
      </w:r>
    </w:p>
    <w:p>
      <w:pPr>
        <w:spacing w:after="0" w:line="18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b w:val="1"/>
          <w:bCs w:val="1"/>
          <w:i w:val="1"/>
          <w:iCs w:val="1"/>
          <w:color w:val="auto"/>
        </w:rPr>
        <w:t>Derivative Instruments and Hedging Activities</w:t>
      </w:r>
      <w:r>
        <w:rPr>
          <w:rFonts w:ascii="Arial" w:cs="Arial" w:eastAsia="Arial" w:hAnsi="Arial"/>
          <w:sz w:val="17"/>
          <w:szCs w:val="17"/>
          <w:b w:val="1"/>
          <w:bCs w:val="1"/>
          <w:color w:val="auto"/>
        </w:rPr>
        <w:t>—</w:t>
      </w:r>
      <w:r>
        <w:rPr>
          <w:rFonts w:ascii="Arial" w:cs="Arial" w:eastAsia="Arial" w:hAnsi="Arial"/>
          <w:sz w:val="17"/>
          <w:szCs w:val="17"/>
          <w:color w:val="auto"/>
        </w:rPr>
        <w:t>In fiscal 2001, the Company adopted SFAS No. 133, “Accounting for Derivative Instruments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Hedging Activities,” as amended by SFAS No. 138, “Accounting for Certain Derivative Instruments and Certain Hedging Activities.” SFAS 133 establishes accounting and reporting standards for derivative instruments and for hedging activities. It requires that all derivatives, including those embedded in other contracts, be recognized as either assets or liabilities and that those financial instruments be measured at fair value. The accounting for</w:t>
      </w:r>
    </w:p>
    <w:p>
      <w:pPr>
        <w:spacing w:after="0" w:line="185" w:lineRule="exact"/>
        <w:rPr>
          <w:sz w:val="20"/>
          <w:szCs w:val="20"/>
          <w:color w:val="auto"/>
        </w:rPr>
      </w:pPr>
    </w:p>
    <w:p>
      <w:pPr>
        <w:ind w:left="4660"/>
        <w:spacing w:after="0"/>
        <w:rPr>
          <w:sz w:val="20"/>
          <w:szCs w:val="20"/>
          <w:color w:val="auto"/>
        </w:rPr>
      </w:pPr>
      <w:r>
        <w:rPr>
          <w:rFonts w:ascii="Arial" w:cs="Arial" w:eastAsia="Arial" w:hAnsi="Arial"/>
          <w:sz w:val="17"/>
          <w:szCs w:val="17"/>
          <w:i w:val="1"/>
          <w:iCs w:val="1"/>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237490</wp:posOffset>
            </wp:positionV>
            <wp:extent cx="725106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changes in the fair value of derivatives depends on their intended use and designation. Management has reviewed the requirements of SFAS 133 and has determined that the Company has no freestanding or embedded derivatives. All contracts that contain provisions meeting the definition of a derivative also meet the requirements of, and have been designated as, normal purchases and sales. The Company’s policy is to not use freestanding derivatives and to not enter into contracts with terms that cannot be designated as normal purchases or sales.</w:t>
      </w:r>
    </w:p>
    <w:p>
      <w:pPr>
        <w:spacing w:after="0" w:line="162" w:lineRule="exact"/>
        <w:rPr>
          <w:sz w:val="20"/>
          <w:szCs w:val="20"/>
          <w:color w:val="auto"/>
        </w:rPr>
      </w:pPr>
    </w:p>
    <w:p>
      <w:pPr>
        <w:ind w:right="220"/>
        <w:spacing w:after="0" w:line="303" w:lineRule="auto"/>
        <w:rPr>
          <w:sz w:val="20"/>
          <w:szCs w:val="20"/>
          <w:color w:val="auto"/>
        </w:rPr>
      </w:pPr>
      <w:r>
        <w:rPr>
          <w:rFonts w:ascii="Arial" w:cs="Arial" w:eastAsia="Arial" w:hAnsi="Arial"/>
          <w:sz w:val="17"/>
          <w:szCs w:val="17"/>
          <w:b w:val="1"/>
          <w:bCs w:val="1"/>
          <w:i w:val="1"/>
          <w:iCs w:val="1"/>
          <w:color w:val="auto"/>
        </w:rPr>
        <w:t>Risk and Uncertainties</w:t>
      </w:r>
      <w:r>
        <w:rPr>
          <w:rFonts w:ascii="Arial" w:cs="Arial" w:eastAsia="Arial" w:hAnsi="Arial"/>
          <w:sz w:val="17"/>
          <w:szCs w:val="17"/>
          <w:b w:val="1"/>
          <w:bCs w:val="1"/>
          <w:color w:val="auto"/>
        </w:rPr>
        <w:t>—</w:t>
      </w:r>
      <w:r>
        <w:rPr>
          <w:rFonts w:ascii="Arial" w:cs="Arial" w:eastAsia="Arial" w:hAnsi="Arial"/>
          <w:sz w:val="17"/>
          <w:szCs w:val="17"/>
          <w:color w:val="auto"/>
        </w:rPr>
        <w:t>There are no concentrations of business transacted with a particular customer or supplier nor concentrations of sales from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particular service or geographic area that would severely impact the Company in the near term.</w:t>
      </w:r>
    </w:p>
    <w:p>
      <w:pPr>
        <w:spacing w:after="0" w:line="152"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Accounting Pronouncements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April 3, 2006, we adopted the fair value recognition provisions of Statement of Financial Accounting Standards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(SFAS) No. 123R (revised 2004), “ Share Based Payment,” which revised SFAS No. 123, “Accounting for Stock-Based Compensation” and supersedes Accounting Principles Board Opinion No. 25, “Accounting for Stock Issued to Employees” requiring us to recognize expense related to the fair value of our stock-based compensation awards. We adopted the modified prospective method and therefore, we did not restate the financial information for the restricted stock issuance that occurred during the year ended April 3, 2005 and became fully vested in August of 2005 as a result of the adoption. In accordance with SFAS 123R, non-vested share awards are recorded as compensation cost over the requisite service periods based on the market value on the date of grant. Prior to the adoption of SFAS 123R, unearned compensation cost on non-vested share awards was shown as a reduction to shareholders’ equity. The adoption of SFAS 123R did not have a material impact on our financial statements.</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June 2006, the Financial Accounting Standards Board (FASB) issued FASB Interpretation (FIN) No. 48, “Accounting for Uncertainty in Income Taxes - an interpretation of FASB Statement No. 109.” FIN 48 clarifies the accounting for uncertain tax positions in accordance with SFAS 109, “Accounting for Income Taxes.” The Company will be required to recognize in its financial statements the largest tax benefit of a tax position that is “more-likely-than-not” to be sustained on audit based solely on the technical merits of the position as of the reporting date. The term “more-likely-than-not” means a likelihood of more than 50 percent. FIN 48 also provides guidance on new disclosure requirements, reporting and accrual of interest and penalties, accounting in interim periods and transition. Only tax positions that meet the “more-likely-than-not” threshold at that date may be recognized. The cumulative effect of initially applying FIN 48 will be recognized as a change in accounting principle. The Company is evaluating the impact of applying this interpretation as of April 2, 2007, which is the effective date of the interpretation for the Company.</w:t>
      </w:r>
    </w:p>
    <w:p>
      <w:pPr>
        <w:spacing w:after="0" w:line="176"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In September 2006, the FASB issued SFAS No. 158, “Employers’ Accounting for Defined Benefit Pension and Other Postretirement Plans.” SFAS 158 requires the recognition of the funded status of a defined benefit plan in the statement of financial position, requires that changes in the funded status be recognized through comprehensive income and expands disclosures. SFAS 158 is effective for the Company for the fiscal year ended April 1, 2007. The adoption of the new standard did not have a material impact on operating results or financial condition.</w:t>
      </w:r>
    </w:p>
    <w:p>
      <w:pPr>
        <w:spacing w:after="0" w:line="183"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color w:val="auto"/>
        </w:rPr>
        <w:t>In September 2006, the FASB issued SFAS No. 157, “Fair Value Measurements. “This statement establishes a consistent framework for measuring fair value and expands disclosures on fair value measurements. SFAS 157 is effective for the Company starting in fiscal 2009. The Company has not determined the impact, if any, the adoption of this statement will have on its financial statements.</w:t>
      </w:r>
    </w:p>
    <w:p>
      <w:pPr>
        <w:spacing w:after="0" w:line="17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September 2006, the Commission issued Staff Accounting Bulletin No. 108, “Considering the Effects of Prior Year Misstatements when Quantifying Misstatements in Current Year Financial Statements,” to address diversity in practice in quantifying financial statement misstatements. SAB 108 requires that the Company quantify misstatements based on their impact on each of our financial statements and related disclosures. SAB 108 is effective as of April 1, 2007, allowing a one-time transitional cumulative effect adjustment to retained earnings as of the beginning of the fiscal year for errors that were not previously deemed material, but are material under the guidance in SAB 108. The adoption of SAB 108 did not have a material impact on its financial statements.</w:t>
      </w:r>
    </w:p>
    <w:p>
      <w:pPr>
        <w:spacing w:after="0" w:line="186" w:lineRule="exact"/>
        <w:rPr>
          <w:sz w:val="20"/>
          <w:szCs w:val="20"/>
          <w:color w:val="auto"/>
        </w:rPr>
      </w:pPr>
    </w:p>
    <w:p>
      <w:pPr>
        <w:ind w:left="60"/>
        <w:spacing w:after="0" w:line="329"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SFAS 159 permits entities to choose to measure many financial instruments and certain other items at fair value that are not currently required to be measured at fair value. SFAS</w:t>
      </w:r>
    </w:p>
    <w:p>
      <w:pPr>
        <w:sectPr>
          <w:pgSz w:w="11900" w:h="16846" w:orient="portrait"/>
          <w:cols w:equalWidth="0" w:num="1">
            <w:col w:w="10660"/>
          </w:cols>
          <w:pgMar w:left="1000" w:top="131" w:right="239" w:bottom="0" w:gutter="0" w:footer="0" w:header="0"/>
        </w:sectPr>
      </w:pPr>
    </w:p>
    <w:bookmarkStart w:id="18" w:name="page19"/>
    <w:bookmarkEnd w:id="18"/>
    <w:p>
      <w:pPr>
        <w:ind w:left="812" w:right="80"/>
        <w:spacing w:after="0" w:line="296" w:lineRule="auto"/>
        <w:rPr>
          <w:sz w:val="20"/>
          <w:szCs w:val="20"/>
          <w:color w:val="auto"/>
        </w:rPr>
      </w:pPr>
      <w:r>
        <w:rPr>
          <w:rFonts w:ascii="Arial" w:cs="Arial" w:eastAsia="Arial" w:hAnsi="Arial"/>
          <w:sz w:val="17"/>
          <w:szCs w:val="17"/>
          <w:color w:val="auto"/>
        </w:rPr>
        <w:t>159 is effective for the Company starting in fiscal 2009. We are currently evaluating the impact of adopting SFAS 159 on our results of operations and financial condition.</w:t>
      </w:r>
    </w:p>
    <w:p>
      <w:pPr>
        <w:spacing w:after="0" w:line="163" w:lineRule="exact"/>
        <w:rPr>
          <w:sz w:val="20"/>
          <w:szCs w:val="20"/>
          <w:color w:val="auto"/>
        </w:rPr>
      </w:pPr>
    </w:p>
    <w:p>
      <w:pPr>
        <w:jc w:val="center"/>
        <w:ind w:right="-11"/>
        <w:spacing w:after="0"/>
        <w:rPr>
          <w:sz w:val="20"/>
          <w:szCs w:val="20"/>
          <w:color w:val="auto"/>
        </w:rPr>
      </w:pPr>
      <w:r>
        <w:rPr>
          <w:rFonts w:ascii="Arial" w:cs="Arial" w:eastAsia="Arial" w:hAnsi="Arial"/>
          <w:sz w:val="17"/>
          <w:szCs w:val="17"/>
          <w:i w:val="1"/>
          <w:iCs w:val="1"/>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237490</wp:posOffset>
            </wp:positionV>
            <wp:extent cx="725106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12" w:hanging="712"/>
        <w:spacing w:after="0"/>
        <w:tabs>
          <w:tab w:leader="none" w:pos="712"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INVESTMENTS</w:t>
      </w:r>
    </w:p>
    <w:p>
      <w:pPr>
        <w:spacing w:after="0" w:line="241" w:lineRule="exact"/>
        <w:rPr>
          <w:sz w:val="20"/>
          <w:szCs w:val="20"/>
          <w:color w:val="auto"/>
        </w:rPr>
      </w:pPr>
    </w:p>
    <w:p>
      <w:pPr>
        <w:ind w:left="752"/>
        <w:spacing w:after="0"/>
        <w:rPr>
          <w:sz w:val="20"/>
          <w:szCs w:val="20"/>
          <w:color w:val="auto"/>
        </w:rPr>
      </w:pPr>
      <w:r>
        <w:rPr>
          <w:rFonts w:ascii="Arial" w:cs="Arial" w:eastAsia="Arial" w:hAnsi="Arial"/>
          <w:sz w:val="17"/>
          <w:szCs w:val="17"/>
          <w:color w:val="auto"/>
        </w:rPr>
        <w:t>The amortized cost and fair value by maturity as of April 1, 2007 are as follows:</w:t>
      </w:r>
    </w:p>
    <w:p>
      <w:pPr>
        <w:spacing w:after="0" w:line="257" w:lineRule="exact"/>
        <w:rPr>
          <w:sz w:val="20"/>
          <w:szCs w:val="20"/>
          <w:color w:val="auto"/>
        </w:rPr>
      </w:pPr>
    </w:p>
    <w:tbl>
      <w:tblPr>
        <w:tblLayout w:type="fixed"/>
        <w:tblInd w:w="972"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Held-to-Maturity</w:t>
            </w:r>
          </w:p>
        </w:tc>
        <w:tc>
          <w:tcPr>
            <w:tcW w:w="9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3"/>
                <w:szCs w:val="13"/>
                <w:b w:val="1"/>
                <w:bCs w:val="1"/>
                <w:color w:val="auto"/>
              </w:rPr>
              <w:t>Available-for-Sale</w:t>
            </w:r>
          </w:p>
        </w:tc>
        <w:tc>
          <w:tcPr>
            <w:tcW w:w="10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29"/>
        </w:trPr>
        <w:tc>
          <w:tcPr>
            <w:tcW w:w="3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right"/>
              <w:ind w:right="580"/>
              <w:spacing w:after="0" w:line="129" w:lineRule="exact"/>
              <w:rPr>
                <w:sz w:val="20"/>
                <w:szCs w:val="20"/>
                <w:color w:val="auto"/>
              </w:rPr>
            </w:pPr>
            <w:r>
              <w:rPr>
                <w:rFonts w:ascii="Arial" w:cs="Arial" w:eastAsia="Arial" w:hAnsi="Arial"/>
                <w:sz w:val="13"/>
                <w:szCs w:val="13"/>
                <w:b w:val="1"/>
                <w:bCs w:val="1"/>
                <w:color w:val="auto"/>
              </w:rPr>
              <w:t>Amortized</w:t>
            </w:r>
          </w:p>
        </w:tc>
        <w:tc>
          <w:tcPr>
            <w:tcW w:w="480" w:type="dxa"/>
            <w:vAlign w:val="bottom"/>
          </w:tcPr>
          <w:p>
            <w:pPr>
              <w:spacing w:after="0"/>
              <w:rPr>
                <w:sz w:val="11"/>
                <w:szCs w:val="11"/>
                <w:color w:val="auto"/>
              </w:rPr>
            </w:pPr>
          </w:p>
        </w:tc>
        <w:tc>
          <w:tcPr>
            <w:tcW w:w="900" w:type="dxa"/>
            <w:vAlign w:val="bottom"/>
          </w:tcPr>
          <w:p>
            <w:pPr>
              <w:jc w:val="right"/>
              <w:ind w:right="478"/>
              <w:spacing w:after="0" w:line="129" w:lineRule="exact"/>
              <w:rPr>
                <w:sz w:val="20"/>
                <w:szCs w:val="20"/>
                <w:color w:val="auto"/>
              </w:rPr>
            </w:pPr>
            <w:r>
              <w:rPr>
                <w:rFonts w:ascii="Arial" w:cs="Arial" w:eastAsia="Arial" w:hAnsi="Arial"/>
                <w:sz w:val="13"/>
                <w:szCs w:val="13"/>
                <w:b w:val="1"/>
                <w:bCs w:val="1"/>
                <w:color w:val="auto"/>
              </w:rPr>
              <w:t>Fair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2"/>
          </w:tcPr>
          <w:p>
            <w:pPr>
              <w:jc w:val="right"/>
              <w:ind w:right="700"/>
              <w:spacing w:after="0" w:line="129" w:lineRule="exact"/>
              <w:rPr>
                <w:sz w:val="20"/>
                <w:szCs w:val="20"/>
                <w:color w:val="auto"/>
              </w:rPr>
            </w:pPr>
            <w:r>
              <w:rPr>
                <w:rFonts w:ascii="Arial" w:cs="Arial" w:eastAsia="Arial" w:hAnsi="Arial"/>
                <w:sz w:val="13"/>
                <w:szCs w:val="13"/>
                <w:b w:val="1"/>
                <w:bCs w:val="1"/>
                <w:color w:val="auto"/>
              </w:rPr>
              <w:t>Amortized</w:t>
            </w:r>
          </w:p>
        </w:tc>
        <w:tc>
          <w:tcPr>
            <w:tcW w:w="540" w:type="dxa"/>
            <w:vAlign w:val="bottom"/>
          </w:tcPr>
          <w:p>
            <w:pPr>
              <w:spacing w:after="0"/>
              <w:rPr>
                <w:sz w:val="11"/>
                <w:szCs w:val="11"/>
                <w:color w:val="auto"/>
              </w:rPr>
            </w:pPr>
          </w:p>
        </w:tc>
        <w:tc>
          <w:tcPr>
            <w:tcW w:w="1080" w:type="dxa"/>
            <w:vAlign w:val="bottom"/>
          </w:tcPr>
          <w:p>
            <w:pPr>
              <w:jc w:val="center"/>
              <w:ind w:right="457"/>
              <w:spacing w:after="0" w:line="129" w:lineRule="exact"/>
              <w:rPr>
                <w:sz w:val="20"/>
                <w:szCs w:val="20"/>
                <w:color w:val="auto"/>
              </w:rPr>
            </w:pPr>
            <w:r>
              <w:rPr>
                <w:rFonts w:ascii="Arial" w:cs="Arial" w:eastAsia="Arial" w:hAnsi="Arial"/>
                <w:sz w:val="13"/>
                <w:szCs w:val="13"/>
                <w:b w:val="1"/>
                <w:bCs w:val="1"/>
                <w:color w:val="auto"/>
              </w:rPr>
              <w:t>Fair</w:t>
            </w:r>
          </w:p>
        </w:tc>
        <w:tc>
          <w:tcPr>
            <w:tcW w:w="220" w:type="dxa"/>
            <w:vAlign w:val="bottom"/>
            <w:gridSpan w:val="2"/>
          </w:tcPr>
          <w:p>
            <w:pPr>
              <w:spacing w:after="0"/>
              <w:rPr>
                <w:sz w:val="11"/>
                <w:szCs w:val="11"/>
                <w:color w:val="auto"/>
              </w:rPr>
            </w:pPr>
          </w:p>
        </w:tc>
      </w:tr>
      <w:tr>
        <w:trPr>
          <w:trHeight w:val="161"/>
        </w:trPr>
        <w:tc>
          <w:tcPr>
            <w:tcW w:w="3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Cost</w:t>
            </w:r>
          </w:p>
        </w:tc>
        <w:tc>
          <w:tcPr>
            <w:tcW w:w="480" w:type="dxa"/>
            <w:vAlign w:val="bottom"/>
          </w:tcPr>
          <w:p>
            <w:pPr>
              <w:spacing w:after="0"/>
              <w:rPr>
                <w:sz w:val="13"/>
                <w:szCs w:val="13"/>
                <w:color w:val="auto"/>
              </w:rPr>
            </w:pPr>
          </w:p>
        </w:tc>
        <w:tc>
          <w:tcPr>
            <w:tcW w:w="110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rPr>
              <w:t>Value</w:t>
            </w:r>
          </w:p>
        </w:tc>
        <w:tc>
          <w:tcPr>
            <w:tcW w:w="300" w:type="dxa"/>
            <w:vAlign w:val="bottom"/>
          </w:tcPr>
          <w:p>
            <w:pPr>
              <w:spacing w:after="0"/>
              <w:rPr>
                <w:sz w:val="13"/>
                <w:szCs w:val="13"/>
                <w:color w:val="auto"/>
              </w:rPr>
            </w:pPr>
          </w:p>
        </w:tc>
        <w:tc>
          <w:tcPr>
            <w:tcW w:w="1500" w:type="dxa"/>
            <w:vAlign w:val="bottom"/>
            <w:gridSpan w:val="2"/>
          </w:tcPr>
          <w:p>
            <w:pPr>
              <w:jc w:val="right"/>
              <w:ind w:right="860"/>
              <w:spacing w:after="0"/>
              <w:rPr>
                <w:sz w:val="20"/>
                <w:szCs w:val="20"/>
                <w:color w:val="auto"/>
              </w:rPr>
            </w:pPr>
            <w:r>
              <w:rPr>
                <w:rFonts w:ascii="Arial" w:cs="Arial" w:eastAsia="Arial" w:hAnsi="Arial"/>
                <w:sz w:val="13"/>
                <w:szCs w:val="13"/>
                <w:b w:val="1"/>
                <w:bCs w:val="1"/>
                <w:color w:val="auto"/>
              </w:rPr>
              <w:t>Cost</w:t>
            </w:r>
          </w:p>
        </w:tc>
        <w:tc>
          <w:tcPr>
            <w:tcW w:w="540" w:type="dxa"/>
            <w:vAlign w:val="bottom"/>
          </w:tcPr>
          <w:p>
            <w:pPr>
              <w:spacing w:after="0"/>
              <w:rPr>
                <w:sz w:val="13"/>
                <w:szCs w:val="13"/>
                <w:color w:val="auto"/>
              </w:rPr>
            </w:pPr>
          </w:p>
        </w:tc>
        <w:tc>
          <w:tcPr>
            <w:tcW w:w="1300" w:type="dxa"/>
            <w:vAlign w:val="bottom"/>
            <w:gridSpan w:val="3"/>
          </w:tcPr>
          <w:p>
            <w:pPr>
              <w:jc w:val="center"/>
              <w:ind w:right="760"/>
              <w:spacing w:after="0"/>
              <w:rPr>
                <w:sz w:val="20"/>
                <w:szCs w:val="20"/>
                <w:color w:val="auto"/>
              </w:rPr>
            </w:pPr>
            <w:r>
              <w:rPr>
                <w:rFonts w:ascii="Arial" w:cs="Arial" w:eastAsia="Arial" w:hAnsi="Arial"/>
                <w:sz w:val="13"/>
                <w:szCs w:val="13"/>
                <w:b w:val="1"/>
                <w:bCs w:val="1"/>
                <w:color w:val="auto"/>
                <w:w w:val="97"/>
              </w:rPr>
              <w:t>Value</w:t>
            </w:r>
          </w:p>
        </w:tc>
      </w:tr>
      <w:tr>
        <w:trPr>
          <w:trHeight w:val="436"/>
        </w:trPr>
        <w:tc>
          <w:tcPr>
            <w:tcW w:w="3480" w:type="dxa"/>
            <w:vAlign w:val="bottom"/>
          </w:tcPr>
          <w:p>
            <w:pPr>
              <w:spacing w:after="0"/>
              <w:rPr>
                <w:sz w:val="20"/>
                <w:szCs w:val="20"/>
                <w:color w:val="auto"/>
              </w:rPr>
            </w:pPr>
            <w:r>
              <w:rPr>
                <w:rFonts w:ascii="Arial" w:cs="Arial" w:eastAsia="Arial" w:hAnsi="Arial"/>
                <w:sz w:val="17"/>
                <w:szCs w:val="17"/>
                <w:color w:val="auto"/>
              </w:rPr>
              <w:t>Within 1 Year:</w:t>
            </w: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6"/>
        </w:trPr>
        <w:tc>
          <w:tcPr>
            <w:tcW w:w="3480" w:type="dxa"/>
            <w:vAlign w:val="bottom"/>
            <w:shd w:val="clear" w:color="auto" w:fill="D6F3E8"/>
          </w:tcPr>
          <w:p>
            <w:pPr>
              <w:ind w:left="320"/>
              <w:spacing w:after="0"/>
              <w:rPr>
                <w:sz w:val="20"/>
                <w:szCs w:val="20"/>
                <w:color w:val="auto"/>
              </w:rPr>
            </w:pPr>
            <w:r>
              <w:rPr>
                <w:rFonts w:ascii="Arial" w:cs="Arial" w:eastAsia="Arial" w:hAnsi="Arial"/>
                <w:sz w:val="17"/>
                <w:szCs w:val="17"/>
                <w:color w:val="auto"/>
              </w:rPr>
              <w:t>Fixed Income Securities</w:t>
            </w:r>
          </w:p>
        </w:tc>
        <w:tc>
          <w:tcPr>
            <w:tcW w:w="240" w:type="dxa"/>
            <w:vAlign w:val="bottom"/>
            <w:shd w:val="clear" w:color="auto" w:fill="D6F3E8"/>
          </w:tcPr>
          <w:p>
            <w:pPr>
              <w:jc w:val="right"/>
              <w:ind w:right="8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w:t>
            </w:r>
          </w:p>
        </w:tc>
        <w:tc>
          <w:tcPr>
            <w:tcW w:w="480" w:type="dxa"/>
            <w:vAlign w:val="bottom"/>
            <w:shd w:val="clear" w:color="auto" w:fill="D6F3E8"/>
          </w:tcPr>
          <w:p>
            <w:pPr>
              <w:jc w:val="right"/>
              <w:ind w:right="293"/>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shd w:val="clear" w:color="auto" w:fill="D6F3E8"/>
          </w:tcPr>
          <w:p>
            <w:pPr>
              <w:jc w:val="right"/>
              <w:ind w:right="113"/>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2,607,272</w:t>
            </w:r>
          </w:p>
        </w:tc>
        <w:tc>
          <w:tcPr>
            <w:tcW w:w="540" w:type="dxa"/>
            <w:vAlign w:val="bottom"/>
            <w:shd w:val="clear" w:color="auto" w:fill="D6F3E8"/>
          </w:tcPr>
          <w:p>
            <w:pPr>
              <w:jc w:val="right"/>
              <w:ind w:right="353"/>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D6F3E8"/>
          </w:tcPr>
          <w:p>
            <w:pPr>
              <w:jc w:val="right"/>
              <w:ind w:right="20"/>
              <w:spacing w:after="0"/>
              <w:rPr>
                <w:sz w:val="20"/>
                <w:szCs w:val="20"/>
                <w:color w:val="auto"/>
              </w:rPr>
            </w:pPr>
            <w:r>
              <w:rPr>
                <w:rFonts w:ascii="Arial" w:cs="Arial" w:eastAsia="Arial" w:hAnsi="Arial"/>
                <w:sz w:val="17"/>
                <w:szCs w:val="17"/>
                <w:color w:val="auto"/>
              </w:rPr>
              <w:t>2,585,734</w:t>
            </w:r>
          </w:p>
        </w:tc>
        <w:tc>
          <w:tcPr>
            <w:tcW w:w="200" w:type="dxa"/>
            <w:vAlign w:val="bottom"/>
            <w:shd w:val="clear" w:color="auto" w:fill="D6F3E8"/>
          </w:tcPr>
          <w:p>
            <w:pPr>
              <w:spacing w:after="0"/>
              <w:rPr>
                <w:sz w:val="22"/>
                <w:szCs w:val="22"/>
                <w:color w:val="auto"/>
              </w:rPr>
            </w:pPr>
          </w:p>
        </w:tc>
      </w:tr>
      <w:tr>
        <w:trPr>
          <w:trHeight w:val="255"/>
        </w:trPr>
        <w:tc>
          <w:tcPr>
            <w:tcW w:w="3480" w:type="dxa"/>
            <w:vAlign w:val="bottom"/>
          </w:tcPr>
          <w:p>
            <w:pPr>
              <w:ind w:left="320"/>
              <w:spacing w:after="0"/>
              <w:rPr>
                <w:sz w:val="20"/>
                <w:szCs w:val="20"/>
                <w:color w:val="auto"/>
              </w:rPr>
            </w:pPr>
            <w:r>
              <w:rPr>
                <w:rFonts w:ascii="Arial" w:cs="Arial" w:eastAsia="Arial" w:hAnsi="Arial"/>
                <w:sz w:val="17"/>
                <w:szCs w:val="17"/>
                <w:color w:val="auto"/>
              </w:rPr>
              <w:t>Investment Contracts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3,562,073</w:t>
            </w:r>
          </w:p>
        </w:tc>
        <w:tc>
          <w:tcPr>
            <w:tcW w:w="54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3,562,073</w:t>
            </w:r>
          </w:p>
        </w:tc>
        <w:tc>
          <w:tcPr>
            <w:tcW w:w="200" w:type="dxa"/>
            <w:vAlign w:val="bottom"/>
          </w:tcPr>
          <w:p>
            <w:pPr>
              <w:spacing w:after="0"/>
              <w:rPr>
                <w:sz w:val="22"/>
                <w:szCs w:val="22"/>
                <w:color w:val="auto"/>
              </w:rPr>
            </w:pPr>
          </w:p>
        </w:tc>
      </w:tr>
      <w:tr>
        <w:trPr>
          <w:trHeight w:val="183"/>
        </w:trPr>
        <w:tc>
          <w:tcPr>
            <w:tcW w:w="34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55"/>
        </w:trPr>
        <w:tc>
          <w:tcPr>
            <w:tcW w:w="3480" w:type="dxa"/>
            <w:vAlign w:val="bottom"/>
            <w:shd w:val="clear" w:color="auto" w:fill="D6F3E8"/>
          </w:tcPr>
          <w:p>
            <w:pPr>
              <w:spacing w:after="0"/>
              <w:rPr>
                <w:sz w:val="20"/>
                <w:szCs w:val="20"/>
                <w:color w:val="auto"/>
              </w:rPr>
            </w:pPr>
            <w:r>
              <w:rPr>
                <w:rFonts w:ascii="Arial" w:cs="Arial" w:eastAsia="Arial" w:hAnsi="Arial"/>
                <w:sz w:val="17"/>
                <w:szCs w:val="17"/>
                <w:color w:val="auto"/>
              </w:rPr>
              <w:t>Within 1 Year</w:t>
            </w:r>
          </w:p>
        </w:tc>
        <w:tc>
          <w:tcPr>
            <w:tcW w:w="240" w:type="dxa"/>
            <w:vAlign w:val="bottom"/>
            <w:shd w:val="clear" w:color="auto" w:fill="D6F3E8"/>
          </w:tcPr>
          <w:p>
            <w:pPr>
              <w:spacing w:after="0"/>
              <w:rPr>
                <w:sz w:val="22"/>
                <w:szCs w:val="22"/>
                <w:color w:val="auto"/>
              </w:rPr>
            </w:pPr>
          </w:p>
        </w:tc>
        <w:tc>
          <w:tcPr>
            <w:tcW w:w="132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w:t>
            </w:r>
          </w:p>
        </w:tc>
        <w:tc>
          <w:tcPr>
            <w:tcW w:w="480" w:type="dxa"/>
            <w:vAlign w:val="bottom"/>
            <w:shd w:val="clear" w:color="auto" w:fill="D6F3E8"/>
          </w:tcPr>
          <w:p>
            <w:pPr>
              <w:spacing w:after="0"/>
              <w:rPr>
                <w:sz w:val="22"/>
                <w:szCs w:val="22"/>
                <w:color w:val="auto"/>
              </w:rPr>
            </w:pPr>
          </w:p>
        </w:tc>
        <w:tc>
          <w:tcPr>
            <w:tcW w:w="110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shd w:val="clear" w:color="auto" w:fill="D6F3E8"/>
          </w:tcPr>
          <w:p>
            <w:pPr>
              <w:spacing w:after="0"/>
              <w:rPr>
                <w:sz w:val="22"/>
                <w:szCs w:val="22"/>
                <w:color w:val="auto"/>
              </w:rPr>
            </w:pPr>
          </w:p>
        </w:tc>
        <w:tc>
          <w:tcPr>
            <w:tcW w:w="150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6,169,345</w:t>
            </w:r>
          </w:p>
        </w:tc>
        <w:tc>
          <w:tcPr>
            <w:tcW w:w="540" w:type="dxa"/>
            <w:vAlign w:val="bottom"/>
            <w:shd w:val="clear" w:color="auto" w:fill="D6F3E8"/>
          </w:tcPr>
          <w:p>
            <w:pPr>
              <w:spacing w:after="0"/>
              <w:rPr>
                <w:sz w:val="22"/>
                <w:szCs w:val="22"/>
                <w:color w:val="auto"/>
              </w:rPr>
            </w:pPr>
          </w:p>
        </w:tc>
        <w:tc>
          <w:tcPr>
            <w:tcW w:w="1100" w:type="dxa"/>
            <w:vAlign w:val="bottom"/>
            <w:gridSpan w:val="2"/>
            <w:shd w:val="clear" w:color="auto" w:fill="D6F3E8"/>
          </w:tcPr>
          <w:p>
            <w:pPr>
              <w:jc w:val="right"/>
              <w:ind w:right="20"/>
              <w:spacing w:after="0"/>
              <w:rPr>
                <w:sz w:val="20"/>
                <w:szCs w:val="20"/>
                <w:color w:val="auto"/>
              </w:rPr>
            </w:pPr>
            <w:r>
              <w:rPr>
                <w:rFonts w:ascii="Arial" w:cs="Arial" w:eastAsia="Arial" w:hAnsi="Arial"/>
                <w:sz w:val="17"/>
                <w:szCs w:val="17"/>
                <w:color w:val="auto"/>
              </w:rPr>
              <w:t>6,147,807</w:t>
            </w:r>
          </w:p>
        </w:tc>
        <w:tc>
          <w:tcPr>
            <w:tcW w:w="200" w:type="dxa"/>
            <w:vAlign w:val="bottom"/>
            <w:shd w:val="clear" w:color="auto" w:fill="D6F3E8"/>
          </w:tcPr>
          <w:p>
            <w:pPr>
              <w:spacing w:after="0"/>
              <w:rPr>
                <w:sz w:val="22"/>
                <w:szCs w:val="22"/>
                <w:color w:val="auto"/>
              </w:rPr>
            </w:pPr>
          </w:p>
        </w:tc>
      </w:tr>
      <w:tr>
        <w:trPr>
          <w:trHeight w:val="443"/>
        </w:trPr>
        <w:tc>
          <w:tcPr>
            <w:tcW w:w="3480" w:type="dxa"/>
            <w:vAlign w:val="bottom"/>
          </w:tcPr>
          <w:p>
            <w:pPr>
              <w:spacing w:after="0"/>
              <w:rPr>
                <w:sz w:val="20"/>
                <w:szCs w:val="20"/>
                <w:color w:val="auto"/>
              </w:rPr>
            </w:pPr>
            <w:r>
              <w:rPr>
                <w:rFonts w:ascii="Arial" w:cs="Arial" w:eastAsia="Arial" w:hAnsi="Arial"/>
                <w:sz w:val="17"/>
                <w:szCs w:val="17"/>
                <w:color w:val="auto"/>
              </w:rPr>
              <w:t>1-5 Years</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250,000</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257,855</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2,229,064</w:t>
            </w:r>
          </w:p>
        </w:tc>
        <w:tc>
          <w:tcPr>
            <w:tcW w:w="54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2,185,562</w:t>
            </w:r>
          </w:p>
        </w:tc>
        <w:tc>
          <w:tcPr>
            <w:tcW w:w="200" w:type="dxa"/>
            <w:vAlign w:val="bottom"/>
          </w:tcPr>
          <w:p>
            <w:pPr>
              <w:spacing w:after="0"/>
              <w:rPr>
                <w:sz w:val="24"/>
                <w:szCs w:val="24"/>
                <w:color w:val="auto"/>
              </w:rPr>
            </w:pPr>
          </w:p>
        </w:tc>
      </w:tr>
      <w:tr>
        <w:trPr>
          <w:trHeight w:val="256"/>
        </w:trPr>
        <w:tc>
          <w:tcPr>
            <w:tcW w:w="3480" w:type="dxa"/>
            <w:vAlign w:val="bottom"/>
            <w:shd w:val="clear" w:color="auto" w:fill="D6F3E8"/>
          </w:tcPr>
          <w:p>
            <w:pPr>
              <w:spacing w:after="0"/>
              <w:rPr>
                <w:sz w:val="20"/>
                <w:szCs w:val="20"/>
                <w:color w:val="auto"/>
              </w:rPr>
            </w:pPr>
            <w:r>
              <w:rPr>
                <w:rFonts w:ascii="Arial" w:cs="Arial" w:eastAsia="Arial" w:hAnsi="Arial"/>
                <w:sz w:val="17"/>
                <w:szCs w:val="17"/>
                <w:color w:val="auto"/>
              </w:rPr>
              <w:t>5-10 Years</w:t>
            </w:r>
          </w:p>
        </w:tc>
        <w:tc>
          <w:tcPr>
            <w:tcW w:w="240" w:type="dxa"/>
            <w:vAlign w:val="bottom"/>
            <w:shd w:val="clear" w:color="auto" w:fill="D6F3E8"/>
          </w:tcPr>
          <w:p>
            <w:pPr>
              <w:spacing w:after="0"/>
              <w:rPr>
                <w:sz w:val="22"/>
                <w:szCs w:val="22"/>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115,000</w:t>
            </w:r>
          </w:p>
        </w:tc>
        <w:tc>
          <w:tcPr>
            <w:tcW w:w="200" w:type="dxa"/>
            <w:vAlign w:val="bottom"/>
            <w:shd w:val="clear" w:color="auto" w:fill="D6F3E8"/>
          </w:tcPr>
          <w:p>
            <w:pPr>
              <w:spacing w:after="0"/>
              <w:rPr>
                <w:sz w:val="22"/>
                <w:szCs w:val="22"/>
                <w:color w:val="auto"/>
              </w:rPr>
            </w:pPr>
          </w:p>
        </w:tc>
        <w:tc>
          <w:tcPr>
            <w:tcW w:w="480" w:type="dxa"/>
            <w:vAlign w:val="bottom"/>
            <w:shd w:val="clear" w:color="auto" w:fill="D6F3E8"/>
          </w:tcPr>
          <w:p>
            <w:pPr>
              <w:spacing w:after="0"/>
              <w:rPr>
                <w:sz w:val="22"/>
                <w:szCs w:val="22"/>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118,755</w:t>
            </w:r>
          </w:p>
        </w:tc>
        <w:tc>
          <w:tcPr>
            <w:tcW w:w="200" w:type="dxa"/>
            <w:vAlign w:val="bottom"/>
            <w:shd w:val="clear" w:color="auto" w:fill="D6F3E8"/>
          </w:tcPr>
          <w:p>
            <w:pPr>
              <w:spacing w:after="0"/>
              <w:rPr>
                <w:sz w:val="22"/>
                <w:szCs w:val="22"/>
                <w:color w:val="auto"/>
              </w:rPr>
            </w:pPr>
          </w:p>
        </w:tc>
        <w:tc>
          <w:tcPr>
            <w:tcW w:w="300" w:type="dxa"/>
            <w:vAlign w:val="bottom"/>
            <w:shd w:val="clear" w:color="auto" w:fill="D6F3E8"/>
          </w:tcPr>
          <w:p>
            <w:pPr>
              <w:spacing w:after="0"/>
              <w:rPr>
                <w:sz w:val="22"/>
                <w:szCs w:val="22"/>
                <w:color w:val="auto"/>
              </w:rPr>
            </w:pPr>
          </w:p>
        </w:tc>
        <w:tc>
          <w:tcPr>
            <w:tcW w:w="150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53,672</w:t>
            </w:r>
          </w:p>
        </w:tc>
        <w:tc>
          <w:tcPr>
            <w:tcW w:w="540" w:type="dxa"/>
            <w:vAlign w:val="bottom"/>
            <w:shd w:val="clear" w:color="auto" w:fill="D6F3E8"/>
          </w:tcPr>
          <w:p>
            <w:pPr>
              <w:spacing w:after="0"/>
              <w:rPr>
                <w:sz w:val="22"/>
                <w:szCs w:val="22"/>
                <w:color w:val="auto"/>
              </w:rPr>
            </w:pPr>
          </w:p>
        </w:tc>
        <w:tc>
          <w:tcPr>
            <w:tcW w:w="1100" w:type="dxa"/>
            <w:vAlign w:val="bottom"/>
            <w:gridSpan w:val="2"/>
            <w:shd w:val="clear" w:color="auto" w:fill="D6F3E8"/>
          </w:tcPr>
          <w:p>
            <w:pPr>
              <w:jc w:val="right"/>
              <w:ind w:right="20"/>
              <w:spacing w:after="0"/>
              <w:rPr>
                <w:sz w:val="20"/>
                <w:szCs w:val="20"/>
                <w:color w:val="auto"/>
              </w:rPr>
            </w:pPr>
            <w:r>
              <w:rPr>
                <w:rFonts w:ascii="Arial" w:cs="Arial" w:eastAsia="Arial" w:hAnsi="Arial"/>
                <w:sz w:val="17"/>
                <w:szCs w:val="17"/>
                <w:color w:val="auto"/>
              </w:rPr>
              <w:t>52,147</w:t>
            </w:r>
          </w:p>
        </w:tc>
        <w:tc>
          <w:tcPr>
            <w:tcW w:w="200" w:type="dxa"/>
            <w:vAlign w:val="bottom"/>
            <w:shd w:val="clear" w:color="auto" w:fill="D6F3E8"/>
          </w:tcPr>
          <w:p>
            <w:pPr>
              <w:spacing w:after="0"/>
              <w:rPr>
                <w:sz w:val="22"/>
                <w:szCs w:val="22"/>
                <w:color w:val="auto"/>
              </w:rPr>
            </w:pPr>
          </w:p>
        </w:tc>
      </w:tr>
      <w:tr>
        <w:trPr>
          <w:trHeight w:val="255"/>
        </w:trPr>
        <w:tc>
          <w:tcPr>
            <w:tcW w:w="3480" w:type="dxa"/>
            <w:vAlign w:val="bottom"/>
          </w:tcPr>
          <w:p>
            <w:pPr>
              <w:spacing w:after="0"/>
              <w:rPr>
                <w:sz w:val="20"/>
                <w:szCs w:val="20"/>
                <w:color w:val="auto"/>
              </w:rPr>
            </w:pPr>
            <w:r>
              <w:rPr>
                <w:rFonts w:ascii="Arial" w:cs="Arial" w:eastAsia="Arial" w:hAnsi="Arial"/>
                <w:sz w:val="17"/>
                <w:szCs w:val="17"/>
                <w:color w:val="auto"/>
              </w:rPr>
              <w:t>After 10 Years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426,372</w:t>
            </w:r>
          </w:p>
        </w:tc>
        <w:tc>
          <w:tcPr>
            <w:tcW w:w="54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411,180</w:t>
            </w:r>
          </w:p>
        </w:tc>
        <w:tc>
          <w:tcPr>
            <w:tcW w:w="200" w:type="dxa"/>
            <w:vAlign w:val="bottom"/>
          </w:tcPr>
          <w:p>
            <w:pPr>
              <w:spacing w:after="0"/>
              <w:rPr>
                <w:sz w:val="22"/>
                <w:szCs w:val="22"/>
                <w:color w:val="auto"/>
              </w:rPr>
            </w:pPr>
          </w:p>
        </w:tc>
      </w:tr>
      <w:tr>
        <w:trPr>
          <w:trHeight w:val="255"/>
        </w:trPr>
        <w:tc>
          <w:tcPr>
            <w:tcW w:w="3480" w:type="dxa"/>
            <w:vAlign w:val="bottom"/>
            <w:shd w:val="clear" w:color="auto" w:fill="D6F3E8"/>
          </w:tcPr>
          <w:p>
            <w:pPr>
              <w:spacing w:after="0"/>
              <w:rPr>
                <w:sz w:val="20"/>
                <w:szCs w:val="20"/>
                <w:color w:val="auto"/>
              </w:rPr>
            </w:pPr>
            <w:r>
              <w:rPr>
                <w:rFonts w:ascii="Arial" w:cs="Arial" w:eastAsia="Arial" w:hAnsi="Arial"/>
                <w:sz w:val="17"/>
                <w:szCs w:val="17"/>
                <w:color w:val="auto"/>
              </w:rPr>
              <w:t>Equity Securities – Mutual Fund</w:t>
            </w:r>
          </w:p>
        </w:tc>
        <w:tc>
          <w:tcPr>
            <w:tcW w:w="240" w:type="dxa"/>
            <w:vAlign w:val="bottom"/>
            <w:shd w:val="clear" w:color="auto" w:fill="D6F3E8"/>
          </w:tcPr>
          <w:p>
            <w:pPr>
              <w:spacing w:after="0"/>
              <w:rPr>
                <w:sz w:val="22"/>
                <w:szCs w:val="22"/>
                <w:color w:val="auto"/>
              </w:rPr>
            </w:pPr>
          </w:p>
        </w:tc>
        <w:tc>
          <w:tcPr>
            <w:tcW w:w="112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480" w:type="dxa"/>
            <w:vAlign w:val="bottom"/>
            <w:shd w:val="clear" w:color="auto" w:fill="D6F3E8"/>
          </w:tcPr>
          <w:p>
            <w:pPr>
              <w:spacing w:after="0"/>
              <w:rPr>
                <w:sz w:val="22"/>
                <w:szCs w:val="22"/>
                <w:color w:val="auto"/>
              </w:rPr>
            </w:pPr>
          </w:p>
        </w:tc>
        <w:tc>
          <w:tcPr>
            <w:tcW w:w="90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300" w:type="dxa"/>
            <w:vAlign w:val="bottom"/>
            <w:shd w:val="clear" w:color="auto" w:fill="D6F3E8"/>
          </w:tcPr>
          <w:p>
            <w:pPr>
              <w:spacing w:after="0"/>
              <w:rPr>
                <w:sz w:val="22"/>
                <w:szCs w:val="22"/>
                <w:color w:val="auto"/>
              </w:rPr>
            </w:pPr>
          </w:p>
        </w:tc>
        <w:tc>
          <w:tcPr>
            <w:tcW w:w="150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7,488,243</w:t>
            </w:r>
          </w:p>
        </w:tc>
        <w:tc>
          <w:tcPr>
            <w:tcW w:w="540" w:type="dxa"/>
            <w:vAlign w:val="bottom"/>
            <w:shd w:val="clear" w:color="auto" w:fill="D6F3E8"/>
          </w:tcPr>
          <w:p>
            <w:pPr>
              <w:spacing w:after="0"/>
              <w:rPr>
                <w:sz w:val="22"/>
                <w:szCs w:val="22"/>
                <w:color w:val="auto"/>
              </w:rPr>
            </w:pPr>
          </w:p>
        </w:tc>
        <w:tc>
          <w:tcPr>
            <w:tcW w:w="1100" w:type="dxa"/>
            <w:vAlign w:val="bottom"/>
            <w:gridSpan w:val="2"/>
            <w:shd w:val="clear" w:color="auto" w:fill="D6F3E8"/>
          </w:tcPr>
          <w:p>
            <w:pPr>
              <w:jc w:val="right"/>
              <w:ind w:right="20"/>
              <w:spacing w:after="0"/>
              <w:rPr>
                <w:sz w:val="20"/>
                <w:szCs w:val="20"/>
                <w:color w:val="auto"/>
              </w:rPr>
            </w:pPr>
            <w:r>
              <w:rPr>
                <w:rFonts w:ascii="Arial" w:cs="Arial" w:eastAsia="Arial" w:hAnsi="Arial"/>
                <w:sz w:val="17"/>
                <w:szCs w:val="17"/>
                <w:color w:val="auto"/>
              </w:rPr>
              <w:t>7,564,732</w:t>
            </w:r>
          </w:p>
        </w:tc>
        <w:tc>
          <w:tcPr>
            <w:tcW w:w="200" w:type="dxa"/>
            <w:vAlign w:val="bottom"/>
            <w:shd w:val="clear" w:color="auto" w:fill="D6F3E8"/>
          </w:tcPr>
          <w:p>
            <w:pPr>
              <w:spacing w:after="0"/>
              <w:rPr>
                <w:sz w:val="22"/>
                <w:szCs w:val="22"/>
                <w:color w:val="auto"/>
              </w:rPr>
            </w:pPr>
          </w:p>
        </w:tc>
      </w:tr>
      <w:tr>
        <w:trPr>
          <w:trHeight w:val="20"/>
        </w:trPr>
        <w:tc>
          <w:tcPr>
            <w:tcW w:w="3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37"/>
        </w:trPr>
        <w:tc>
          <w:tcPr>
            <w:tcW w:w="3480" w:type="dxa"/>
            <w:vAlign w:val="bottom"/>
          </w:tcPr>
          <w:p>
            <w:pPr>
              <w:spacing w:after="0"/>
              <w:rPr>
                <w:sz w:val="24"/>
                <w:szCs w:val="24"/>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365,000</w:t>
            </w:r>
          </w:p>
        </w:tc>
        <w:tc>
          <w:tcPr>
            <w:tcW w:w="200" w:type="dxa"/>
            <w:vAlign w:val="bottom"/>
          </w:tcPr>
          <w:p>
            <w:pPr>
              <w:spacing w:after="0"/>
              <w:rPr>
                <w:sz w:val="24"/>
                <w:szCs w:val="24"/>
                <w:color w:val="auto"/>
              </w:rPr>
            </w:pPr>
          </w:p>
        </w:tc>
        <w:tc>
          <w:tcPr>
            <w:tcW w:w="480" w:type="dxa"/>
            <w:vAlign w:val="bottom"/>
          </w:tcPr>
          <w:p>
            <w:pPr>
              <w:jc w:val="right"/>
              <w:ind w:right="29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376,610</w:t>
            </w:r>
          </w:p>
        </w:tc>
        <w:tc>
          <w:tcPr>
            <w:tcW w:w="200" w:type="dxa"/>
            <w:vAlign w:val="bottom"/>
          </w:tcPr>
          <w:p>
            <w:pPr>
              <w:spacing w:after="0"/>
              <w:rPr>
                <w:sz w:val="24"/>
                <w:szCs w:val="24"/>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16,366,696</w:t>
            </w:r>
          </w:p>
        </w:tc>
        <w:tc>
          <w:tcPr>
            <w:tcW w:w="540" w:type="dxa"/>
            <w:vAlign w:val="bottom"/>
          </w:tcPr>
          <w:p>
            <w:pPr>
              <w:jc w:val="right"/>
              <w:ind w:right="353"/>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16,361,428</w:t>
            </w:r>
          </w:p>
        </w:tc>
        <w:tc>
          <w:tcPr>
            <w:tcW w:w="200" w:type="dxa"/>
            <w:vAlign w:val="bottom"/>
          </w:tcPr>
          <w:p>
            <w:pPr>
              <w:spacing w:after="0"/>
              <w:rPr>
                <w:sz w:val="24"/>
                <w:szCs w:val="24"/>
                <w:color w:val="auto"/>
              </w:rPr>
            </w:pPr>
          </w:p>
        </w:tc>
      </w:tr>
      <w:tr>
        <w:trPr>
          <w:trHeight w:val="20"/>
        </w:trPr>
        <w:tc>
          <w:tcPr>
            <w:tcW w:w="3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7" w:lineRule="exact"/>
        <w:rPr>
          <w:sz w:val="20"/>
          <w:szCs w:val="20"/>
          <w:color w:val="auto"/>
        </w:rPr>
      </w:pPr>
    </w:p>
    <w:p>
      <w:pPr>
        <w:ind w:left="752"/>
        <w:spacing w:after="0"/>
        <w:rPr>
          <w:sz w:val="20"/>
          <w:szCs w:val="20"/>
          <w:color w:val="auto"/>
        </w:rPr>
      </w:pPr>
      <w:r>
        <w:rPr>
          <w:rFonts w:ascii="Arial" w:cs="Arial" w:eastAsia="Arial" w:hAnsi="Arial"/>
          <w:sz w:val="17"/>
          <w:szCs w:val="17"/>
          <w:color w:val="auto"/>
        </w:rPr>
        <w:t>The amortized cost and fair value of investment securities available-for-sale as of April 1, 2007 and April 2, 2006, were as follows:</w:t>
      </w:r>
    </w:p>
    <w:p>
      <w:pPr>
        <w:spacing w:after="0" w:line="257" w:lineRule="exact"/>
        <w:rPr>
          <w:sz w:val="20"/>
          <w:szCs w:val="20"/>
          <w:color w:val="auto"/>
        </w:rPr>
      </w:pPr>
    </w:p>
    <w:tbl>
      <w:tblPr>
        <w:tblLayout w:type="fixed"/>
        <w:tblInd w:w="972"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6"/>
          </w:tcPr>
          <w:p>
            <w:pPr>
              <w:jc w:val="right"/>
              <w:ind w:right="1260"/>
              <w:spacing w:after="0"/>
              <w:rPr>
                <w:sz w:val="20"/>
                <w:szCs w:val="20"/>
                <w:color w:val="auto"/>
              </w:rPr>
            </w:pPr>
            <w:r>
              <w:rPr>
                <w:rFonts w:ascii="Arial" w:cs="Arial" w:eastAsia="Arial" w:hAnsi="Arial"/>
                <w:sz w:val="13"/>
                <w:szCs w:val="13"/>
                <w:b w:val="1"/>
                <w:bCs w:val="1"/>
                <w:color w:val="auto"/>
              </w:rPr>
              <w:t>April 1, 2007</w:t>
            </w: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22"/>
              <w:spacing w:after="0" w:line="129" w:lineRule="exact"/>
              <w:rPr>
                <w:sz w:val="20"/>
                <w:szCs w:val="20"/>
                <w:color w:val="auto"/>
              </w:rPr>
            </w:pPr>
            <w:r>
              <w:rPr>
                <w:rFonts w:ascii="Arial" w:cs="Arial" w:eastAsia="Arial" w:hAnsi="Arial"/>
                <w:sz w:val="13"/>
                <w:szCs w:val="13"/>
                <w:b w:val="1"/>
                <w:bCs w:val="1"/>
                <w:color w:val="auto"/>
                <w:w w:val="90"/>
              </w:rPr>
              <w:t>Gross</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2"/>
          </w:tcPr>
          <w:p>
            <w:pPr>
              <w:jc w:val="center"/>
              <w:ind w:right="420"/>
              <w:spacing w:after="0" w:line="129" w:lineRule="exact"/>
              <w:rPr>
                <w:sz w:val="20"/>
                <w:szCs w:val="20"/>
                <w:color w:val="auto"/>
              </w:rPr>
            </w:pPr>
            <w:r>
              <w:rPr>
                <w:rFonts w:ascii="Arial" w:cs="Arial" w:eastAsia="Arial" w:hAnsi="Arial"/>
                <w:sz w:val="13"/>
                <w:szCs w:val="13"/>
                <w:b w:val="1"/>
                <w:bCs w:val="1"/>
                <w:color w:val="auto"/>
                <w:w w:val="85"/>
              </w:rPr>
              <w:t>Gross</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8" w:lineRule="exact"/>
              <w:rPr>
                <w:sz w:val="20"/>
                <w:szCs w:val="20"/>
                <w:color w:val="auto"/>
              </w:rPr>
            </w:pPr>
            <w:r>
              <w:rPr>
                <w:rFonts w:ascii="Arial" w:cs="Arial" w:eastAsia="Arial" w:hAnsi="Arial"/>
                <w:sz w:val="13"/>
                <w:szCs w:val="13"/>
                <w:b w:val="1"/>
                <w:bCs w:val="1"/>
                <w:color w:val="auto"/>
                <w:w w:val="97"/>
              </w:rPr>
              <w:t>Amortized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42"/>
              <w:spacing w:after="0" w:line="148" w:lineRule="exact"/>
              <w:rPr>
                <w:sz w:val="20"/>
                <w:szCs w:val="20"/>
                <w:color w:val="auto"/>
              </w:rPr>
            </w:pPr>
            <w:r>
              <w:rPr>
                <w:rFonts w:ascii="Arial" w:cs="Arial" w:eastAsia="Arial" w:hAnsi="Arial"/>
                <w:sz w:val="13"/>
                <w:szCs w:val="13"/>
                <w:b w:val="1"/>
                <w:bCs w:val="1"/>
                <w:color w:val="auto"/>
                <w:w w:val="97"/>
              </w:rPr>
              <w:t>Unrealized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tcPr>
          <w:p>
            <w:pPr>
              <w:jc w:val="center"/>
              <w:ind w:right="440"/>
              <w:spacing w:after="0" w:line="148" w:lineRule="exact"/>
              <w:rPr>
                <w:sz w:val="20"/>
                <w:szCs w:val="20"/>
                <w:color w:val="auto"/>
              </w:rPr>
            </w:pPr>
            <w:r>
              <w:rPr>
                <w:rFonts w:ascii="Arial" w:cs="Arial" w:eastAsia="Arial" w:hAnsi="Arial"/>
                <w:sz w:val="13"/>
                <w:szCs w:val="13"/>
                <w:b w:val="1"/>
                <w:bCs w:val="1"/>
                <w:color w:val="auto"/>
                <w:w w:val="94"/>
              </w:rPr>
              <w:t>Unrealized</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gridSpan w:val="4"/>
          </w:tcPr>
          <w:p>
            <w:pPr>
              <w:jc w:val="center"/>
              <w:ind w:right="540"/>
              <w:spacing w:after="0" w:line="148"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18"/>
              <w:spacing w:after="0"/>
              <w:rPr>
                <w:sz w:val="20"/>
                <w:szCs w:val="20"/>
                <w:color w:val="auto"/>
              </w:rPr>
            </w:pPr>
            <w:r>
              <w:rPr>
                <w:rFonts w:ascii="Arial" w:cs="Arial" w:eastAsia="Arial" w:hAnsi="Arial"/>
                <w:sz w:val="13"/>
                <w:szCs w:val="13"/>
                <w:b w:val="1"/>
                <w:bCs w:val="1"/>
                <w:color w:val="auto"/>
                <w:w w:val="89"/>
              </w:rPr>
              <w:t>Cost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22"/>
              <w:spacing w:after="0"/>
              <w:rPr>
                <w:sz w:val="20"/>
                <w:szCs w:val="20"/>
                <w:color w:val="auto"/>
              </w:rPr>
            </w:pPr>
            <w:r>
              <w:rPr>
                <w:rFonts w:ascii="Arial" w:cs="Arial" w:eastAsia="Arial" w:hAnsi="Arial"/>
                <w:sz w:val="13"/>
                <w:szCs w:val="13"/>
                <w:b w:val="1"/>
                <w:bCs w:val="1"/>
                <w:color w:val="auto"/>
                <w:w w:val="93"/>
              </w:rPr>
              <w:t>Gains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0"/>
              </w:rPr>
              <w:t>Losses</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gridSpan w:val="4"/>
          </w:tcPr>
          <w:p>
            <w:pPr>
              <w:jc w:val="center"/>
              <w:ind w:right="560"/>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436"/>
        </w:trPr>
        <w:tc>
          <w:tcPr>
            <w:tcW w:w="3480" w:type="dxa"/>
            <w:vAlign w:val="bottom"/>
          </w:tcPr>
          <w:p>
            <w:pPr>
              <w:spacing w:after="0"/>
              <w:rPr>
                <w:sz w:val="20"/>
                <w:szCs w:val="20"/>
                <w:color w:val="auto"/>
              </w:rPr>
            </w:pPr>
            <w:r>
              <w:rPr>
                <w:rFonts w:ascii="Arial" w:cs="Arial" w:eastAsia="Arial" w:hAnsi="Arial"/>
                <w:sz w:val="17"/>
                <w:szCs w:val="17"/>
                <w:color w:val="auto"/>
              </w:rPr>
              <w:t>Fixed Income Securities:</w:t>
            </w: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80" w:type="dxa"/>
            <w:vAlign w:val="bottom"/>
            <w:shd w:val="clear" w:color="auto" w:fill="D6F3E8"/>
          </w:tcPr>
          <w:p>
            <w:pPr>
              <w:ind w:left="320"/>
              <w:spacing w:after="0"/>
              <w:rPr>
                <w:sz w:val="20"/>
                <w:szCs w:val="20"/>
                <w:color w:val="auto"/>
              </w:rPr>
            </w:pPr>
            <w:r>
              <w:rPr>
                <w:rFonts w:ascii="Arial" w:cs="Arial" w:eastAsia="Arial" w:hAnsi="Arial"/>
                <w:sz w:val="17"/>
                <w:szCs w:val="17"/>
                <w:color w:val="auto"/>
              </w:rPr>
              <w:t>U.S. Corporate Securities</w:t>
            </w:r>
          </w:p>
        </w:tc>
        <w:tc>
          <w:tcPr>
            <w:tcW w:w="220" w:type="dxa"/>
            <w:vAlign w:val="bottom"/>
            <w:shd w:val="clear" w:color="auto" w:fill="D6F3E8"/>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7"/>
                <w:szCs w:val="17"/>
                <w:color w:val="auto"/>
              </w:rPr>
              <w:t>4,179,295</w:t>
            </w:r>
          </w:p>
        </w:tc>
        <w:tc>
          <w:tcPr>
            <w:tcW w:w="420" w:type="dxa"/>
            <w:vAlign w:val="bottom"/>
            <w:gridSpan w:val="2"/>
            <w:shd w:val="clear" w:color="auto" w:fill="D6F3E8"/>
          </w:tcPr>
          <w:p>
            <w:pPr>
              <w:jc w:val="right"/>
              <w:ind w:right="33"/>
              <w:spacing w:after="0"/>
              <w:rPr>
                <w:sz w:val="20"/>
                <w:szCs w:val="20"/>
                <w:color w:val="auto"/>
              </w:rPr>
            </w:pPr>
            <w:r>
              <w:rPr>
                <w:rFonts w:ascii="Arial" w:cs="Arial" w:eastAsia="Arial" w:hAnsi="Arial"/>
                <w:sz w:val="17"/>
                <w:szCs w:val="17"/>
                <w:color w:val="auto"/>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7"/>
                <w:szCs w:val="17"/>
                <w:color w:val="auto"/>
              </w:rPr>
              <w:t>—</w:t>
            </w:r>
          </w:p>
        </w:tc>
        <w:tc>
          <w:tcPr>
            <w:tcW w:w="480" w:type="dxa"/>
            <w:vAlign w:val="bottom"/>
            <w:tcBorders>
              <w:left w:val="single" w:sz="8" w:color="D6F3E8"/>
            </w:tcBorders>
            <w:gridSpan w:val="3"/>
            <w:shd w:val="clear" w:color="auto" w:fill="D6F3E8"/>
          </w:tcPr>
          <w:p>
            <w:pPr>
              <w:jc w:val="right"/>
              <w:ind w:right="73"/>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D6F3E8"/>
          </w:tcPr>
          <w:p>
            <w:pPr>
              <w:jc w:val="right"/>
              <w:ind w:right="160"/>
              <w:spacing w:after="0"/>
              <w:rPr>
                <w:sz w:val="20"/>
                <w:szCs w:val="20"/>
                <w:color w:val="auto"/>
              </w:rPr>
            </w:pPr>
            <w:r>
              <w:rPr>
                <w:rFonts w:ascii="Arial" w:cs="Arial" w:eastAsia="Arial" w:hAnsi="Arial"/>
                <w:sz w:val="17"/>
                <w:szCs w:val="17"/>
                <w:color w:val="auto"/>
              </w:rPr>
              <w:t>(52,014)</w:t>
            </w:r>
          </w:p>
        </w:tc>
        <w:tc>
          <w:tcPr>
            <w:tcW w:w="380" w:type="dxa"/>
            <w:vAlign w:val="bottom"/>
            <w:gridSpan w:val="2"/>
            <w:shd w:val="clear" w:color="auto" w:fill="D6F3E8"/>
          </w:tcPr>
          <w:p>
            <w:pPr>
              <w:jc w:val="right"/>
              <w:ind w:right="240"/>
              <w:spacing w:after="0"/>
              <w:rPr>
                <w:sz w:val="20"/>
                <w:szCs w:val="20"/>
                <w:color w:val="auto"/>
              </w:rPr>
            </w:pPr>
            <w:r>
              <w:rPr>
                <w:rFonts w:ascii="Arial" w:cs="Arial" w:eastAsia="Arial" w:hAnsi="Arial"/>
                <w:sz w:val="17"/>
                <w:szCs w:val="17"/>
                <w:color w:val="auto"/>
              </w:rPr>
              <w:t>$</w:t>
            </w:r>
          </w:p>
        </w:tc>
        <w:tc>
          <w:tcPr>
            <w:tcW w:w="1380" w:type="dxa"/>
            <w:vAlign w:val="bottom"/>
            <w:gridSpan w:val="3"/>
            <w:shd w:val="clear" w:color="auto" w:fill="D6F3E8"/>
          </w:tcPr>
          <w:p>
            <w:pPr>
              <w:jc w:val="right"/>
              <w:ind w:right="100"/>
              <w:spacing w:after="0"/>
              <w:rPr>
                <w:sz w:val="20"/>
                <w:szCs w:val="20"/>
                <w:color w:val="auto"/>
              </w:rPr>
            </w:pPr>
            <w:r>
              <w:rPr>
                <w:rFonts w:ascii="Arial" w:cs="Arial" w:eastAsia="Arial" w:hAnsi="Arial"/>
                <w:sz w:val="17"/>
                <w:szCs w:val="17"/>
                <w:color w:val="auto"/>
              </w:rPr>
              <w:t>4,127,281</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480" w:type="dxa"/>
            <w:vAlign w:val="bottom"/>
          </w:tcPr>
          <w:p>
            <w:pPr>
              <w:ind w:left="320"/>
              <w:spacing w:after="0"/>
              <w:rPr>
                <w:sz w:val="20"/>
                <w:szCs w:val="20"/>
                <w:color w:val="auto"/>
              </w:rPr>
            </w:pPr>
            <w:r>
              <w:rPr>
                <w:rFonts w:ascii="Arial" w:cs="Arial" w:eastAsia="Arial" w:hAnsi="Arial"/>
                <w:sz w:val="17"/>
                <w:szCs w:val="17"/>
                <w:color w:val="auto"/>
              </w:rPr>
              <w:t>U.S. Government Agency Securities</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1,137,085</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(29,743)</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7"/>
                <w:szCs w:val="17"/>
                <w:color w:val="auto"/>
              </w:rPr>
              <w:t>1,107,342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4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480" w:type="dxa"/>
            <w:vAlign w:val="bottom"/>
            <w:shd w:val="clear" w:color="auto" w:fill="D6F3E8"/>
          </w:tcPr>
          <w:p>
            <w:pPr>
              <w:spacing w:after="0"/>
              <w:rPr>
                <w:sz w:val="20"/>
                <w:szCs w:val="20"/>
                <w:color w:val="auto"/>
              </w:rPr>
            </w:pPr>
            <w:r>
              <w:rPr>
                <w:rFonts w:ascii="Arial" w:cs="Arial" w:eastAsia="Arial" w:hAnsi="Arial"/>
                <w:sz w:val="17"/>
                <w:szCs w:val="17"/>
                <w:color w:val="auto"/>
              </w:rPr>
              <w:t>Total Fixed Income Securities</w:t>
            </w:r>
          </w:p>
        </w:tc>
        <w:tc>
          <w:tcPr>
            <w:tcW w:w="220" w:type="dxa"/>
            <w:vAlign w:val="bottom"/>
            <w:shd w:val="clear" w:color="auto" w:fill="D6F3E8"/>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7"/>
                <w:szCs w:val="17"/>
                <w:color w:val="auto"/>
              </w:rPr>
              <w:t>5,316,380</w:t>
            </w:r>
          </w:p>
        </w:tc>
        <w:tc>
          <w:tcPr>
            <w:tcW w:w="420" w:type="dxa"/>
            <w:vAlign w:val="bottom"/>
            <w:gridSpan w:val="2"/>
            <w:shd w:val="clear" w:color="auto" w:fill="D6F3E8"/>
          </w:tcPr>
          <w:p>
            <w:pPr>
              <w:jc w:val="right"/>
              <w:ind w:right="33"/>
              <w:spacing w:after="0"/>
              <w:rPr>
                <w:sz w:val="20"/>
                <w:szCs w:val="20"/>
                <w:color w:val="auto"/>
              </w:rPr>
            </w:pPr>
            <w:r>
              <w:rPr>
                <w:rFonts w:ascii="Arial" w:cs="Arial" w:eastAsia="Arial" w:hAnsi="Arial"/>
                <w:sz w:val="17"/>
                <w:szCs w:val="17"/>
                <w:color w:val="auto"/>
              </w:rPr>
              <w:t>$</w:t>
            </w:r>
          </w:p>
        </w:tc>
        <w:tc>
          <w:tcPr>
            <w:tcW w:w="1140" w:type="dxa"/>
            <w:vAlign w:val="bottom"/>
            <w:shd w:val="clear" w:color="auto" w:fill="D6F3E8"/>
          </w:tcPr>
          <w:p>
            <w:pPr>
              <w:spacing w:after="0"/>
              <w:rPr>
                <w:sz w:val="22"/>
                <w:szCs w:val="22"/>
                <w:color w:val="auto"/>
              </w:rPr>
            </w:pPr>
          </w:p>
        </w:tc>
        <w:tc>
          <w:tcPr>
            <w:tcW w:w="480" w:type="dxa"/>
            <w:vAlign w:val="bottom"/>
            <w:tcBorders>
              <w:left w:val="single" w:sz="8" w:color="D6F3E8"/>
            </w:tcBorders>
            <w:gridSpan w:val="3"/>
            <w:shd w:val="clear" w:color="auto" w:fill="D6F3E8"/>
          </w:tcPr>
          <w:p>
            <w:pPr>
              <w:jc w:val="right"/>
              <w:ind w:right="73"/>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D6F3E8"/>
          </w:tcPr>
          <w:p>
            <w:pPr>
              <w:jc w:val="right"/>
              <w:ind w:right="160"/>
              <w:spacing w:after="0"/>
              <w:rPr>
                <w:sz w:val="20"/>
                <w:szCs w:val="20"/>
                <w:color w:val="auto"/>
              </w:rPr>
            </w:pPr>
            <w:r>
              <w:rPr>
                <w:rFonts w:ascii="Arial" w:cs="Arial" w:eastAsia="Arial" w:hAnsi="Arial"/>
                <w:sz w:val="17"/>
                <w:szCs w:val="17"/>
                <w:color w:val="auto"/>
              </w:rPr>
              <w:t>(81,757)</w:t>
            </w:r>
          </w:p>
        </w:tc>
        <w:tc>
          <w:tcPr>
            <w:tcW w:w="380" w:type="dxa"/>
            <w:vAlign w:val="bottom"/>
            <w:gridSpan w:val="2"/>
            <w:shd w:val="clear" w:color="auto" w:fill="D6F3E8"/>
          </w:tcPr>
          <w:p>
            <w:pPr>
              <w:jc w:val="right"/>
              <w:ind w:right="240"/>
              <w:spacing w:after="0"/>
              <w:rPr>
                <w:sz w:val="20"/>
                <w:szCs w:val="20"/>
                <w:color w:val="auto"/>
              </w:rPr>
            </w:pPr>
            <w:r>
              <w:rPr>
                <w:rFonts w:ascii="Arial" w:cs="Arial" w:eastAsia="Arial" w:hAnsi="Arial"/>
                <w:sz w:val="17"/>
                <w:szCs w:val="17"/>
                <w:color w:val="auto"/>
              </w:rPr>
              <w:t>$</w:t>
            </w:r>
          </w:p>
        </w:tc>
        <w:tc>
          <w:tcPr>
            <w:tcW w:w="1380" w:type="dxa"/>
            <w:vAlign w:val="bottom"/>
            <w:gridSpan w:val="3"/>
            <w:shd w:val="clear" w:color="auto" w:fill="D6F3E8"/>
          </w:tcPr>
          <w:p>
            <w:pPr>
              <w:jc w:val="right"/>
              <w:ind w:right="100"/>
              <w:spacing w:after="0"/>
              <w:rPr>
                <w:sz w:val="20"/>
                <w:szCs w:val="20"/>
                <w:color w:val="auto"/>
              </w:rPr>
            </w:pPr>
            <w:r>
              <w:rPr>
                <w:rFonts w:ascii="Arial" w:cs="Arial" w:eastAsia="Arial" w:hAnsi="Arial"/>
                <w:sz w:val="17"/>
                <w:szCs w:val="17"/>
                <w:color w:val="auto"/>
              </w:rPr>
              <w:t>5,234,623</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7"/>
                <w:szCs w:val="17"/>
                <w:color w:val="auto"/>
              </w:rPr>
              <w:t>Marketable Equity Securities –</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20" w:type="dxa"/>
            <w:vAlign w:val="bottom"/>
            <w:tcBorders>
              <w:top w:val="single" w:sz="8" w:color="D6F3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40" w:type="dxa"/>
            <w:vAlign w:val="bottom"/>
            <w:tcBorders>
              <w:top w:val="single" w:sz="8" w:color="D6F3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3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80" w:type="dxa"/>
            <w:vAlign w:val="bottom"/>
            <w:shd w:val="clear" w:color="auto" w:fill="D6F3E8"/>
          </w:tcPr>
          <w:p>
            <w:pPr>
              <w:ind w:left="320"/>
              <w:spacing w:after="0"/>
              <w:rPr>
                <w:sz w:val="20"/>
                <w:szCs w:val="20"/>
                <w:color w:val="auto"/>
              </w:rPr>
            </w:pPr>
            <w:r>
              <w:rPr>
                <w:rFonts w:ascii="Arial" w:cs="Arial" w:eastAsia="Arial" w:hAnsi="Arial"/>
                <w:sz w:val="17"/>
                <w:szCs w:val="17"/>
                <w:color w:val="auto"/>
              </w:rPr>
              <w:t>Mutual Fund – Short-term Bond Fund</w:t>
            </w:r>
          </w:p>
        </w:tc>
        <w:tc>
          <w:tcPr>
            <w:tcW w:w="220" w:type="dxa"/>
            <w:vAlign w:val="bottom"/>
            <w:shd w:val="clear" w:color="auto" w:fill="D6F3E8"/>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7"/>
                <w:szCs w:val="17"/>
                <w:color w:val="auto"/>
              </w:rPr>
              <w:t>7,488,243</w:t>
            </w:r>
          </w:p>
        </w:tc>
        <w:tc>
          <w:tcPr>
            <w:tcW w:w="200" w:type="dxa"/>
            <w:vAlign w:val="bottom"/>
            <w:shd w:val="clear" w:color="auto" w:fill="D6F3E8"/>
          </w:tcPr>
          <w:p>
            <w:pPr>
              <w:spacing w:after="0"/>
              <w:rPr>
                <w:sz w:val="22"/>
                <w:szCs w:val="22"/>
                <w:color w:val="auto"/>
              </w:rPr>
            </w:pPr>
          </w:p>
        </w:tc>
        <w:tc>
          <w:tcPr>
            <w:tcW w:w="220" w:type="dxa"/>
            <w:vAlign w:val="bottom"/>
            <w:shd w:val="clear" w:color="auto" w:fill="D6F3E8"/>
          </w:tcPr>
          <w:p>
            <w:pPr>
              <w:jc w:val="right"/>
              <w:ind w:right="3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7"/>
                <w:szCs w:val="17"/>
                <w:color w:val="auto"/>
              </w:rPr>
              <w:t>76,489</w:t>
            </w:r>
          </w:p>
        </w:tc>
        <w:tc>
          <w:tcPr>
            <w:tcW w:w="220" w:type="dxa"/>
            <w:vAlign w:val="bottom"/>
            <w:tcBorders>
              <w:left w:val="single" w:sz="8" w:color="D6F3E8"/>
            </w:tcBorders>
            <w:gridSpan w:val="2"/>
            <w:shd w:val="clear" w:color="auto" w:fill="D6F3E8"/>
          </w:tcPr>
          <w:p>
            <w:pPr>
              <w:spacing w:after="0"/>
              <w:rPr>
                <w:sz w:val="22"/>
                <w:szCs w:val="22"/>
                <w:color w:val="auto"/>
              </w:rPr>
            </w:pPr>
          </w:p>
        </w:tc>
        <w:tc>
          <w:tcPr>
            <w:tcW w:w="260" w:type="dxa"/>
            <w:vAlign w:val="bottom"/>
            <w:shd w:val="clear" w:color="auto" w:fill="D6F3E8"/>
          </w:tcPr>
          <w:p>
            <w:pPr>
              <w:jc w:val="right"/>
              <w:ind w:right="73"/>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D6F3E8"/>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D6F3E8"/>
          </w:tcPr>
          <w:p>
            <w:pPr>
              <w:jc w:val="right"/>
              <w:ind w:right="240"/>
              <w:spacing w:after="0"/>
              <w:rPr>
                <w:sz w:val="20"/>
                <w:szCs w:val="20"/>
                <w:color w:val="auto"/>
              </w:rPr>
            </w:pPr>
            <w:r>
              <w:rPr>
                <w:rFonts w:ascii="Arial" w:cs="Arial" w:eastAsia="Arial" w:hAnsi="Arial"/>
                <w:sz w:val="17"/>
                <w:szCs w:val="17"/>
                <w:color w:val="auto"/>
              </w:rPr>
              <w:t>$</w:t>
            </w:r>
          </w:p>
        </w:tc>
        <w:tc>
          <w:tcPr>
            <w:tcW w:w="1380" w:type="dxa"/>
            <w:vAlign w:val="bottom"/>
            <w:gridSpan w:val="3"/>
            <w:shd w:val="clear" w:color="auto" w:fill="D6F3E8"/>
          </w:tcPr>
          <w:p>
            <w:pPr>
              <w:jc w:val="right"/>
              <w:ind w:right="100"/>
              <w:spacing w:after="0"/>
              <w:rPr>
                <w:sz w:val="20"/>
                <w:szCs w:val="20"/>
                <w:color w:val="auto"/>
              </w:rPr>
            </w:pPr>
            <w:r>
              <w:rPr>
                <w:rFonts w:ascii="Arial" w:cs="Arial" w:eastAsia="Arial" w:hAnsi="Arial"/>
                <w:sz w:val="17"/>
                <w:szCs w:val="17"/>
                <w:color w:val="auto"/>
              </w:rPr>
              <w:t>7,564,732</w:t>
            </w: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7"/>
                <w:szCs w:val="17"/>
                <w:color w:val="auto"/>
              </w:rPr>
              <w:t>Total Equity Securities</w:t>
            </w: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3480" w:type="dxa"/>
            <w:vAlign w:val="bottom"/>
            <w:vMerge w:val="continue"/>
          </w:tcPr>
          <w:p>
            <w:pPr>
              <w:spacing w:after="0"/>
              <w:rPr>
                <w:sz w:val="24"/>
                <w:szCs w:val="24"/>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7,488,243</w:t>
            </w:r>
          </w:p>
        </w:tc>
        <w:tc>
          <w:tcPr>
            <w:tcW w:w="200" w:type="dxa"/>
            <w:vAlign w:val="bottom"/>
          </w:tcPr>
          <w:p>
            <w:pPr>
              <w:spacing w:after="0"/>
              <w:rPr>
                <w:sz w:val="24"/>
                <w:szCs w:val="24"/>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76,489</w:t>
            </w:r>
          </w:p>
        </w:tc>
        <w:tc>
          <w:tcPr>
            <w:tcW w:w="220" w:type="dxa"/>
            <w:vAlign w:val="bottom"/>
            <w:gridSpan w:val="2"/>
          </w:tcPr>
          <w:p>
            <w:pPr>
              <w:spacing w:after="0"/>
              <w:rPr>
                <w:sz w:val="24"/>
                <w:szCs w:val="24"/>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80" w:type="dxa"/>
            <w:vAlign w:val="bottom"/>
            <w:gridSpan w:val="3"/>
          </w:tcPr>
          <w:p>
            <w:pPr>
              <w:jc w:val="right"/>
              <w:ind w:right="100"/>
              <w:spacing w:after="0"/>
              <w:rPr>
                <w:sz w:val="20"/>
                <w:szCs w:val="20"/>
                <w:color w:val="auto"/>
              </w:rPr>
            </w:pPr>
            <w:r>
              <w:rPr>
                <w:rFonts w:ascii="Arial" w:cs="Arial" w:eastAsia="Arial" w:hAnsi="Arial"/>
                <w:sz w:val="17"/>
                <w:szCs w:val="17"/>
                <w:color w:val="auto"/>
              </w:rPr>
              <w:t>7,564,732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right"/>
              <w:ind w:right="1300"/>
              <w:spacing w:after="0"/>
              <w:rPr>
                <w:sz w:val="20"/>
                <w:szCs w:val="20"/>
                <w:color w:val="auto"/>
              </w:rPr>
            </w:pPr>
            <w:r>
              <w:rPr>
                <w:rFonts w:ascii="Arial" w:cs="Arial" w:eastAsia="Arial" w:hAnsi="Arial"/>
                <w:sz w:val="13"/>
                <w:szCs w:val="13"/>
                <w:b w:val="1"/>
                <w:bCs w:val="1"/>
                <w:color w:val="auto"/>
              </w:rPr>
              <w:t>April 2, 2006</w:t>
            </w: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62"/>
              <w:spacing w:after="0" w:line="129" w:lineRule="exact"/>
              <w:rPr>
                <w:sz w:val="20"/>
                <w:szCs w:val="20"/>
                <w:color w:val="auto"/>
              </w:rPr>
            </w:pPr>
            <w:r>
              <w:rPr>
                <w:rFonts w:ascii="Arial" w:cs="Arial" w:eastAsia="Arial" w:hAnsi="Arial"/>
                <w:sz w:val="13"/>
                <w:szCs w:val="13"/>
                <w:b w:val="1"/>
                <w:bCs w:val="1"/>
                <w:color w:val="auto"/>
                <w:w w:val="90"/>
              </w:rPr>
              <w:t>Gross</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2"/>
          </w:tcPr>
          <w:p>
            <w:pPr>
              <w:jc w:val="center"/>
              <w:ind w:right="500"/>
              <w:spacing w:after="0" w:line="129" w:lineRule="exact"/>
              <w:rPr>
                <w:sz w:val="20"/>
                <w:szCs w:val="20"/>
                <w:color w:val="auto"/>
              </w:rPr>
            </w:pPr>
            <w:r>
              <w:rPr>
                <w:rFonts w:ascii="Arial" w:cs="Arial" w:eastAsia="Arial" w:hAnsi="Arial"/>
                <w:sz w:val="13"/>
                <w:szCs w:val="13"/>
                <w:b w:val="1"/>
                <w:bCs w:val="1"/>
                <w:color w:val="auto"/>
                <w:w w:val="85"/>
              </w:rPr>
              <w:t>Gross</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78"/>
              <w:spacing w:after="0" w:line="148" w:lineRule="exact"/>
              <w:rPr>
                <w:sz w:val="20"/>
                <w:szCs w:val="20"/>
                <w:color w:val="auto"/>
              </w:rPr>
            </w:pPr>
            <w:r>
              <w:rPr>
                <w:rFonts w:ascii="Arial" w:cs="Arial" w:eastAsia="Arial" w:hAnsi="Arial"/>
                <w:sz w:val="13"/>
                <w:szCs w:val="13"/>
                <w:b w:val="1"/>
                <w:bCs w:val="1"/>
                <w:color w:val="auto"/>
                <w:w w:val="94"/>
              </w:rPr>
              <w:t>Amortized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ind w:left="120"/>
              <w:spacing w:after="0" w:line="148"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tcPr>
          <w:p>
            <w:pPr>
              <w:jc w:val="center"/>
              <w:ind w:right="520"/>
              <w:spacing w:after="0" w:line="148" w:lineRule="exact"/>
              <w:rPr>
                <w:sz w:val="20"/>
                <w:szCs w:val="20"/>
                <w:color w:val="auto"/>
              </w:rPr>
            </w:pPr>
            <w:r>
              <w:rPr>
                <w:rFonts w:ascii="Arial" w:cs="Arial" w:eastAsia="Arial" w:hAnsi="Arial"/>
                <w:sz w:val="13"/>
                <w:szCs w:val="13"/>
                <w:b w:val="1"/>
                <w:bCs w:val="1"/>
                <w:color w:val="auto"/>
                <w:w w:val="94"/>
              </w:rPr>
              <w:t>Unrealized</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gridSpan w:val="4"/>
          </w:tcPr>
          <w:p>
            <w:pPr>
              <w:jc w:val="center"/>
              <w:ind w:right="700"/>
              <w:spacing w:after="0" w:line="148"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58"/>
              <w:spacing w:after="0"/>
              <w:rPr>
                <w:sz w:val="20"/>
                <w:szCs w:val="20"/>
                <w:color w:val="auto"/>
              </w:rPr>
            </w:pPr>
            <w:r>
              <w:rPr>
                <w:rFonts w:ascii="Arial" w:cs="Arial" w:eastAsia="Arial" w:hAnsi="Arial"/>
                <w:sz w:val="13"/>
                <w:szCs w:val="13"/>
                <w:b w:val="1"/>
                <w:bCs w:val="1"/>
                <w:color w:val="auto"/>
                <w:w w:val="89"/>
              </w:rPr>
              <w:t>Cost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62"/>
              <w:spacing w:after="0"/>
              <w:rPr>
                <w:sz w:val="20"/>
                <w:szCs w:val="20"/>
                <w:color w:val="auto"/>
              </w:rPr>
            </w:pPr>
            <w:r>
              <w:rPr>
                <w:rFonts w:ascii="Arial" w:cs="Arial" w:eastAsia="Arial" w:hAnsi="Arial"/>
                <w:sz w:val="13"/>
                <w:szCs w:val="13"/>
                <w:b w:val="1"/>
                <w:bCs w:val="1"/>
                <w:color w:val="auto"/>
                <w:w w:val="93"/>
              </w:rPr>
              <w:t>Gains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0"/>
              </w:rPr>
              <w:t>Losses</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gridSpan w:val="4"/>
          </w:tcPr>
          <w:p>
            <w:pPr>
              <w:jc w:val="center"/>
              <w:ind w:right="70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436"/>
        </w:trPr>
        <w:tc>
          <w:tcPr>
            <w:tcW w:w="3480" w:type="dxa"/>
            <w:vAlign w:val="bottom"/>
          </w:tcPr>
          <w:p>
            <w:pPr>
              <w:spacing w:after="0"/>
              <w:rPr>
                <w:sz w:val="20"/>
                <w:szCs w:val="20"/>
                <w:color w:val="auto"/>
              </w:rPr>
            </w:pPr>
            <w:r>
              <w:rPr>
                <w:rFonts w:ascii="Arial" w:cs="Arial" w:eastAsia="Arial" w:hAnsi="Arial"/>
                <w:sz w:val="17"/>
                <w:szCs w:val="17"/>
                <w:color w:val="auto"/>
              </w:rPr>
              <w:t>Fixed Income Securities:</w:t>
            </w: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80" w:type="dxa"/>
            <w:vAlign w:val="bottom"/>
            <w:shd w:val="clear" w:color="auto" w:fill="D6F3E8"/>
          </w:tcPr>
          <w:p>
            <w:pPr>
              <w:ind w:left="320"/>
              <w:spacing w:after="0"/>
              <w:rPr>
                <w:sz w:val="20"/>
                <w:szCs w:val="20"/>
                <w:color w:val="auto"/>
              </w:rPr>
            </w:pPr>
            <w:r>
              <w:rPr>
                <w:rFonts w:ascii="Arial" w:cs="Arial" w:eastAsia="Arial" w:hAnsi="Arial"/>
                <w:sz w:val="17"/>
                <w:szCs w:val="17"/>
                <w:color w:val="auto"/>
              </w:rPr>
              <w:t>U.S. Corporate Securities</w:t>
            </w:r>
          </w:p>
        </w:tc>
        <w:tc>
          <w:tcPr>
            <w:tcW w:w="220" w:type="dxa"/>
            <w:vAlign w:val="bottom"/>
            <w:shd w:val="clear" w:color="auto" w:fill="D6F3E8"/>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7"/>
                <w:szCs w:val="17"/>
                <w:color w:val="auto"/>
              </w:rPr>
              <w:t>7,172,034</w:t>
            </w:r>
          </w:p>
        </w:tc>
        <w:tc>
          <w:tcPr>
            <w:tcW w:w="420" w:type="dxa"/>
            <w:vAlign w:val="bottom"/>
            <w:gridSpan w:val="2"/>
            <w:shd w:val="clear" w:color="auto" w:fill="D6F3E8"/>
          </w:tcPr>
          <w:p>
            <w:pPr>
              <w:jc w:val="right"/>
              <w:ind w:right="53"/>
              <w:spacing w:after="0"/>
              <w:rPr>
                <w:sz w:val="20"/>
                <w:szCs w:val="20"/>
                <w:color w:val="auto"/>
              </w:rPr>
            </w:pPr>
            <w:r>
              <w:rPr>
                <w:rFonts w:ascii="Arial" w:cs="Arial" w:eastAsia="Arial" w:hAnsi="Arial"/>
                <w:sz w:val="17"/>
                <w:szCs w:val="17"/>
                <w:color w:val="auto"/>
              </w:rPr>
              <w:t>$</w:t>
            </w:r>
          </w:p>
        </w:tc>
        <w:tc>
          <w:tcPr>
            <w:tcW w:w="1140" w:type="dxa"/>
            <w:vAlign w:val="bottom"/>
            <w:shd w:val="clear" w:color="auto" w:fill="D6F3E8"/>
          </w:tcPr>
          <w:p>
            <w:pPr>
              <w:ind w:left="960"/>
              <w:spacing w:after="0"/>
              <w:rPr>
                <w:sz w:val="20"/>
                <w:szCs w:val="20"/>
                <w:color w:val="auto"/>
              </w:rPr>
            </w:pPr>
            <w:r>
              <w:rPr>
                <w:rFonts w:ascii="Arial" w:cs="Arial" w:eastAsia="Arial" w:hAnsi="Arial"/>
                <w:sz w:val="17"/>
                <w:szCs w:val="17"/>
                <w:color w:val="auto"/>
                <w:w w:val="82"/>
              </w:rPr>
              <w:t>—</w:t>
            </w:r>
          </w:p>
        </w:tc>
        <w:tc>
          <w:tcPr>
            <w:tcW w:w="480" w:type="dxa"/>
            <w:vAlign w:val="bottom"/>
            <w:tcBorders>
              <w:left w:val="single" w:sz="8" w:color="D6F3E8"/>
            </w:tcBorders>
            <w:gridSpan w:val="3"/>
            <w:shd w:val="clear" w:color="auto" w:fill="D6F3E8"/>
          </w:tcPr>
          <w:p>
            <w:pPr>
              <w:jc w:val="right"/>
              <w:ind w:right="113"/>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D6F3E8"/>
          </w:tcPr>
          <w:p>
            <w:pPr>
              <w:jc w:val="right"/>
              <w:ind w:right="160"/>
              <w:spacing w:after="0"/>
              <w:rPr>
                <w:sz w:val="20"/>
                <w:szCs w:val="20"/>
                <w:color w:val="auto"/>
              </w:rPr>
            </w:pPr>
            <w:r>
              <w:rPr>
                <w:rFonts w:ascii="Arial" w:cs="Arial" w:eastAsia="Arial" w:hAnsi="Arial"/>
                <w:sz w:val="17"/>
                <w:szCs w:val="17"/>
                <w:color w:val="auto"/>
              </w:rPr>
              <w:t>(156,856)</w:t>
            </w:r>
          </w:p>
        </w:tc>
        <w:tc>
          <w:tcPr>
            <w:tcW w:w="380" w:type="dxa"/>
            <w:vAlign w:val="bottom"/>
            <w:gridSpan w:val="2"/>
            <w:shd w:val="clear" w:color="auto" w:fill="D6F3E8"/>
          </w:tcPr>
          <w:p>
            <w:pPr>
              <w:jc w:val="right"/>
              <w:ind w:right="30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D6F3E8"/>
          </w:tcPr>
          <w:p>
            <w:pPr>
              <w:jc w:val="right"/>
              <w:spacing w:after="0"/>
              <w:rPr>
                <w:sz w:val="20"/>
                <w:szCs w:val="20"/>
                <w:color w:val="auto"/>
              </w:rPr>
            </w:pPr>
            <w:r>
              <w:rPr>
                <w:rFonts w:ascii="Arial" w:cs="Arial" w:eastAsia="Arial" w:hAnsi="Arial"/>
                <w:sz w:val="17"/>
                <w:szCs w:val="17"/>
                <w:color w:val="auto"/>
              </w:rPr>
              <w:t>7,015,178</w:t>
            </w:r>
          </w:p>
        </w:tc>
        <w:tc>
          <w:tcPr>
            <w:tcW w:w="10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480" w:type="dxa"/>
            <w:vAlign w:val="bottom"/>
          </w:tcPr>
          <w:p>
            <w:pPr>
              <w:ind w:left="320"/>
              <w:spacing w:after="0"/>
              <w:rPr>
                <w:sz w:val="20"/>
                <w:szCs w:val="20"/>
                <w:color w:val="auto"/>
              </w:rPr>
            </w:pPr>
            <w:r>
              <w:rPr>
                <w:rFonts w:ascii="Arial" w:cs="Arial" w:eastAsia="Arial" w:hAnsi="Arial"/>
                <w:sz w:val="17"/>
                <w:szCs w:val="17"/>
                <w:color w:val="auto"/>
              </w:rPr>
              <w:t>U.S. Government Agency Securities</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1,524,431</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ind w:left="960"/>
              <w:spacing w:after="0"/>
              <w:rPr>
                <w:sz w:val="20"/>
                <w:szCs w:val="20"/>
                <w:color w:val="auto"/>
              </w:rPr>
            </w:pPr>
            <w:r>
              <w:rPr>
                <w:rFonts w:ascii="Arial" w:cs="Arial" w:eastAsia="Arial" w:hAnsi="Arial"/>
                <w:sz w:val="17"/>
                <w:szCs w:val="17"/>
                <w:color w:val="auto"/>
                <w:w w:val="82"/>
              </w:rPr>
              <w: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(49,398)</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1,475,033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4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480" w:type="dxa"/>
            <w:vAlign w:val="bottom"/>
            <w:shd w:val="clear" w:color="auto" w:fill="D6F3E8"/>
          </w:tcPr>
          <w:p>
            <w:pPr>
              <w:spacing w:after="0"/>
              <w:rPr>
                <w:sz w:val="20"/>
                <w:szCs w:val="20"/>
                <w:color w:val="auto"/>
              </w:rPr>
            </w:pPr>
            <w:r>
              <w:rPr>
                <w:rFonts w:ascii="Arial" w:cs="Arial" w:eastAsia="Arial" w:hAnsi="Arial"/>
                <w:sz w:val="17"/>
                <w:szCs w:val="17"/>
                <w:color w:val="auto"/>
              </w:rPr>
              <w:t>Total Fixed Income Securities</w:t>
            </w:r>
          </w:p>
        </w:tc>
        <w:tc>
          <w:tcPr>
            <w:tcW w:w="220" w:type="dxa"/>
            <w:vAlign w:val="bottom"/>
            <w:shd w:val="clear" w:color="auto" w:fill="D6F3E8"/>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7"/>
                <w:szCs w:val="17"/>
                <w:color w:val="auto"/>
              </w:rPr>
              <w:t>8,696,465</w:t>
            </w:r>
          </w:p>
        </w:tc>
        <w:tc>
          <w:tcPr>
            <w:tcW w:w="420" w:type="dxa"/>
            <w:vAlign w:val="bottom"/>
            <w:gridSpan w:val="2"/>
            <w:shd w:val="clear" w:color="auto" w:fill="D6F3E8"/>
          </w:tcPr>
          <w:p>
            <w:pPr>
              <w:jc w:val="right"/>
              <w:ind w:right="53"/>
              <w:spacing w:after="0"/>
              <w:rPr>
                <w:sz w:val="20"/>
                <w:szCs w:val="20"/>
                <w:color w:val="auto"/>
              </w:rPr>
            </w:pPr>
            <w:r>
              <w:rPr>
                <w:rFonts w:ascii="Arial" w:cs="Arial" w:eastAsia="Arial" w:hAnsi="Arial"/>
                <w:sz w:val="17"/>
                <w:szCs w:val="17"/>
                <w:color w:val="auto"/>
              </w:rPr>
              <w:t>$</w:t>
            </w:r>
          </w:p>
        </w:tc>
        <w:tc>
          <w:tcPr>
            <w:tcW w:w="1140" w:type="dxa"/>
            <w:vAlign w:val="bottom"/>
            <w:shd w:val="clear" w:color="auto" w:fill="D6F3E8"/>
          </w:tcPr>
          <w:p>
            <w:pPr>
              <w:ind w:left="960"/>
              <w:spacing w:after="0"/>
              <w:rPr>
                <w:sz w:val="20"/>
                <w:szCs w:val="20"/>
                <w:color w:val="auto"/>
              </w:rPr>
            </w:pPr>
            <w:r>
              <w:rPr>
                <w:rFonts w:ascii="Arial" w:cs="Arial" w:eastAsia="Arial" w:hAnsi="Arial"/>
                <w:sz w:val="17"/>
                <w:szCs w:val="17"/>
                <w:color w:val="auto"/>
                <w:w w:val="82"/>
              </w:rPr>
              <w:t>—</w:t>
            </w:r>
          </w:p>
        </w:tc>
        <w:tc>
          <w:tcPr>
            <w:tcW w:w="480" w:type="dxa"/>
            <w:vAlign w:val="bottom"/>
            <w:tcBorders>
              <w:left w:val="single" w:sz="8" w:color="D6F3E8"/>
            </w:tcBorders>
            <w:gridSpan w:val="3"/>
            <w:shd w:val="clear" w:color="auto" w:fill="D6F3E8"/>
          </w:tcPr>
          <w:p>
            <w:pPr>
              <w:jc w:val="right"/>
              <w:ind w:right="113"/>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D6F3E8"/>
          </w:tcPr>
          <w:p>
            <w:pPr>
              <w:jc w:val="right"/>
              <w:ind w:right="160"/>
              <w:spacing w:after="0"/>
              <w:rPr>
                <w:sz w:val="20"/>
                <w:szCs w:val="20"/>
                <w:color w:val="auto"/>
              </w:rPr>
            </w:pPr>
            <w:r>
              <w:rPr>
                <w:rFonts w:ascii="Arial" w:cs="Arial" w:eastAsia="Arial" w:hAnsi="Arial"/>
                <w:sz w:val="17"/>
                <w:szCs w:val="17"/>
                <w:color w:val="auto"/>
              </w:rPr>
              <w:t>(206,254)</w:t>
            </w:r>
          </w:p>
        </w:tc>
        <w:tc>
          <w:tcPr>
            <w:tcW w:w="380" w:type="dxa"/>
            <w:vAlign w:val="bottom"/>
            <w:gridSpan w:val="2"/>
            <w:shd w:val="clear" w:color="auto" w:fill="D6F3E8"/>
          </w:tcPr>
          <w:p>
            <w:pPr>
              <w:jc w:val="right"/>
              <w:ind w:right="300"/>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8,490,211</w:t>
            </w:r>
          </w:p>
        </w:tc>
        <w:tc>
          <w:tcPr>
            <w:tcW w:w="100" w:type="dxa"/>
            <w:vAlign w:val="bottom"/>
            <w:shd w:val="clear" w:color="auto" w:fill="D6F3E8"/>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7"/>
                <w:szCs w:val="17"/>
                <w:color w:val="auto"/>
              </w:rPr>
              <w:t>Marketable Equity Securities –</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480" w:type="dxa"/>
            <w:vAlign w:val="bottom"/>
            <w:shd w:val="clear" w:color="auto" w:fill="D6F3E8"/>
          </w:tcPr>
          <w:p>
            <w:pPr>
              <w:ind w:left="320"/>
              <w:spacing w:after="0"/>
              <w:rPr>
                <w:sz w:val="20"/>
                <w:szCs w:val="20"/>
                <w:color w:val="auto"/>
              </w:rPr>
            </w:pPr>
            <w:r>
              <w:rPr>
                <w:rFonts w:ascii="Arial" w:cs="Arial" w:eastAsia="Arial" w:hAnsi="Arial"/>
                <w:sz w:val="17"/>
                <w:szCs w:val="17"/>
                <w:color w:val="auto"/>
              </w:rPr>
              <w:t>Mutual Fund – Short-term Bond Fund</w:t>
            </w:r>
          </w:p>
        </w:tc>
        <w:tc>
          <w:tcPr>
            <w:tcW w:w="220" w:type="dxa"/>
            <w:vAlign w:val="bottom"/>
            <w:shd w:val="clear" w:color="auto" w:fill="D6F3E8"/>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7"/>
                <w:szCs w:val="17"/>
                <w:color w:val="auto"/>
              </w:rPr>
              <w:t>7,518,838</w:t>
            </w:r>
          </w:p>
        </w:tc>
        <w:tc>
          <w:tcPr>
            <w:tcW w:w="420" w:type="dxa"/>
            <w:vAlign w:val="bottom"/>
            <w:gridSpan w:val="2"/>
            <w:shd w:val="clear" w:color="auto" w:fill="D6F3E8"/>
          </w:tcPr>
          <w:p>
            <w:pPr>
              <w:jc w:val="right"/>
              <w:ind w:right="53"/>
              <w:spacing w:after="0"/>
              <w:rPr>
                <w:sz w:val="20"/>
                <w:szCs w:val="20"/>
                <w:color w:val="auto"/>
              </w:rPr>
            </w:pPr>
            <w:r>
              <w:rPr>
                <w:rFonts w:ascii="Arial" w:cs="Arial" w:eastAsia="Arial" w:hAnsi="Arial"/>
                <w:sz w:val="17"/>
                <w:szCs w:val="17"/>
                <w:color w:val="auto"/>
              </w:rPr>
              <w:t>$</w:t>
            </w:r>
          </w:p>
        </w:tc>
        <w:tc>
          <w:tcPr>
            <w:tcW w:w="1140" w:type="dxa"/>
            <w:vAlign w:val="bottom"/>
            <w:shd w:val="clear" w:color="auto" w:fill="D6F3E8"/>
          </w:tcPr>
          <w:p>
            <w:pPr>
              <w:ind w:left="960"/>
              <w:spacing w:after="0"/>
              <w:rPr>
                <w:sz w:val="20"/>
                <w:szCs w:val="20"/>
                <w:color w:val="auto"/>
              </w:rPr>
            </w:pPr>
            <w:r>
              <w:rPr>
                <w:rFonts w:ascii="Arial" w:cs="Arial" w:eastAsia="Arial" w:hAnsi="Arial"/>
                <w:sz w:val="17"/>
                <w:szCs w:val="17"/>
                <w:color w:val="auto"/>
                <w:w w:val="82"/>
              </w:rPr>
              <w:t>—</w:t>
            </w:r>
          </w:p>
        </w:tc>
        <w:tc>
          <w:tcPr>
            <w:tcW w:w="480" w:type="dxa"/>
            <w:vAlign w:val="bottom"/>
            <w:tcBorders>
              <w:left w:val="single" w:sz="8" w:color="D6F3E8"/>
            </w:tcBorders>
            <w:gridSpan w:val="3"/>
            <w:shd w:val="clear" w:color="auto" w:fill="D6F3E8"/>
          </w:tcPr>
          <w:p>
            <w:pPr>
              <w:jc w:val="right"/>
              <w:ind w:right="113"/>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D6F3E8"/>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D6F3E8"/>
          </w:tcPr>
          <w:p>
            <w:pPr>
              <w:jc w:val="right"/>
              <w:ind w:right="30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D6F3E8"/>
          </w:tcPr>
          <w:p>
            <w:pPr>
              <w:jc w:val="right"/>
              <w:spacing w:after="0"/>
              <w:rPr>
                <w:sz w:val="20"/>
                <w:szCs w:val="20"/>
                <w:color w:val="auto"/>
              </w:rPr>
            </w:pPr>
            <w:r>
              <w:rPr>
                <w:rFonts w:ascii="Arial" w:cs="Arial" w:eastAsia="Arial" w:hAnsi="Arial"/>
                <w:sz w:val="17"/>
                <w:szCs w:val="17"/>
                <w:color w:val="auto"/>
              </w:rPr>
              <w:t>7,518,838</w:t>
            </w:r>
          </w:p>
        </w:tc>
        <w:tc>
          <w:tcPr>
            <w:tcW w:w="10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480" w:type="dxa"/>
            <w:vAlign w:val="bottom"/>
          </w:tcPr>
          <w:p>
            <w:pPr>
              <w:spacing w:after="0"/>
              <w:rPr>
                <w:sz w:val="20"/>
                <w:szCs w:val="20"/>
                <w:color w:val="auto"/>
              </w:rPr>
            </w:pPr>
            <w:r>
              <w:rPr>
                <w:rFonts w:ascii="Arial" w:cs="Arial" w:eastAsia="Arial" w:hAnsi="Arial"/>
                <w:sz w:val="17"/>
                <w:szCs w:val="17"/>
                <w:color w:val="auto"/>
              </w:rPr>
              <w:t>Total Equity Securities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7,518,838</w:t>
            </w:r>
          </w:p>
        </w:tc>
        <w:tc>
          <w:tcPr>
            <w:tcW w:w="42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1140" w:type="dxa"/>
            <w:vAlign w:val="bottom"/>
          </w:tcPr>
          <w:p>
            <w:pPr>
              <w:ind w:left="960"/>
              <w:spacing w:after="0"/>
              <w:rPr>
                <w:sz w:val="20"/>
                <w:szCs w:val="20"/>
                <w:color w:val="auto"/>
              </w:rPr>
            </w:pPr>
            <w:r>
              <w:rPr>
                <w:rFonts w:ascii="Arial" w:cs="Arial" w:eastAsia="Arial" w:hAnsi="Arial"/>
                <w:sz w:val="17"/>
                <w:szCs w:val="17"/>
                <w:color w:val="auto"/>
                <w:w w:val="82"/>
              </w:rPr>
              <w:t>—</w:t>
            </w:r>
          </w:p>
        </w:tc>
        <w:tc>
          <w:tcPr>
            <w:tcW w:w="480" w:type="dxa"/>
            <w:vAlign w:val="bottom"/>
            <w:gridSpan w:val="3"/>
          </w:tcPr>
          <w:p>
            <w:pPr>
              <w:jc w:val="right"/>
              <w:ind w:right="113"/>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30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7,518,838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ind w:right="-11"/>
        <w:spacing w:after="0"/>
        <w:rPr>
          <w:sz w:val="20"/>
          <w:szCs w:val="20"/>
          <w:color w:val="auto"/>
        </w:rPr>
      </w:pPr>
      <w:r>
        <w:rPr>
          <w:rFonts w:ascii="Arial" w:cs="Arial" w:eastAsia="Arial" w:hAnsi="Arial"/>
          <w:sz w:val="17"/>
          <w:szCs w:val="17"/>
          <w:i w:val="1"/>
          <w:iCs w:val="1"/>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237490</wp:posOffset>
            </wp:positionV>
            <wp:extent cx="725106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52"/>
        <w:spacing w:after="0" w:line="312" w:lineRule="auto"/>
        <w:rPr>
          <w:sz w:val="20"/>
          <w:szCs w:val="20"/>
          <w:color w:val="auto"/>
        </w:rPr>
      </w:pPr>
      <w:r>
        <w:rPr>
          <w:rFonts w:ascii="Arial" w:cs="Arial" w:eastAsia="Arial" w:hAnsi="Arial"/>
          <w:sz w:val="15"/>
          <w:szCs w:val="15"/>
          <w:color w:val="auto"/>
        </w:rPr>
        <w:t>Additionally, the Company’s available-for-sale investments include investment contracts with highly rated, stable insurance companies of $3,562,073 and $3,451,339 as of April 1, 2007 and April 2, 2006, respectively with fair values that approximate amortized cost. Proceeds from the sale of investments were $3,293,320, $4,822,151, and $11,201,957 for the fiscal years ended April 1, 2007, April 2, 2006 and April 3, 2005, respectively. The Company recorded losses of $30,595 and $280,699 during the fiscal years ended April 1, 2007 and April 2, 2006 respectively, due to declines in the fair value of a mutual fund that was deemed other than temporary. The mutual fund held as of April 1, 2007 is a short-term bond fund that invests primarily in investment grade securities. Realized gains and losses were not material for the fiscal years ended April 1, 2007, April 2, 2006, and April 3, 2005.</w:t>
      </w:r>
    </w:p>
    <w:p>
      <w:pPr>
        <w:sectPr>
          <w:pgSz w:w="11900" w:h="16838" w:orient="portrait"/>
          <w:cols w:equalWidth="0" w:num="1">
            <w:col w:w="11392"/>
          </w:cols>
          <w:pgMar w:left="248" w:top="131" w:right="259" w:bottom="0" w:gutter="0" w:footer="0" w:header="0"/>
        </w:sectPr>
      </w:pPr>
    </w:p>
    <w:bookmarkStart w:id="19" w:name="page20"/>
    <w:bookmarkEnd w:id="19"/>
    <w:p>
      <w:pPr>
        <w:ind w:left="752" w:right="560"/>
        <w:spacing w:after="0" w:line="296" w:lineRule="auto"/>
        <w:rPr>
          <w:sz w:val="20"/>
          <w:szCs w:val="20"/>
          <w:color w:val="auto"/>
        </w:rPr>
      </w:pPr>
      <w:r>
        <w:rPr>
          <w:rFonts w:ascii="Arial" w:cs="Arial" w:eastAsia="Arial" w:hAnsi="Arial"/>
          <w:sz w:val="17"/>
          <w:szCs w:val="17"/>
          <w:color w:val="auto"/>
        </w:rPr>
        <w:t>The following table provides the gross unrealized losses and fair value, aggregated by investment category, and the length of time the individual securities have been in a continuous unrealized loss position at April 1, 2007 and April 2, 2006:</w:t>
      </w:r>
    </w:p>
    <w:p>
      <w:pPr>
        <w:spacing w:after="0" w:line="186" w:lineRule="exact"/>
        <w:rPr>
          <w:sz w:val="20"/>
          <w:szCs w:val="20"/>
          <w:color w:val="auto"/>
        </w:rPr>
      </w:pPr>
    </w:p>
    <w:tbl>
      <w:tblPr>
        <w:tblLayout w:type="fixed"/>
        <w:tblInd w:w="972"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440"/>
              <w:spacing w:after="0"/>
              <w:rPr>
                <w:sz w:val="20"/>
                <w:szCs w:val="20"/>
                <w:color w:val="auto"/>
              </w:rPr>
            </w:pPr>
            <w:r>
              <w:rPr>
                <w:rFonts w:ascii="Arial" w:cs="Arial" w:eastAsia="Arial" w:hAnsi="Arial"/>
                <w:sz w:val="13"/>
                <w:szCs w:val="13"/>
                <w:b w:val="1"/>
                <w:bCs w:val="1"/>
                <w:color w:val="auto"/>
                <w:w w:val="96"/>
              </w:rPr>
              <w:t>April 1, 2007</w:t>
            </w: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80" w:type="dxa"/>
            <w:vAlign w:val="bottom"/>
            <w:gridSpan w:val="5"/>
          </w:tcPr>
          <w:p>
            <w:pPr>
              <w:jc w:val="right"/>
              <w:ind w:right="700"/>
              <w:spacing w:after="0" w:line="129" w:lineRule="exact"/>
              <w:rPr>
                <w:sz w:val="20"/>
                <w:szCs w:val="20"/>
                <w:color w:val="auto"/>
              </w:rPr>
            </w:pPr>
            <w:r>
              <w:rPr>
                <w:rFonts w:ascii="Arial" w:cs="Arial" w:eastAsia="Arial" w:hAnsi="Arial"/>
                <w:sz w:val="13"/>
                <w:szCs w:val="13"/>
                <w:b w:val="1"/>
                <w:bCs w:val="1"/>
                <w:color w:val="auto"/>
              </w:rPr>
              <w:t>Equal to or Greater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rPr>
              <w:t>Less Than 12 Months</w:t>
            </w:r>
          </w:p>
        </w:tc>
        <w:tc>
          <w:tcPr>
            <w:tcW w:w="240" w:type="dxa"/>
            <w:vAlign w:val="bottom"/>
          </w:tcPr>
          <w:p>
            <w:pPr>
              <w:spacing w:after="0"/>
              <w:rPr>
                <w:sz w:val="13"/>
                <w:szCs w:val="13"/>
                <w:color w:val="auto"/>
              </w:rPr>
            </w:pPr>
          </w:p>
        </w:tc>
        <w:tc>
          <w:tcPr>
            <w:tcW w:w="2180" w:type="dxa"/>
            <w:vAlign w:val="bottom"/>
            <w:gridSpan w:val="5"/>
          </w:tcPr>
          <w:p>
            <w:pPr>
              <w:ind w:left="440"/>
              <w:spacing w:after="0"/>
              <w:rPr>
                <w:sz w:val="20"/>
                <w:szCs w:val="20"/>
                <w:color w:val="auto"/>
              </w:rPr>
            </w:pPr>
            <w:r>
              <w:rPr>
                <w:rFonts w:ascii="Arial" w:cs="Arial" w:eastAsia="Arial" w:hAnsi="Arial"/>
                <w:sz w:val="13"/>
                <w:szCs w:val="13"/>
                <w:b w:val="1"/>
                <w:bCs w:val="1"/>
                <w:color w:val="auto"/>
              </w:rPr>
              <w:t>Than 12 Months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15"/>
        </w:trPr>
        <w:tc>
          <w:tcPr>
            <w:tcW w:w="32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420"/>
              <w:spacing w:after="0" w:line="148"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4"/>
              </w:rPr>
              <w:t>Unrealized</w:t>
            </w:r>
          </w:p>
        </w:tc>
        <w:tc>
          <w:tcPr>
            <w:tcW w:w="240" w:type="dxa"/>
            <w:vAlign w:val="bottom"/>
          </w:tcPr>
          <w:p>
            <w:pPr>
              <w:spacing w:after="0"/>
              <w:rPr>
                <w:sz w:val="12"/>
                <w:szCs w:val="12"/>
                <w:color w:val="auto"/>
              </w:rPr>
            </w:pPr>
          </w:p>
        </w:tc>
        <w:tc>
          <w:tcPr>
            <w:tcW w:w="1040" w:type="dxa"/>
            <w:vAlign w:val="bottom"/>
            <w:gridSpan w:val="2"/>
          </w:tcPr>
          <w:p>
            <w:pPr>
              <w:jc w:val="center"/>
              <w:ind w:right="440"/>
              <w:spacing w:after="0" w:line="148"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94"/>
              </w:rPr>
              <w:t>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38"/>
              <w:spacing w:after="0" w:line="148" w:lineRule="exact"/>
              <w:rPr>
                <w:sz w:val="20"/>
                <w:szCs w:val="20"/>
                <w:color w:val="auto"/>
              </w:rPr>
            </w:pPr>
            <w:r>
              <w:rPr>
                <w:rFonts w:ascii="Arial" w:cs="Arial" w:eastAsia="Arial" w:hAnsi="Arial"/>
                <w:sz w:val="13"/>
                <w:szCs w:val="13"/>
                <w:b w:val="1"/>
                <w:bCs w:val="1"/>
                <w:color w:val="auto"/>
                <w:w w:val="89"/>
              </w:rPr>
              <w:t>Total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97"/>
              </w:rPr>
              <w:t>Unrealized</w:t>
            </w: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0"/>
              </w:rPr>
              <w:t>Losses</w:t>
            </w:r>
          </w:p>
        </w:tc>
        <w:tc>
          <w:tcPr>
            <w:tcW w:w="240" w:type="dxa"/>
            <w:vAlign w:val="bottom"/>
          </w:tcPr>
          <w:p>
            <w:pPr>
              <w:spacing w:after="0"/>
              <w:rPr>
                <w:sz w:val="13"/>
                <w:szCs w:val="13"/>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2"/>
              </w:rPr>
              <w:t>Value</w:t>
            </w:r>
          </w:p>
        </w:tc>
        <w:tc>
          <w:tcPr>
            <w:tcW w:w="16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0"/>
              </w:rPr>
              <w:t>Losses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38"/>
              <w:spacing w:after="0"/>
              <w:rPr>
                <w:sz w:val="20"/>
                <w:szCs w:val="20"/>
                <w:color w:val="auto"/>
              </w:rPr>
            </w:pPr>
            <w:r>
              <w:rPr>
                <w:rFonts w:ascii="Arial" w:cs="Arial" w:eastAsia="Arial" w:hAnsi="Arial"/>
                <w:sz w:val="13"/>
                <w:szCs w:val="13"/>
                <w:b w:val="1"/>
                <w:bCs w:val="1"/>
                <w:color w:val="auto"/>
                <w:w w:val="96"/>
              </w:rPr>
              <w:t>Fair Value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0"/>
              </w:rPr>
              <w:t>Losses</w:t>
            </w:r>
          </w:p>
        </w:tc>
        <w:tc>
          <w:tcPr>
            <w:tcW w:w="0" w:type="dxa"/>
            <w:vAlign w:val="bottom"/>
          </w:tcPr>
          <w:p>
            <w:pPr>
              <w:spacing w:after="0"/>
              <w:rPr>
                <w:sz w:val="1"/>
                <w:szCs w:val="1"/>
                <w:color w:val="auto"/>
              </w:rPr>
            </w:pPr>
          </w:p>
        </w:tc>
      </w:tr>
      <w:tr>
        <w:trPr>
          <w:trHeight w:val="436"/>
        </w:trPr>
        <w:tc>
          <w:tcPr>
            <w:tcW w:w="3280" w:type="dxa"/>
            <w:vAlign w:val="bottom"/>
          </w:tcPr>
          <w:p>
            <w:pPr>
              <w:spacing w:after="0"/>
              <w:rPr>
                <w:sz w:val="20"/>
                <w:szCs w:val="20"/>
                <w:color w:val="auto"/>
              </w:rPr>
            </w:pPr>
            <w:r>
              <w:rPr>
                <w:rFonts w:ascii="Arial" w:cs="Arial" w:eastAsia="Arial" w:hAnsi="Arial"/>
                <w:sz w:val="17"/>
                <w:szCs w:val="17"/>
                <w:color w:val="auto"/>
              </w:rPr>
              <w:t>Fixed Income Securities:</w:t>
            </w: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80" w:type="dxa"/>
            <w:vAlign w:val="bottom"/>
            <w:shd w:val="clear" w:color="auto" w:fill="D6F3E8"/>
          </w:tcPr>
          <w:p>
            <w:pPr>
              <w:ind w:left="320"/>
              <w:spacing w:after="0"/>
              <w:rPr>
                <w:sz w:val="20"/>
                <w:szCs w:val="20"/>
                <w:color w:val="auto"/>
              </w:rPr>
            </w:pPr>
            <w:r>
              <w:rPr>
                <w:rFonts w:ascii="Arial" w:cs="Arial" w:eastAsia="Arial" w:hAnsi="Arial"/>
                <w:sz w:val="17"/>
                <w:szCs w:val="17"/>
                <w:color w:val="auto"/>
              </w:rPr>
              <w:t>U.S. Corporate Securities</w:t>
            </w:r>
          </w:p>
        </w:tc>
        <w:tc>
          <w:tcPr>
            <w:tcW w:w="240" w:type="dxa"/>
            <w:vAlign w:val="bottom"/>
            <w:shd w:val="clear" w:color="auto" w:fill="D6F3E8"/>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D6F3E8"/>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D6F3E8"/>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4,127,281</w:t>
            </w:r>
          </w:p>
        </w:tc>
        <w:tc>
          <w:tcPr>
            <w:tcW w:w="160" w:type="dxa"/>
            <w:vAlign w:val="bottom"/>
            <w:shd w:val="clear" w:color="auto" w:fill="D6F3E8"/>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D6F3E8"/>
          </w:tcPr>
          <w:p>
            <w:pPr>
              <w:jc w:val="right"/>
              <w:ind w:right="80"/>
              <w:spacing w:after="0"/>
              <w:rPr>
                <w:sz w:val="20"/>
                <w:szCs w:val="20"/>
                <w:color w:val="auto"/>
              </w:rPr>
            </w:pPr>
            <w:r>
              <w:rPr>
                <w:rFonts w:ascii="Arial" w:cs="Arial" w:eastAsia="Arial" w:hAnsi="Arial"/>
                <w:sz w:val="17"/>
                <w:szCs w:val="17"/>
                <w:color w:val="auto"/>
              </w:rPr>
              <w:t>(52,014)</w:t>
            </w:r>
          </w:p>
        </w:tc>
        <w:tc>
          <w:tcPr>
            <w:tcW w:w="200" w:type="dxa"/>
            <w:vAlign w:val="bottom"/>
            <w:gridSpan w:val="2"/>
            <w:shd w:val="clear" w:color="auto" w:fill="D6F3E8"/>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4,127,281</w:t>
            </w:r>
          </w:p>
        </w:tc>
        <w:tc>
          <w:tcPr>
            <w:tcW w:w="320" w:type="dxa"/>
            <w:vAlign w:val="bottom"/>
            <w:gridSpan w:val="2"/>
            <w:shd w:val="clear" w:color="auto" w:fill="D6F3E8"/>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D6F3E8"/>
          </w:tcPr>
          <w:p>
            <w:pPr>
              <w:jc w:val="right"/>
              <w:ind w:right="40"/>
              <w:spacing w:after="0"/>
              <w:rPr>
                <w:sz w:val="20"/>
                <w:szCs w:val="20"/>
                <w:color w:val="auto"/>
              </w:rPr>
            </w:pPr>
            <w:r>
              <w:rPr>
                <w:rFonts w:ascii="Arial" w:cs="Arial" w:eastAsia="Arial" w:hAnsi="Arial"/>
                <w:sz w:val="17"/>
                <w:szCs w:val="17"/>
                <w:color w:val="auto"/>
              </w:rPr>
              <w:t>(52,014)</w:t>
            </w:r>
          </w:p>
        </w:tc>
        <w:tc>
          <w:tcPr>
            <w:tcW w:w="0" w:type="dxa"/>
            <w:vAlign w:val="bottom"/>
          </w:tcPr>
          <w:p>
            <w:pPr>
              <w:spacing w:after="0"/>
              <w:rPr>
                <w:sz w:val="1"/>
                <w:szCs w:val="1"/>
                <w:color w:val="auto"/>
              </w:rPr>
            </w:pPr>
          </w:p>
        </w:tc>
      </w:tr>
      <w:tr>
        <w:trPr>
          <w:trHeight w:val="254"/>
        </w:trPr>
        <w:tc>
          <w:tcPr>
            <w:tcW w:w="3280" w:type="dxa"/>
            <w:vAlign w:val="bottom"/>
          </w:tcPr>
          <w:p>
            <w:pPr>
              <w:ind w:left="320"/>
              <w:spacing w:after="0"/>
              <w:rPr>
                <w:sz w:val="20"/>
                <w:szCs w:val="20"/>
                <w:color w:val="auto"/>
              </w:rPr>
            </w:pPr>
            <w:r>
              <w:rPr>
                <w:rFonts w:ascii="Arial" w:cs="Arial" w:eastAsia="Arial" w:hAnsi="Arial"/>
                <w:sz w:val="17"/>
                <w:szCs w:val="17"/>
                <w:color w:val="auto"/>
              </w:rPr>
              <w:t>U.S. Government Agency Securities</w:t>
            </w:r>
          </w:p>
        </w:tc>
        <w:tc>
          <w:tcPr>
            <w:tcW w:w="2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1,107,342</w:t>
            </w:r>
          </w:p>
        </w:tc>
        <w:tc>
          <w:tcPr>
            <w:tcW w:w="16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(29,743)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1,107,342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(29,743)</w:t>
            </w:r>
          </w:p>
        </w:tc>
        <w:tc>
          <w:tcPr>
            <w:tcW w:w="0" w:type="dxa"/>
            <w:vAlign w:val="bottom"/>
          </w:tcPr>
          <w:p>
            <w:pPr>
              <w:spacing w:after="0"/>
              <w:rPr>
                <w:sz w:val="1"/>
                <w:szCs w:val="1"/>
                <w:color w:val="auto"/>
              </w:rPr>
            </w:pPr>
          </w:p>
        </w:tc>
      </w:tr>
      <w:tr>
        <w:trPr>
          <w:trHeight w:val="190"/>
        </w:trPr>
        <w:tc>
          <w:tcPr>
            <w:tcW w:w="3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280" w:type="dxa"/>
            <w:vAlign w:val="bottom"/>
            <w:shd w:val="clear" w:color="auto" w:fill="D6F3E8"/>
          </w:tcPr>
          <w:p>
            <w:pPr>
              <w:spacing w:after="0"/>
              <w:rPr>
                <w:sz w:val="20"/>
                <w:szCs w:val="20"/>
                <w:color w:val="auto"/>
              </w:rPr>
            </w:pPr>
            <w:r>
              <w:rPr>
                <w:rFonts w:ascii="Arial" w:cs="Arial" w:eastAsia="Arial" w:hAnsi="Arial"/>
                <w:sz w:val="17"/>
                <w:szCs w:val="17"/>
                <w:color w:val="auto"/>
              </w:rPr>
              <w:t>Total Fixed Income Securities</w:t>
            </w:r>
          </w:p>
        </w:tc>
        <w:tc>
          <w:tcPr>
            <w:tcW w:w="240" w:type="dxa"/>
            <w:vAlign w:val="bottom"/>
            <w:shd w:val="clear" w:color="auto" w:fill="D6F3E8"/>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D6F3E8"/>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D6F3E8"/>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5,234,623</w:t>
            </w:r>
          </w:p>
        </w:tc>
        <w:tc>
          <w:tcPr>
            <w:tcW w:w="160" w:type="dxa"/>
            <w:vAlign w:val="bottom"/>
            <w:shd w:val="clear" w:color="auto" w:fill="D6F3E8"/>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D6F3E8"/>
          </w:tcPr>
          <w:p>
            <w:pPr>
              <w:jc w:val="right"/>
              <w:ind w:right="80"/>
              <w:spacing w:after="0"/>
              <w:rPr>
                <w:sz w:val="20"/>
                <w:szCs w:val="20"/>
                <w:color w:val="auto"/>
              </w:rPr>
            </w:pPr>
            <w:r>
              <w:rPr>
                <w:rFonts w:ascii="Arial" w:cs="Arial" w:eastAsia="Arial" w:hAnsi="Arial"/>
                <w:sz w:val="17"/>
                <w:szCs w:val="17"/>
                <w:color w:val="auto"/>
              </w:rPr>
              <w:t>(81,757)</w:t>
            </w:r>
          </w:p>
        </w:tc>
        <w:tc>
          <w:tcPr>
            <w:tcW w:w="200" w:type="dxa"/>
            <w:vAlign w:val="bottom"/>
            <w:gridSpan w:val="2"/>
            <w:shd w:val="clear" w:color="auto" w:fill="D6F3E8"/>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5,234,623</w:t>
            </w:r>
          </w:p>
        </w:tc>
        <w:tc>
          <w:tcPr>
            <w:tcW w:w="320" w:type="dxa"/>
            <w:vAlign w:val="bottom"/>
            <w:gridSpan w:val="2"/>
            <w:shd w:val="clear" w:color="auto" w:fill="D6F3E8"/>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D6F3E8"/>
          </w:tcPr>
          <w:p>
            <w:pPr>
              <w:jc w:val="right"/>
              <w:ind w:right="40"/>
              <w:spacing w:after="0"/>
              <w:rPr>
                <w:sz w:val="20"/>
                <w:szCs w:val="20"/>
                <w:color w:val="auto"/>
              </w:rPr>
            </w:pPr>
            <w:r>
              <w:rPr>
                <w:rFonts w:ascii="Arial" w:cs="Arial" w:eastAsia="Arial" w:hAnsi="Arial"/>
                <w:sz w:val="17"/>
                <w:szCs w:val="17"/>
                <w:color w:val="auto"/>
              </w:rPr>
              <w:t>(81,757)</w:t>
            </w:r>
          </w:p>
        </w:tc>
        <w:tc>
          <w:tcPr>
            <w:tcW w:w="0" w:type="dxa"/>
            <w:vAlign w:val="bottom"/>
          </w:tcPr>
          <w:p>
            <w:pPr>
              <w:spacing w:after="0"/>
              <w:rPr>
                <w:sz w:val="1"/>
                <w:szCs w:val="1"/>
                <w:color w:val="auto"/>
              </w:rPr>
            </w:pPr>
          </w:p>
        </w:tc>
      </w:tr>
      <w:tr>
        <w:trPr>
          <w:trHeight w:val="20"/>
        </w:trPr>
        <w:tc>
          <w:tcPr>
            <w:tcW w:w="328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7"/>
                <w:szCs w:val="17"/>
                <w:color w:val="auto"/>
              </w:rPr>
              <w:t>Marketable Equity Securities: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6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80" w:type="dxa"/>
            <w:vAlign w:val="bottom"/>
          </w:tcPr>
          <w:p>
            <w:pPr>
              <w:ind w:left="320"/>
              <w:spacing w:after="0"/>
              <w:rPr>
                <w:sz w:val="20"/>
                <w:szCs w:val="20"/>
                <w:color w:val="auto"/>
              </w:rPr>
            </w:pPr>
            <w:r>
              <w:rPr>
                <w:rFonts w:ascii="Arial" w:cs="Arial" w:eastAsia="Arial" w:hAnsi="Arial"/>
                <w:sz w:val="17"/>
                <w:szCs w:val="17"/>
                <w:color w:val="auto"/>
              </w:rPr>
              <w:t>Mutual Fund – Short-term Bond Fund</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280" w:type="dxa"/>
            <w:vAlign w:val="bottom"/>
            <w:shd w:val="clear" w:color="auto" w:fill="D6F3E8"/>
          </w:tcPr>
          <w:p>
            <w:pPr>
              <w:spacing w:after="0"/>
              <w:rPr>
                <w:sz w:val="20"/>
                <w:szCs w:val="20"/>
                <w:color w:val="auto"/>
              </w:rPr>
            </w:pPr>
            <w:r>
              <w:rPr>
                <w:rFonts w:ascii="Arial" w:cs="Arial" w:eastAsia="Arial" w:hAnsi="Arial"/>
                <w:sz w:val="17"/>
                <w:szCs w:val="17"/>
                <w:color w:val="auto"/>
              </w:rPr>
              <w:t>Total Equity Securities</w:t>
            </w:r>
          </w:p>
        </w:tc>
        <w:tc>
          <w:tcPr>
            <w:tcW w:w="240" w:type="dxa"/>
            <w:vAlign w:val="bottom"/>
            <w:shd w:val="clear" w:color="auto" w:fill="D6F3E8"/>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D6F3E8"/>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D6F3E8"/>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D6F3E8"/>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D6F3E8"/>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D6F3E8"/>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D6F3E8"/>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D6F3E8"/>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28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6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ind w:left="440"/>
              <w:spacing w:after="0"/>
              <w:rPr>
                <w:sz w:val="20"/>
                <w:szCs w:val="20"/>
                <w:color w:val="auto"/>
              </w:rPr>
            </w:pPr>
            <w:r>
              <w:rPr>
                <w:rFonts w:ascii="Arial" w:cs="Arial" w:eastAsia="Arial" w:hAnsi="Arial"/>
                <w:sz w:val="13"/>
                <w:szCs w:val="13"/>
                <w:b w:val="1"/>
                <w:bCs w:val="1"/>
                <w:color w:val="auto"/>
                <w:w w:val="96"/>
              </w:rPr>
              <w:t>April 1, 2006</w:t>
            </w: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80" w:type="dxa"/>
            <w:vAlign w:val="bottom"/>
            <w:gridSpan w:val="5"/>
          </w:tcPr>
          <w:p>
            <w:pPr>
              <w:jc w:val="right"/>
              <w:ind w:right="700"/>
              <w:spacing w:after="0" w:line="129" w:lineRule="exact"/>
              <w:rPr>
                <w:sz w:val="20"/>
                <w:szCs w:val="20"/>
                <w:color w:val="auto"/>
              </w:rPr>
            </w:pPr>
            <w:r>
              <w:rPr>
                <w:rFonts w:ascii="Arial" w:cs="Arial" w:eastAsia="Arial" w:hAnsi="Arial"/>
                <w:sz w:val="13"/>
                <w:szCs w:val="13"/>
                <w:b w:val="1"/>
                <w:bCs w:val="1"/>
                <w:color w:val="auto"/>
              </w:rPr>
              <w:t>Equal to or Greater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rPr>
              <w:t>Less Than 12 Months</w:t>
            </w:r>
          </w:p>
        </w:tc>
        <w:tc>
          <w:tcPr>
            <w:tcW w:w="240" w:type="dxa"/>
            <w:vAlign w:val="bottom"/>
          </w:tcPr>
          <w:p>
            <w:pPr>
              <w:spacing w:after="0"/>
              <w:rPr>
                <w:sz w:val="13"/>
                <w:szCs w:val="13"/>
                <w:color w:val="auto"/>
              </w:rPr>
            </w:pPr>
          </w:p>
        </w:tc>
        <w:tc>
          <w:tcPr>
            <w:tcW w:w="2180" w:type="dxa"/>
            <w:vAlign w:val="bottom"/>
            <w:gridSpan w:val="5"/>
          </w:tcPr>
          <w:p>
            <w:pPr>
              <w:ind w:left="440"/>
              <w:spacing w:after="0"/>
              <w:rPr>
                <w:sz w:val="20"/>
                <w:szCs w:val="20"/>
                <w:color w:val="auto"/>
              </w:rPr>
            </w:pPr>
            <w:r>
              <w:rPr>
                <w:rFonts w:ascii="Arial" w:cs="Arial" w:eastAsia="Arial" w:hAnsi="Arial"/>
                <w:sz w:val="13"/>
                <w:szCs w:val="13"/>
                <w:b w:val="1"/>
                <w:bCs w:val="1"/>
                <w:color w:val="auto"/>
              </w:rPr>
              <w:t>Than 12 Months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15"/>
        </w:trPr>
        <w:tc>
          <w:tcPr>
            <w:tcW w:w="32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420"/>
              <w:spacing w:after="0" w:line="148"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4"/>
              </w:rPr>
              <w:t>Unrealized</w:t>
            </w:r>
          </w:p>
        </w:tc>
        <w:tc>
          <w:tcPr>
            <w:tcW w:w="240" w:type="dxa"/>
            <w:vAlign w:val="bottom"/>
          </w:tcPr>
          <w:p>
            <w:pPr>
              <w:spacing w:after="0"/>
              <w:rPr>
                <w:sz w:val="12"/>
                <w:szCs w:val="12"/>
                <w:color w:val="auto"/>
              </w:rPr>
            </w:pPr>
          </w:p>
        </w:tc>
        <w:tc>
          <w:tcPr>
            <w:tcW w:w="1040" w:type="dxa"/>
            <w:vAlign w:val="bottom"/>
            <w:gridSpan w:val="2"/>
          </w:tcPr>
          <w:p>
            <w:pPr>
              <w:jc w:val="center"/>
              <w:ind w:right="440"/>
              <w:spacing w:after="0" w:line="148"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94"/>
              </w:rPr>
              <w:t>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38"/>
              <w:spacing w:after="0" w:line="148" w:lineRule="exact"/>
              <w:rPr>
                <w:sz w:val="20"/>
                <w:szCs w:val="20"/>
                <w:color w:val="auto"/>
              </w:rPr>
            </w:pPr>
            <w:r>
              <w:rPr>
                <w:rFonts w:ascii="Arial" w:cs="Arial" w:eastAsia="Arial" w:hAnsi="Arial"/>
                <w:sz w:val="13"/>
                <w:szCs w:val="13"/>
                <w:b w:val="1"/>
                <w:bCs w:val="1"/>
                <w:color w:val="auto"/>
                <w:w w:val="89"/>
              </w:rPr>
              <w:t>Total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97"/>
              </w:rPr>
              <w:t>Unrealized</w:t>
            </w: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0"/>
              </w:rPr>
              <w:t>Losses</w:t>
            </w:r>
          </w:p>
        </w:tc>
        <w:tc>
          <w:tcPr>
            <w:tcW w:w="240" w:type="dxa"/>
            <w:vAlign w:val="bottom"/>
          </w:tcPr>
          <w:p>
            <w:pPr>
              <w:spacing w:after="0"/>
              <w:rPr>
                <w:sz w:val="13"/>
                <w:szCs w:val="13"/>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2"/>
              </w:rPr>
              <w:t>Value</w:t>
            </w:r>
          </w:p>
        </w:tc>
        <w:tc>
          <w:tcPr>
            <w:tcW w:w="16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0"/>
              </w:rPr>
              <w:t>Losses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38"/>
              <w:spacing w:after="0"/>
              <w:rPr>
                <w:sz w:val="20"/>
                <w:szCs w:val="20"/>
                <w:color w:val="auto"/>
              </w:rPr>
            </w:pPr>
            <w:r>
              <w:rPr>
                <w:rFonts w:ascii="Arial" w:cs="Arial" w:eastAsia="Arial" w:hAnsi="Arial"/>
                <w:sz w:val="13"/>
                <w:szCs w:val="13"/>
                <w:b w:val="1"/>
                <w:bCs w:val="1"/>
                <w:color w:val="auto"/>
                <w:w w:val="96"/>
              </w:rPr>
              <w:t>Fair Value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0"/>
              </w:rPr>
              <w:t>Losses</w:t>
            </w:r>
          </w:p>
        </w:tc>
        <w:tc>
          <w:tcPr>
            <w:tcW w:w="0" w:type="dxa"/>
            <w:vAlign w:val="bottom"/>
          </w:tcPr>
          <w:p>
            <w:pPr>
              <w:spacing w:after="0"/>
              <w:rPr>
                <w:sz w:val="1"/>
                <w:szCs w:val="1"/>
                <w:color w:val="auto"/>
              </w:rPr>
            </w:pPr>
          </w:p>
        </w:tc>
      </w:tr>
      <w:tr>
        <w:trPr>
          <w:trHeight w:val="435"/>
        </w:trPr>
        <w:tc>
          <w:tcPr>
            <w:tcW w:w="3280" w:type="dxa"/>
            <w:vAlign w:val="bottom"/>
          </w:tcPr>
          <w:p>
            <w:pPr>
              <w:spacing w:after="0"/>
              <w:rPr>
                <w:sz w:val="20"/>
                <w:szCs w:val="20"/>
                <w:color w:val="auto"/>
              </w:rPr>
            </w:pPr>
            <w:r>
              <w:rPr>
                <w:rFonts w:ascii="Arial" w:cs="Arial" w:eastAsia="Arial" w:hAnsi="Arial"/>
                <w:sz w:val="17"/>
                <w:szCs w:val="17"/>
                <w:color w:val="auto"/>
              </w:rPr>
              <w:t>Fixed Income Securities:</w:t>
            </w: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80" w:type="dxa"/>
            <w:vAlign w:val="bottom"/>
          </w:tcPr>
          <w:p>
            <w:pPr>
              <w:ind w:left="320"/>
              <w:spacing w:after="0"/>
              <w:rPr>
                <w:sz w:val="20"/>
                <w:szCs w:val="20"/>
                <w:color w:val="auto"/>
              </w:rPr>
            </w:pPr>
            <w:r>
              <w:rPr>
                <w:rFonts w:ascii="Arial" w:cs="Arial" w:eastAsia="Arial" w:hAnsi="Arial"/>
                <w:sz w:val="17"/>
                <w:szCs w:val="17"/>
                <w:color w:val="auto"/>
              </w:rPr>
              <w:t>U.S. Corporate Securities</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1,109,963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(23,774)</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5,905,215</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(133,082)</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7,015,178</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(156,856)</w:t>
            </w:r>
          </w:p>
        </w:tc>
        <w:tc>
          <w:tcPr>
            <w:tcW w:w="0" w:type="dxa"/>
            <w:vAlign w:val="bottom"/>
          </w:tcPr>
          <w:p>
            <w:pPr>
              <w:spacing w:after="0"/>
              <w:rPr>
                <w:sz w:val="1"/>
                <w:szCs w:val="1"/>
                <w:color w:val="auto"/>
              </w:rPr>
            </w:pPr>
          </w:p>
        </w:tc>
      </w:tr>
      <w:tr>
        <w:trPr>
          <w:trHeight w:val="256"/>
        </w:trPr>
        <w:tc>
          <w:tcPr>
            <w:tcW w:w="3280" w:type="dxa"/>
            <w:vAlign w:val="bottom"/>
            <w:shd w:val="clear" w:color="auto" w:fill="D6F3E8"/>
          </w:tcPr>
          <w:p>
            <w:pPr>
              <w:ind w:left="320"/>
              <w:spacing w:after="0"/>
              <w:rPr>
                <w:sz w:val="20"/>
                <w:szCs w:val="20"/>
                <w:color w:val="auto"/>
              </w:rPr>
            </w:pPr>
            <w:r>
              <w:rPr>
                <w:rFonts w:ascii="Arial" w:cs="Arial" w:eastAsia="Arial" w:hAnsi="Arial"/>
                <w:sz w:val="17"/>
                <w:szCs w:val="17"/>
                <w:color w:val="auto"/>
              </w:rPr>
              <w:t>U.S. Government Agency Securities</w:t>
            </w:r>
          </w:p>
        </w:tc>
        <w:tc>
          <w:tcPr>
            <w:tcW w:w="24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390,755</w:t>
            </w:r>
          </w:p>
        </w:tc>
        <w:tc>
          <w:tcPr>
            <w:tcW w:w="120" w:type="dxa"/>
            <w:vAlign w:val="bottom"/>
            <w:shd w:val="clear" w:color="auto" w:fill="D6F3E8"/>
          </w:tcPr>
          <w:p>
            <w:pPr>
              <w:spacing w:after="0"/>
              <w:rPr>
                <w:sz w:val="22"/>
                <w:szCs w:val="22"/>
                <w:color w:val="auto"/>
              </w:rPr>
            </w:pPr>
          </w:p>
        </w:tc>
        <w:tc>
          <w:tcPr>
            <w:tcW w:w="1000" w:type="dxa"/>
            <w:vAlign w:val="bottom"/>
            <w:gridSpan w:val="2"/>
            <w:shd w:val="clear" w:color="auto" w:fill="D6F3E8"/>
          </w:tcPr>
          <w:p>
            <w:pPr>
              <w:jc w:val="right"/>
              <w:ind w:right="140"/>
              <w:spacing w:after="0"/>
              <w:rPr>
                <w:sz w:val="20"/>
                <w:szCs w:val="20"/>
                <w:color w:val="auto"/>
              </w:rPr>
            </w:pPr>
            <w:r>
              <w:rPr>
                <w:rFonts w:ascii="Arial" w:cs="Arial" w:eastAsia="Arial" w:hAnsi="Arial"/>
                <w:sz w:val="17"/>
                <w:szCs w:val="17"/>
                <w:color w:val="auto"/>
              </w:rPr>
              <w:t>(3,185)</w:t>
            </w:r>
          </w:p>
        </w:tc>
        <w:tc>
          <w:tcPr>
            <w:tcW w:w="24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1,084,278</w:t>
            </w:r>
          </w:p>
        </w:tc>
        <w:tc>
          <w:tcPr>
            <w:tcW w:w="160" w:type="dxa"/>
            <w:vAlign w:val="bottom"/>
            <w:shd w:val="clear" w:color="auto" w:fill="D6F3E8"/>
          </w:tcPr>
          <w:p>
            <w:pPr>
              <w:spacing w:after="0"/>
              <w:rPr>
                <w:sz w:val="22"/>
                <w:szCs w:val="22"/>
                <w:color w:val="auto"/>
              </w:rPr>
            </w:pPr>
          </w:p>
        </w:tc>
        <w:tc>
          <w:tcPr>
            <w:tcW w:w="980" w:type="dxa"/>
            <w:vAlign w:val="bottom"/>
            <w:gridSpan w:val="2"/>
            <w:shd w:val="clear" w:color="auto" w:fill="D6F3E8"/>
          </w:tcPr>
          <w:p>
            <w:pPr>
              <w:jc w:val="right"/>
              <w:ind w:right="80"/>
              <w:spacing w:after="0"/>
              <w:rPr>
                <w:sz w:val="20"/>
                <w:szCs w:val="20"/>
                <w:color w:val="auto"/>
              </w:rPr>
            </w:pPr>
            <w:r>
              <w:rPr>
                <w:rFonts w:ascii="Arial" w:cs="Arial" w:eastAsia="Arial" w:hAnsi="Arial"/>
                <w:sz w:val="17"/>
                <w:szCs w:val="17"/>
                <w:color w:val="auto"/>
              </w:rPr>
              <w:t>(46,213)</w:t>
            </w:r>
          </w:p>
        </w:tc>
        <w:tc>
          <w:tcPr>
            <w:tcW w:w="6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1,475,033</w:t>
            </w:r>
          </w:p>
        </w:tc>
        <w:tc>
          <w:tcPr>
            <w:tcW w:w="22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840" w:type="dxa"/>
            <w:vAlign w:val="bottom"/>
            <w:gridSpan w:val="2"/>
            <w:shd w:val="clear" w:color="auto" w:fill="D6F3E8"/>
          </w:tcPr>
          <w:p>
            <w:pPr>
              <w:jc w:val="right"/>
              <w:ind w:right="40"/>
              <w:spacing w:after="0"/>
              <w:rPr>
                <w:sz w:val="20"/>
                <w:szCs w:val="20"/>
                <w:color w:val="auto"/>
              </w:rPr>
            </w:pPr>
            <w:r>
              <w:rPr>
                <w:rFonts w:ascii="Arial" w:cs="Arial" w:eastAsia="Arial" w:hAnsi="Arial"/>
                <w:sz w:val="17"/>
                <w:szCs w:val="17"/>
                <w:color w:val="auto"/>
              </w:rPr>
              <w:t>(49,398)</w:t>
            </w:r>
          </w:p>
        </w:tc>
        <w:tc>
          <w:tcPr>
            <w:tcW w:w="0" w:type="dxa"/>
            <w:vAlign w:val="bottom"/>
          </w:tcPr>
          <w:p>
            <w:pPr>
              <w:spacing w:after="0"/>
              <w:rPr>
                <w:sz w:val="1"/>
                <w:szCs w:val="1"/>
                <w:color w:val="auto"/>
              </w:rPr>
            </w:pPr>
          </w:p>
        </w:tc>
      </w:tr>
      <w:tr>
        <w:trPr>
          <w:trHeight w:val="255"/>
        </w:trPr>
        <w:tc>
          <w:tcPr>
            <w:tcW w:w="3280" w:type="dxa"/>
            <w:vAlign w:val="bottom"/>
          </w:tcPr>
          <w:p>
            <w:pPr>
              <w:ind w:left="320"/>
              <w:spacing w:after="0"/>
              <w:rPr>
                <w:sz w:val="20"/>
                <w:szCs w:val="20"/>
                <w:color w:val="auto"/>
              </w:rPr>
            </w:pPr>
            <w:r>
              <w:rPr>
                <w:rFonts w:ascii="Arial" w:cs="Arial" w:eastAsia="Arial" w:hAnsi="Arial"/>
                <w:sz w:val="17"/>
                <w:szCs w:val="17"/>
                <w:color w:val="auto"/>
              </w:rPr>
              <w:t>States and Political Subdivisions</w:t>
            </w:r>
          </w:p>
        </w:tc>
        <w:tc>
          <w:tcPr>
            <w:tcW w:w="2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280" w:type="dxa"/>
            <w:vAlign w:val="bottom"/>
            <w:shd w:val="clear" w:color="auto" w:fill="D6F3E8"/>
          </w:tcPr>
          <w:p>
            <w:pPr>
              <w:spacing w:after="0"/>
              <w:rPr>
                <w:sz w:val="20"/>
                <w:szCs w:val="20"/>
                <w:color w:val="auto"/>
              </w:rPr>
            </w:pPr>
            <w:r>
              <w:rPr>
                <w:rFonts w:ascii="Arial" w:cs="Arial" w:eastAsia="Arial" w:hAnsi="Arial"/>
                <w:sz w:val="17"/>
                <w:szCs w:val="17"/>
                <w:color w:val="auto"/>
              </w:rPr>
              <w:t>Total Fixed Income Securities</w:t>
            </w:r>
          </w:p>
        </w:tc>
        <w:tc>
          <w:tcPr>
            <w:tcW w:w="240" w:type="dxa"/>
            <w:vAlign w:val="bottom"/>
            <w:shd w:val="clear" w:color="auto" w:fill="D6F3E8"/>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1,500,718</w:t>
            </w:r>
          </w:p>
        </w:tc>
        <w:tc>
          <w:tcPr>
            <w:tcW w:w="120" w:type="dxa"/>
            <w:vAlign w:val="bottom"/>
            <w:shd w:val="clear" w:color="auto" w:fill="D6F3E8"/>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D6F3E8"/>
          </w:tcPr>
          <w:p>
            <w:pPr>
              <w:jc w:val="right"/>
              <w:ind w:right="140"/>
              <w:spacing w:after="0"/>
              <w:rPr>
                <w:sz w:val="20"/>
                <w:szCs w:val="20"/>
                <w:color w:val="auto"/>
              </w:rPr>
            </w:pPr>
            <w:r>
              <w:rPr>
                <w:rFonts w:ascii="Arial" w:cs="Arial" w:eastAsia="Arial" w:hAnsi="Arial"/>
                <w:sz w:val="17"/>
                <w:szCs w:val="17"/>
                <w:color w:val="auto"/>
              </w:rPr>
              <w:t>(26,959)</w:t>
            </w:r>
          </w:p>
        </w:tc>
        <w:tc>
          <w:tcPr>
            <w:tcW w:w="240" w:type="dxa"/>
            <w:vAlign w:val="bottom"/>
            <w:shd w:val="clear" w:color="auto" w:fill="D6F3E8"/>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6,989,493</w:t>
            </w:r>
          </w:p>
        </w:tc>
        <w:tc>
          <w:tcPr>
            <w:tcW w:w="160" w:type="dxa"/>
            <w:vAlign w:val="bottom"/>
            <w:shd w:val="clear" w:color="auto" w:fill="D6F3E8"/>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D6F3E8"/>
          </w:tcPr>
          <w:p>
            <w:pPr>
              <w:jc w:val="right"/>
              <w:ind w:right="80"/>
              <w:spacing w:after="0"/>
              <w:rPr>
                <w:sz w:val="20"/>
                <w:szCs w:val="20"/>
                <w:color w:val="auto"/>
              </w:rPr>
            </w:pPr>
            <w:r>
              <w:rPr>
                <w:rFonts w:ascii="Arial" w:cs="Arial" w:eastAsia="Arial" w:hAnsi="Arial"/>
                <w:sz w:val="17"/>
                <w:szCs w:val="17"/>
                <w:color w:val="auto"/>
              </w:rPr>
              <w:t>(179,295)</w:t>
            </w:r>
          </w:p>
        </w:tc>
        <w:tc>
          <w:tcPr>
            <w:tcW w:w="200" w:type="dxa"/>
            <w:vAlign w:val="bottom"/>
            <w:gridSpan w:val="2"/>
            <w:shd w:val="clear" w:color="auto" w:fill="D6F3E8"/>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8,490,211</w:t>
            </w:r>
          </w:p>
        </w:tc>
        <w:tc>
          <w:tcPr>
            <w:tcW w:w="320" w:type="dxa"/>
            <w:vAlign w:val="bottom"/>
            <w:gridSpan w:val="2"/>
            <w:shd w:val="clear" w:color="auto" w:fill="D6F3E8"/>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D6F3E8"/>
          </w:tcPr>
          <w:p>
            <w:pPr>
              <w:jc w:val="right"/>
              <w:ind w:right="40"/>
              <w:spacing w:after="0"/>
              <w:rPr>
                <w:sz w:val="20"/>
                <w:szCs w:val="20"/>
                <w:color w:val="auto"/>
              </w:rPr>
            </w:pPr>
            <w:r>
              <w:rPr>
                <w:rFonts w:ascii="Arial" w:cs="Arial" w:eastAsia="Arial" w:hAnsi="Arial"/>
                <w:sz w:val="17"/>
                <w:szCs w:val="17"/>
                <w:color w:val="auto"/>
              </w:rPr>
              <w:t>(206,254)</w:t>
            </w:r>
          </w:p>
        </w:tc>
        <w:tc>
          <w:tcPr>
            <w:tcW w:w="0" w:type="dxa"/>
            <w:vAlign w:val="bottom"/>
          </w:tcPr>
          <w:p>
            <w:pPr>
              <w:spacing w:after="0"/>
              <w:rPr>
                <w:sz w:val="1"/>
                <w:szCs w:val="1"/>
                <w:color w:val="auto"/>
              </w:rPr>
            </w:pPr>
          </w:p>
        </w:tc>
      </w:tr>
      <w:tr>
        <w:trPr>
          <w:trHeight w:val="20"/>
        </w:trPr>
        <w:tc>
          <w:tcPr>
            <w:tcW w:w="328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7"/>
                <w:szCs w:val="17"/>
                <w:color w:val="auto"/>
              </w:rPr>
              <w:t>Marketable Equity Securities: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6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80" w:type="dxa"/>
            <w:vAlign w:val="bottom"/>
          </w:tcPr>
          <w:p>
            <w:pPr>
              <w:ind w:left="320"/>
              <w:spacing w:after="0"/>
              <w:rPr>
                <w:sz w:val="20"/>
                <w:szCs w:val="20"/>
                <w:color w:val="auto"/>
              </w:rPr>
            </w:pPr>
            <w:r>
              <w:rPr>
                <w:rFonts w:ascii="Arial" w:cs="Arial" w:eastAsia="Arial" w:hAnsi="Arial"/>
                <w:sz w:val="17"/>
                <w:szCs w:val="17"/>
                <w:color w:val="auto"/>
              </w:rPr>
              <w:t>Mutual Fund – Short-term Bond Fund</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280" w:type="dxa"/>
            <w:vAlign w:val="bottom"/>
            <w:shd w:val="clear" w:color="auto" w:fill="D6F3E8"/>
          </w:tcPr>
          <w:p>
            <w:pPr>
              <w:spacing w:after="0"/>
              <w:rPr>
                <w:sz w:val="20"/>
                <w:szCs w:val="20"/>
                <w:color w:val="auto"/>
              </w:rPr>
            </w:pPr>
            <w:r>
              <w:rPr>
                <w:rFonts w:ascii="Arial" w:cs="Arial" w:eastAsia="Arial" w:hAnsi="Arial"/>
                <w:sz w:val="17"/>
                <w:szCs w:val="17"/>
                <w:color w:val="auto"/>
              </w:rPr>
              <w:t>Total Equity Securities</w:t>
            </w:r>
          </w:p>
        </w:tc>
        <w:tc>
          <w:tcPr>
            <w:tcW w:w="240" w:type="dxa"/>
            <w:vAlign w:val="bottom"/>
            <w:shd w:val="clear" w:color="auto" w:fill="D6F3E8"/>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D6F3E8"/>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D6F3E8"/>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D6F3E8"/>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D6F3E8"/>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D6F3E8"/>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D6F3E8"/>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D6F3E8"/>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28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6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7076440</wp:posOffset>
            </wp:positionH>
            <wp:positionV relativeFrom="paragraph">
              <wp:posOffset>-784860</wp:posOffset>
            </wp:positionV>
            <wp:extent cx="596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5676265</wp:posOffset>
            </wp:positionH>
            <wp:positionV relativeFrom="paragraph">
              <wp:posOffset>-784860</wp:posOffset>
            </wp:positionV>
            <wp:extent cx="1282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-784860</wp:posOffset>
            </wp:positionV>
            <wp:extent cx="1282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-3345815</wp:posOffset>
            </wp:positionV>
            <wp:extent cx="596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5676265</wp:posOffset>
            </wp:positionH>
            <wp:positionV relativeFrom="paragraph">
              <wp:posOffset>-3345815</wp:posOffset>
            </wp:positionV>
            <wp:extent cx="1282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17"/>
          <w:szCs w:val="17"/>
          <w:i w:val="1"/>
          <w:iCs w:val="1"/>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237490</wp:posOffset>
            </wp:positionV>
            <wp:extent cx="725106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52" w:right="100"/>
        <w:spacing w:after="0" w:line="287" w:lineRule="auto"/>
        <w:rPr>
          <w:sz w:val="20"/>
          <w:szCs w:val="20"/>
          <w:color w:val="auto"/>
        </w:rPr>
      </w:pPr>
      <w:r>
        <w:rPr>
          <w:rFonts w:ascii="Arial" w:cs="Arial" w:eastAsia="Arial" w:hAnsi="Arial"/>
          <w:sz w:val="16"/>
          <w:szCs w:val="16"/>
          <w:color w:val="auto"/>
        </w:rPr>
        <w:t>There were 36 and 51 investments in an unrealized loss position as of April 1, 2007 and April 2, 2006, respectively. The Company believes that the unrealized losses in the investment portfolio are the result of increases in market interest rates and not from the deterioration in the creditworthiness of the issuer. The majority of the investments have contractual terms, which do not permit the issuer to settle the securities at a price less than the amortized cost of the investment. The U.S. Government agency securities are guaranteed by an agency of the U.S. Government. The Company has the ability and intent to hold these investments until a recovery of fair value. The Company does not consider these investments to be other-than-temporarily impaired. The mutual fund held by the Company as of April 1, 2007 is a short-term bond fund that invests primarily in investment grade securities. The Company recorded losses of $30,595 and $280,699 during the fiscal years ended April 1, 2007 and April 2, 2006 respectively, due to declines in the fair value of the mutual fund that was deemed other than temporary.</w:t>
      </w:r>
    </w:p>
    <w:p>
      <w:pPr>
        <w:spacing w:after="0" w:line="170" w:lineRule="exact"/>
        <w:rPr>
          <w:sz w:val="20"/>
          <w:szCs w:val="20"/>
          <w:color w:val="auto"/>
        </w:rPr>
      </w:pPr>
    </w:p>
    <w:p>
      <w:pPr>
        <w:ind w:left="752" w:hanging="752"/>
        <w:spacing w:after="0"/>
        <w:tabs>
          <w:tab w:leader="none" w:pos="752"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w:t>
      </w:r>
    </w:p>
    <w:p>
      <w:pPr>
        <w:spacing w:after="0" w:line="240" w:lineRule="exact"/>
        <w:rPr>
          <w:rFonts w:ascii="Arial" w:cs="Arial" w:eastAsia="Arial" w:hAnsi="Arial"/>
          <w:sz w:val="17"/>
          <w:szCs w:val="17"/>
          <w:b w:val="1"/>
          <w:bCs w:val="1"/>
          <w:color w:val="auto"/>
        </w:rPr>
      </w:pPr>
    </w:p>
    <w:p>
      <w:pPr>
        <w:ind w:left="752"/>
        <w:spacing w:after="0"/>
        <w:rPr>
          <w:rFonts w:ascii="Arial" w:cs="Arial" w:eastAsia="Arial" w:hAnsi="Arial"/>
          <w:sz w:val="17"/>
          <w:szCs w:val="17"/>
          <w:b w:val="1"/>
          <w:bCs w:val="1"/>
          <w:color w:val="auto"/>
        </w:rPr>
      </w:pPr>
      <w:r>
        <w:rPr>
          <w:rFonts w:ascii="Arial" w:cs="Arial" w:eastAsia="Arial" w:hAnsi="Arial"/>
          <w:sz w:val="17"/>
          <w:szCs w:val="17"/>
          <w:color w:val="auto"/>
        </w:rPr>
        <w:t>Inventories at April 1, 2007 and April 2, 2006 consisted of the following:</w:t>
      </w:r>
    </w:p>
    <w:p>
      <w:pPr>
        <w:spacing w:after="0" w:line="244" w:lineRule="exact"/>
        <w:rPr>
          <w:sz w:val="20"/>
          <w:szCs w:val="20"/>
          <w:color w:val="auto"/>
        </w:rPr>
      </w:pPr>
    </w:p>
    <w:tbl>
      <w:tblPr>
        <w:tblLayout w:type="fixed"/>
        <w:tblInd w:w="892"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2007</w:t>
            </w:r>
          </w:p>
        </w:tc>
        <w:tc>
          <w:tcPr>
            <w:tcW w:w="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2006</w:t>
            </w:r>
          </w:p>
        </w:tc>
        <w:tc>
          <w:tcPr>
            <w:tcW w:w="100" w:type="dxa"/>
            <w:vAlign w:val="bottom"/>
          </w:tcPr>
          <w:p>
            <w:pPr>
              <w:spacing w:after="0"/>
              <w:rPr>
                <w:sz w:val="13"/>
                <w:szCs w:val="13"/>
                <w:color w:val="auto"/>
              </w:rPr>
            </w:pPr>
          </w:p>
        </w:tc>
      </w:tr>
      <w:tr>
        <w:trPr>
          <w:trHeight w:val="182"/>
        </w:trPr>
        <w:tc>
          <w:tcPr>
            <w:tcW w:w="7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55"/>
        </w:trPr>
        <w:tc>
          <w:tcPr>
            <w:tcW w:w="7060" w:type="dxa"/>
            <w:vAlign w:val="bottom"/>
            <w:shd w:val="clear" w:color="auto" w:fill="D6F3E8"/>
          </w:tcPr>
          <w:p>
            <w:pPr>
              <w:ind w:left="20"/>
              <w:spacing w:after="0"/>
              <w:rPr>
                <w:sz w:val="20"/>
                <w:szCs w:val="20"/>
                <w:color w:val="auto"/>
              </w:rPr>
            </w:pPr>
            <w:r>
              <w:rPr>
                <w:rFonts w:ascii="Arial" w:cs="Arial" w:eastAsia="Arial" w:hAnsi="Arial"/>
                <w:sz w:val="17"/>
                <w:szCs w:val="17"/>
                <w:color w:val="auto"/>
              </w:rPr>
              <w:t>Finished goods (FIFO basis)</w:t>
            </w:r>
          </w:p>
        </w:tc>
        <w:tc>
          <w:tcPr>
            <w:tcW w:w="340" w:type="dxa"/>
            <w:vAlign w:val="bottom"/>
            <w:shd w:val="clear" w:color="auto" w:fill="D6F3E8"/>
          </w:tcPr>
          <w:p>
            <w:pPr>
              <w:jc w:val="right"/>
              <w:ind w:right="153"/>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15,956,438</w:t>
            </w:r>
          </w:p>
        </w:tc>
        <w:tc>
          <w:tcPr>
            <w:tcW w:w="340" w:type="dxa"/>
            <w:vAlign w:val="bottom"/>
            <w:shd w:val="clear" w:color="auto" w:fill="D6F3E8"/>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14,308,515</w:t>
            </w:r>
          </w:p>
        </w:tc>
      </w:tr>
      <w:tr>
        <w:trPr>
          <w:trHeight w:val="255"/>
        </w:trPr>
        <w:tc>
          <w:tcPr>
            <w:tcW w:w="7060" w:type="dxa"/>
            <w:vAlign w:val="bottom"/>
          </w:tcPr>
          <w:p>
            <w:pPr>
              <w:ind w:left="20"/>
              <w:spacing w:after="0"/>
              <w:rPr>
                <w:sz w:val="20"/>
                <w:szCs w:val="20"/>
                <w:color w:val="auto"/>
              </w:rPr>
            </w:pPr>
            <w:r>
              <w:rPr>
                <w:rFonts w:ascii="Arial" w:cs="Arial" w:eastAsia="Arial" w:hAnsi="Arial"/>
                <w:sz w:val="17"/>
                <w:szCs w:val="17"/>
                <w:color w:val="auto"/>
              </w:rPr>
              <w:t>LIFO reserve</w:t>
            </w:r>
          </w:p>
        </w:tc>
        <w:tc>
          <w:tcPr>
            <w:tcW w:w="3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(3,170,090)</w:t>
            </w:r>
          </w:p>
        </w:tc>
        <w:tc>
          <w:tcPr>
            <w:tcW w:w="340" w:type="dxa"/>
            <w:vAlign w:val="bottom"/>
          </w:tcPr>
          <w:p>
            <w:pPr>
              <w:spacing w:after="0"/>
              <w:rPr>
                <w:sz w:val="22"/>
                <w:szCs w:val="22"/>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(3,858,844)</w:t>
            </w:r>
          </w:p>
        </w:tc>
      </w:tr>
      <w:tr>
        <w:trPr>
          <w:trHeight w:val="249"/>
        </w:trPr>
        <w:tc>
          <w:tcPr>
            <w:tcW w:w="7060" w:type="dxa"/>
            <w:vAlign w:val="bottom"/>
            <w:tcBorders>
              <w:top w:val="single" w:sz="8" w:color="D6F3E8"/>
              <w:bottom w:val="single" w:sz="8" w:color="D6F3E8"/>
            </w:tcBorders>
            <w:shd w:val="clear" w:color="auto" w:fill="D6F3E8"/>
          </w:tcPr>
          <w:p>
            <w:pPr>
              <w:ind w:left="20"/>
              <w:spacing w:after="0"/>
              <w:rPr>
                <w:sz w:val="20"/>
                <w:szCs w:val="20"/>
                <w:color w:val="auto"/>
              </w:rPr>
            </w:pPr>
            <w:r>
              <w:rPr>
                <w:rFonts w:ascii="Arial" w:cs="Arial" w:eastAsia="Arial" w:hAnsi="Arial"/>
                <w:sz w:val="17"/>
                <w:szCs w:val="17"/>
                <w:color w:val="auto"/>
              </w:rPr>
              <w:t>Net inventory</w:t>
            </w:r>
          </w:p>
        </w:tc>
        <w:tc>
          <w:tcPr>
            <w:tcW w:w="340" w:type="dxa"/>
            <w:vAlign w:val="bottom"/>
            <w:tcBorders>
              <w:top w:val="single" w:sz="8" w:color="auto"/>
              <w:bottom w:val="single" w:sz="8" w:color="auto"/>
            </w:tcBorders>
            <w:shd w:val="clear" w:color="auto" w:fill="D6F3E8"/>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7"/>
                <w:szCs w:val="17"/>
                <w:color w:val="auto"/>
              </w:rPr>
              <w:t>12,786,348</w:t>
            </w:r>
          </w:p>
        </w:tc>
        <w:tc>
          <w:tcPr>
            <w:tcW w:w="200" w:type="dxa"/>
            <w:vAlign w:val="bottom"/>
            <w:tcBorders>
              <w:top w:val="single" w:sz="8" w:color="D6F3E8"/>
              <w:bottom w:val="single" w:sz="8" w:color="D6F3E8"/>
            </w:tcBorders>
            <w:shd w:val="clear" w:color="auto" w:fill="D6F3E8"/>
          </w:tcPr>
          <w:p>
            <w:pPr>
              <w:spacing w:after="0"/>
              <w:rPr>
                <w:sz w:val="21"/>
                <w:szCs w:val="21"/>
                <w:color w:val="auto"/>
              </w:rPr>
            </w:pPr>
          </w:p>
        </w:tc>
        <w:tc>
          <w:tcPr>
            <w:tcW w:w="340" w:type="dxa"/>
            <w:vAlign w:val="bottom"/>
            <w:tcBorders>
              <w:top w:val="single" w:sz="8" w:color="auto"/>
              <w:bottom w:val="single" w:sz="8" w:color="auto"/>
            </w:tcBorders>
            <w:shd w:val="clear" w:color="auto" w:fill="D6F3E8"/>
          </w:tcPr>
          <w:p>
            <w:pPr>
              <w:jc w:val="right"/>
              <w:ind w:right="18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7"/>
                <w:szCs w:val="17"/>
                <w:color w:val="auto"/>
              </w:rPr>
              <w:t>10,449,671</w:t>
            </w:r>
          </w:p>
        </w:tc>
        <w:tc>
          <w:tcPr>
            <w:tcW w:w="100" w:type="dxa"/>
            <w:vAlign w:val="bottom"/>
            <w:tcBorders>
              <w:top w:val="single" w:sz="8" w:color="D6F3E8"/>
              <w:bottom w:val="single" w:sz="8" w:color="D6F3E8"/>
            </w:tcBorders>
            <w:shd w:val="clear" w:color="auto" w:fill="D6F3E8"/>
          </w:tcPr>
          <w:p>
            <w:pPr>
              <w:spacing w:after="0"/>
              <w:rPr>
                <w:sz w:val="21"/>
                <w:szCs w:val="21"/>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left="752" w:right="220"/>
        <w:spacing w:after="0" w:line="296" w:lineRule="auto"/>
        <w:rPr>
          <w:sz w:val="20"/>
          <w:szCs w:val="20"/>
          <w:color w:val="auto"/>
        </w:rPr>
      </w:pPr>
      <w:r>
        <w:rPr>
          <w:rFonts w:ascii="Arial" w:cs="Arial" w:eastAsia="Arial" w:hAnsi="Arial"/>
          <w:sz w:val="17"/>
          <w:szCs w:val="17"/>
          <w:color w:val="auto"/>
        </w:rPr>
        <w:t>Inventories valued under the LIFO method at April 1, 2007 and April 2, 2006 were $13,802,711 and $12,493,488, respectively, on a FIFO basis. The balance of the inventory was valued under the FIFO method.</w:t>
      </w:r>
    </w:p>
    <w:p>
      <w:pPr>
        <w:spacing w:after="0" w:line="163" w:lineRule="exact"/>
        <w:rPr>
          <w:sz w:val="20"/>
          <w:szCs w:val="20"/>
          <w:color w:val="auto"/>
        </w:rPr>
      </w:pPr>
    </w:p>
    <w:p>
      <w:pPr>
        <w:ind w:left="752"/>
        <w:spacing w:after="0" w:line="296" w:lineRule="auto"/>
        <w:rPr>
          <w:sz w:val="20"/>
          <w:szCs w:val="20"/>
          <w:color w:val="auto"/>
        </w:rPr>
      </w:pPr>
      <w:r>
        <w:rPr>
          <w:rFonts w:ascii="Arial" w:cs="Arial" w:eastAsia="Arial" w:hAnsi="Arial"/>
          <w:sz w:val="16"/>
          <w:szCs w:val="16"/>
          <w:color w:val="auto"/>
        </w:rPr>
        <w:t>In fiscal 2007 the LIFO reserve decreased by $688,754. The decrease in the LIFO reserve was caused by a decrease in the cost of a single, large-volume component of inventory and changes in inventory product mix. During the fiscal years ended April 1, 2007, April 2, 2006, and April 3, 2005, the Company liquidated certain LIFO inventory layers that were at lower costs than current costs. The impact of the liquidation on cost of sales was approximately $200,000 for the fiscal year ended April 3, 2005 and was not material for the fiscal years ended April 1, 2007 and April 2, 2006.</w:t>
      </w:r>
    </w:p>
    <w:p>
      <w:pPr>
        <w:spacing w:after="0" w:line="162" w:lineRule="exact"/>
        <w:rPr>
          <w:sz w:val="20"/>
          <w:szCs w:val="20"/>
          <w:color w:val="auto"/>
        </w:rPr>
      </w:pPr>
    </w:p>
    <w:p>
      <w:pPr>
        <w:ind w:left="732" w:hanging="732"/>
        <w:spacing w:after="0"/>
        <w:tabs>
          <w:tab w:leader="none" w:pos="732"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NOTES RECEIVABLE</w:t>
      </w:r>
    </w:p>
    <w:p>
      <w:pPr>
        <w:sectPr>
          <w:pgSz w:w="11900" w:h="16838" w:orient="portrait"/>
          <w:cols w:equalWidth="0" w:num="1">
            <w:col w:w="11392"/>
          </w:cols>
          <w:pgMar w:left="248" w:top="131" w:right="259" w:bottom="198" w:gutter="0" w:footer="0" w:header="0"/>
        </w:sectPr>
      </w:pPr>
    </w:p>
    <w:bookmarkStart w:id="20" w:name="page21"/>
    <w:bookmarkEnd w:id="20"/>
    <w:p>
      <w:pPr>
        <w:spacing w:after="0" w:line="41" w:lineRule="exact"/>
        <w:rPr>
          <w:sz w:val="20"/>
          <w:szCs w:val="20"/>
          <w:color w:val="auto"/>
        </w:rPr>
      </w:pPr>
    </w:p>
    <w:p>
      <w:pPr>
        <w:ind w:left="760" w:right="60"/>
        <w:spacing w:after="0" w:line="274" w:lineRule="auto"/>
        <w:rPr>
          <w:sz w:val="20"/>
          <w:szCs w:val="20"/>
          <w:color w:val="auto"/>
        </w:rPr>
      </w:pPr>
      <w:r>
        <w:rPr>
          <w:rFonts w:ascii="Arial" w:cs="Arial" w:eastAsia="Arial" w:hAnsi="Arial"/>
          <w:sz w:val="17"/>
          <w:szCs w:val="17"/>
          <w:color w:val="auto"/>
        </w:rPr>
        <w:t>The Company had three notes receivable related to the sales of Tessman Seed, Inc., certain land and a building, and The Lynde Company. In February 2007, the notes were paid in full in the amount of approximately $2.3 million. The interest rate on the notes receivable was 8%. Due to differences between the amount realized on the repayment and the carrying value of the notes receivable, the Company recorded interest income of approximately $300,000 during the fourth quarter of fiscal 2007.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jc w:val="right"/>
              <w:ind w:right="213"/>
              <w:spacing w:after="0"/>
              <w:rPr>
                <w:sz w:val="20"/>
                <w:szCs w:val="20"/>
                <w:color w:val="auto"/>
              </w:rPr>
            </w:pPr>
            <w:r>
              <w:rPr>
                <w:rFonts w:ascii="Arial" w:cs="Arial" w:eastAsia="Arial" w:hAnsi="Arial"/>
                <w:sz w:val="17"/>
                <w:szCs w:val="17"/>
                <w:b w:val="1"/>
                <w:bCs w:val="1"/>
                <w:color w:val="auto"/>
                <w:w w:val="84"/>
              </w:rPr>
              <w:t>5.</w:t>
            </w:r>
          </w:p>
        </w:tc>
        <w:tc>
          <w:tcPr>
            <w:tcW w:w="6000" w:type="dxa"/>
            <w:vAlign w:val="bottom"/>
            <w:gridSpan w:val="2"/>
          </w:tcPr>
          <w:p>
            <w:pPr>
              <w:ind w:left="300"/>
              <w:spacing w:after="0"/>
              <w:rPr>
                <w:sz w:val="20"/>
                <w:szCs w:val="20"/>
                <w:color w:val="auto"/>
              </w:rPr>
            </w:pPr>
            <w:r>
              <w:rPr>
                <w:rFonts w:ascii="Arial" w:cs="Arial" w:eastAsia="Arial" w:hAnsi="Arial"/>
                <w:sz w:val="17"/>
                <w:szCs w:val="17"/>
                <w:b w:val="1"/>
                <w:bCs w:val="1"/>
                <w:color w:val="auto"/>
              </w:rPr>
              <w:t>COMPREHENSIVE INCOME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440" w:type="dxa"/>
            <w:vAlign w:val="bottom"/>
          </w:tcPr>
          <w:p>
            <w:pPr>
              <w:spacing w:after="0"/>
              <w:rPr>
                <w:sz w:val="24"/>
                <w:szCs w:val="24"/>
                <w:color w:val="auto"/>
              </w:rPr>
            </w:pPr>
          </w:p>
        </w:tc>
        <w:tc>
          <w:tcPr>
            <w:tcW w:w="6000" w:type="dxa"/>
            <w:vAlign w:val="bottom"/>
            <w:gridSpan w:val="2"/>
          </w:tcPr>
          <w:p>
            <w:pPr>
              <w:ind w:left="320"/>
              <w:spacing w:after="0"/>
              <w:rPr>
                <w:sz w:val="20"/>
                <w:szCs w:val="20"/>
                <w:color w:val="auto"/>
              </w:rPr>
            </w:pPr>
            <w:r>
              <w:rPr>
                <w:rFonts w:ascii="Arial" w:cs="Arial" w:eastAsia="Arial" w:hAnsi="Arial"/>
                <w:sz w:val="17"/>
                <w:szCs w:val="17"/>
                <w:color w:val="auto"/>
              </w:rPr>
              <w:t>Comprehensive income and its components, net of tax, were as follows: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2007</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2006</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8"/>
              <w:spacing w:after="0"/>
              <w:rPr>
                <w:sz w:val="20"/>
                <w:szCs w:val="20"/>
                <w:color w:val="auto"/>
              </w:rPr>
            </w:pPr>
            <w:r>
              <w:rPr>
                <w:rFonts w:ascii="Arial" w:cs="Arial" w:eastAsia="Arial" w:hAnsi="Arial"/>
                <w:sz w:val="13"/>
                <w:szCs w:val="13"/>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540" w:type="dxa"/>
            <w:vAlign w:val="bottom"/>
            <w:shd w:val="clear" w:color="auto" w:fill="D6F3E8"/>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shd w:val="clear" w:color="auto" w:fill="D6F3E8"/>
          </w:tcPr>
          <w:p>
            <w:pPr>
              <w:jc w:val="right"/>
              <w:ind w:right="16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8,068,883</w:t>
            </w:r>
          </w:p>
        </w:tc>
        <w:tc>
          <w:tcPr>
            <w:tcW w:w="340" w:type="dxa"/>
            <w:vAlign w:val="bottom"/>
            <w:shd w:val="clear" w:color="auto" w:fill="D6F3E8"/>
          </w:tcPr>
          <w:p>
            <w:pPr>
              <w:jc w:val="right"/>
              <w:ind w:right="153"/>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D6F3E8"/>
          </w:tcPr>
          <w:p>
            <w:pPr>
              <w:jc w:val="right"/>
              <w:ind w:right="220"/>
              <w:spacing w:after="0"/>
              <w:rPr>
                <w:sz w:val="20"/>
                <w:szCs w:val="20"/>
                <w:color w:val="auto"/>
              </w:rPr>
            </w:pPr>
            <w:r>
              <w:rPr>
                <w:rFonts w:ascii="Arial" w:cs="Arial" w:eastAsia="Arial" w:hAnsi="Arial"/>
                <w:sz w:val="17"/>
                <w:szCs w:val="17"/>
                <w:color w:val="auto"/>
              </w:rPr>
              <w:t>8,886,153</w:t>
            </w:r>
          </w:p>
        </w:tc>
        <w:tc>
          <w:tcPr>
            <w:tcW w:w="340" w:type="dxa"/>
            <w:vAlign w:val="bottom"/>
            <w:shd w:val="clear" w:color="auto" w:fill="D6F3E8"/>
          </w:tcPr>
          <w:p>
            <w:pPr>
              <w:jc w:val="right"/>
              <w:ind w:right="18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7"/>
                <w:szCs w:val="17"/>
                <w:color w:val="auto"/>
              </w:rPr>
              <w:t>8,092,009</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540" w:type="dxa"/>
            <w:vAlign w:val="bottom"/>
          </w:tcPr>
          <w:p>
            <w:pPr>
              <w:ind w:left="20"/>
              <w:spacing w:after="0"/>
              <w:rPr>
                <w:sz w:val="20"/>
                <w:szCs w:val="20"/>
                <w:color w:val="auto"/>
              </w:rPr>
            </w:pPr>
            <w:r>
              <w:rPr>
                <w:rFonts w:ascii="Arial" w:cs="Arial" w:eastAsia="Arial" w:hAnsi="Arial"/>
                <w:sz w:val="17"/>
                <w:szCs w:val="17"/>
                <w:color w:val="auto"/>
              </w:rPr>
              <w:t>Available-for-sale investments unrealized gain/(loss)**</w:t>
            </w:r>
          </w:p>
        </w:tc>
        <w:tc>
          <w:tcPr>
            <w:tcW w:w="32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122,486</w:t>
            </w:r>
          </w:p>
        </w:tc>
        <w:tc>
          <w:tcPr>
            <w:tcW w:w="34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70,277</w:t>
            </w:r>
          </w:p>
        </w:tc>
        <w:tc>
          <w:tcPr>
            <w:tcW w:w="340" w:type="dxa"/>
            <w:vAlign w:val="bottom"/>
          </w:tcPr>
          <w:p>
            <w:pPr>
              <w:spacing w:after="0"/>
              <w:rPr>
                <w:sz w:val="22"/>
                <w:szCs w:val="22"/>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(392,359)</w:t>
            </w:r>
          </w:p>
        </w:tc>
        <w:tc>
          <w:tcPr>
            <w:tcW w:w="0" w:type="dxa"/>
            <w:vAlign w:val="bottom"/>
          </w:tcPr>
          <w:p>
            <w:pPr>
              <w:spacing w:after="0"/>
              <w:rPr>
                <w:sz w:val="1"/>
                <w:szCs w:val="1"/>
                <w:color w:val="auto"/>
              </w:rPr>
            </w:pPr>
          </w:p>
        </w:tc>
      </w:tr>
      <w:tr>
        <w:trPr>
          <w:trHeight w:val="256"/>
        </w:trPr>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540" w:type="dxa"/>
            <w:vAlign w:val="bottom"/>
            <w:shd w:val="clear" w:color="auto" w:fill="D6F3E8"/>
          </w:tcPr>
          <w:p>
            <w:pPr>
              <w:ind w:left="20"/>
              <w:spacing w:after="0"/>
              <w:rPr>
                <w:sz w:val="20"/>
                <w:szCs w:val="20"/>
                <w:color w:val="auto"/>
              </w:rPr>
            </w:pPr>
            <w:r>
              <w:rPr>
                <w:rFonts w:ascii="Arial" w:cs="Arial" w:eastAsia="Arial" w:hAnsi="Arial"/>
                <w:sz w:val="17"/>
                <w:szCs w:val="17"/>
                <w:color w:val="auto"/>
              </w:rPr>
              <w:t>Post-retirement plan liability unrealized loss</w:t>
            </w:r>
          </w:p>
        </w:tc>
        <w:tc>
          <w:tcPr>
            <w:tcW w:w="320" w:type="dxa"/>
            <w:vAlign w:val="bottom"/>
            <w:shd w:val="clear" w:color="auto" w:fill="D6F3E8"/>
          </w:tcPr>
          <w:p>
            <w:pPr>
              <w:spacing w:after="0"/>
              <w:rPr>
                <w:sz w:val="22"/>
                <w:szCs w:val="22"/>
                <w:color w:val="auto"/>
              </w:rPr>
            </w:pPr>
          </w:p>
        </w:tc>
        <w:tc>
          <w:tcPr>
            <w:tcW w:w="1280" w:type="dxa"/>
            <w:vAlign w:val="bottom"/>
            <w:gridSpan w:val="2"/>
            <w:shd w:val="clear" w:color="auto" w:fill="D6F3E8"/>
          </w:tcPr>
          <w:p>
            <w:pPr>
              <w:jc w:val="right"/>
              <w:ind w:right="140"/>
              <w:spacing w:after="0"/>
              <w:rPr>
                <w:sz w:val="20"/>
                <w:szCs w:val="20"/>
                <w:color w:val="auto"/>
              </w:rPr>
            </w:pPr>
            <w:r>
              <w:rPr>
                <w:rFonts w:ascii="Arial" w:cs="Arial" w:eastAsia="Arial" w:hAnsi="Arial"/>
                <w:sz w:val="17"/>
                <w:szCs w:val="17"/>
                <w:color w:val="auto"/>
              </w:rPr>
              <w:t>(10,337)</w:t>
            </w:r>
          </w:p>
        </w:tc>
        <w:tc>
          <w:tcPr>
            <w:tcW w:w="340" w:type="dxa"/>
            <w:vAlign w:val="bottom"/>
            <w:shd w:val="clear" w:color="auto" w:fill="D6F3E8"/>
          </w:tcPr>
          <w:p>
            <w:pPr>
              <w:spacing w:after="0"/>
              <w:rPr>
                <w:sz w:val="22"/>
                <w:szCs w:val="22"/>
                <w:color w:val="auto"/>
              </w:rPr>
            </w:pPr>
          </w:p>
        </w:tc>
        <w:tc>
          <w:tcPr>
            <w:tcW w:w="106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340" w:type="dxa"/>
            <w:vAlign w:val="bottom"/>
            <w:shd w:val="clear" w:color="auto" w:fill="D6F3E8"/>
          </w:tcPr>
          <w:p>
            <w:pPr>
              <w:spacing w:after="0"/>
              <w:rPr>
                <w:sz w:val="22"/>
                <w:szCs w:val="22"/>
                <w:color w:val="auto"/>
              </w:rPr>
            </w:pPr>
          </w:p>
        </w:tc>
        <w:tc>
          <w:tcPr>
            <w:tcW w:w="108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40" w:type="dxa"/>
            <w:vAlign w:val="bottom"/>
            <w:vMerge w:val="restart"/>
          </w:tcPr>
          <w:p>
            <w:pPr>
              <w:ind w:left="20"/>
              <w:spacing w:after="0"/>
              <w:rPr>
                <w:sz w:val="20"/>
                <w:szCs w:val="20"/>
                <w:color w:val="auto"/>
              </w:rPr>
            </w:pPr>
            <w:r>
              <w:rPr>
                <w:rFonts w:ascii="Arial" w:cs="Arial" w:eastAsia="Arial" w:hAnsi="Arial"/>
                <w:sz w:val="17"/>
                <w:szCs w:val="17"/>
                <w:color w:val="auto"/>
              </w:rPr>
              <w:t>Comprehensive Income</w:t>
            </w: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540" w:type="dxa"/>
            <w:vAlign w:val="bottom"/>
            <w:vMerge w:val="continue"/>
          </w:tcPr>
          <w:p>
            <w:pPr>
              <w:spacing w:after="0"/>
              <w:rPr>
                <w:sz w:val="21"/>
                <w:szCs w:val="21"/>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8,181,032</w:t>
            </w:r>
          </w:p>
        </w:tc>
        <w:tc>
          <w:tcPr>
            <w:tcW w:w="200" w:type="dxa"/>
            <w:vAlign w:val="bottom"/>
          </w:tcPr>
          <w:p>
            <w:pPr>
              <w:spacing w:after="0"/>
              <w:rPr>
                <w:sz w:val="21"/>
                <w:szCs w:val="21"/>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8,956,430</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7,699,650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980" w:hanging="211"/>
        <w:spacing w:after="0"/>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2006 amount includes a reclassification adjustment for losses included in net income of $93,914, net of tax.</w:t>
      </w:r>
    </w:p>
    <w:p>
      <w:pPr>
        <w:spacing w:after="0" w:line="228" w:lineRule="exact"/>
        <w:rPr>
          <w:rFonts w:ascii="Arial" w:cs="Arial" w:eastAsia="Arial" w:hAnsi="Arial"/>
          <w:sz w:val="17"/>
          <w:szCs w:val="17"/>
          <w:color w:val="auto"/>
        </w:rPr>
      </w:pPr>
    </w:p>
    <w:p>
      <w:pPr>
        <w:ind w:left="740" w:hanging="732"/>
        <w:spacing w:after="0"/>
        <w:tabs>
          <w:tab w:leader="none" w:pos="74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PENSION AND EMPLOYEE STOCK OWNERSHIP PLANS</w:t>
      </w:r>
    </w:p>
    <w:p>
      <w:pPr>
        <w:spacing w:after="0" w:line="241" w:lineRule="exact"/>
        <w:rPr>
          <w:sz w:val="20"/>
          <w:szCs w:val="20"/>
          <w:color w:val="auto"/>
        </w:rPr>
      </w:pPr>
    </w:p>
    <w:p>
      <w:pPr>
        <w:ind w:left="760" w:right="40"/>
        <w:spacing w:after="0" w:line="270" w:lineRule="auto"/>
        <w:rPr>
          <w:sz w:val="20"/>
          <w:szCs w:val="20"/>
          <w:color w:val="auto"/>
        </w:rPr>
      </w:pPr>
      <w:r>
        <w:rPr>
          <w:rFonts w:ascii="Arial" w:cs="Arial" w:eastAsia="Arial" w:hAnsi="Arial"/>
          <w:sz w:val="17"/>
          <w:szCs w:val="17"/>
          <w:color w:val="auto"/>
        </w:rPr>
        <w:t>The Company has a defined contribution pension plan covering substantially all of its non-bargaining employees. Pension expense for the fiscal years ended April 1, 2007, April 2, 2006, and April 3, 2005 was $2,178,875, $1,937,499, and $1,688,240, respectively. Contributions are made at the discretion of the Board of Directors subject to a maximum amount allowed under the Internal Revenue Code. The Company’s cost for the pension plan was determined as 15% of each employee’s covered compensation in the fiscal years ended April 1, 2007, April 2, 2006, and April 3, 2005. Amounts charged to pension expense and contributed to union multi-employer pension plans (not included in the above amounts) were not material. It is the Company’s policy to fund all pension costs accrued.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760" w:right="20"/>
        <w:spacing w:after="0" w:line="280" w:lineRule="auto"/>
        <w:rPr>
          <w:sz w:val="20"/>
          <w:szCs w:val="20"/>
          <w:color w:val="auto"/>
        </w:rPr>
      </w:pPr>
      <w:r>
        <w:rPr>
          <w:rFonts w:ascii="Arial" w:cs="Arial" w:eastAsia="Arial" w:hAnsi="Arial"/>
          <w:sz w:val="17"/>
          <w:szCs w:val="17"/>
          <w:color w:val="auto"/>
        </w:rPr>
        <w:t>The Company has an employee stock ownership plan (ESOP) covering substantially all of its non-bargaining employees. Contributions are made at the discretion of the Board of Directors subject to a maximum amount allowed under the Internal Revenue Code. ESOP expense for the fiscal years ended April 1, 2007, April 2, 2006, and April 3, 2005 was $726,292, $613,274, and $564,558, respectively.</w:t>
      </w:r>
    </w:p>
    <w:p>
      <w:pPr>
        <w:spacing w:after="0" w:line="176" w:lineRule="exact"/>
        <w:rPr>
          <w:sz w:val="20"/>
          <w:szCs w:val="20"/>
          <w:color w:val="auto"/>
        </w:rPr>
      </w:pPr>
    </w:p>
    <w:p>
      <w:pPr>
        <w:jc w:val="both"/>
        <w:ind w:left="760" w:right="200"/>
        <w:spacing w:after="0" w:line="280" w:lineRule="auto"/>
        <w:rPr>
          <w:sz w:val="20"/>
          <w:szCs w:val="20"/>
          <w:color w:val="auto"/>
        </w:rPr>
      </w:pPr>
      <w:r>
        <w:rPr>
          <w:rFonts w:ascii="Arial" w:cs="Arial" w:eastAsia="Arial" w:hAnsi="Arial"/>
          <w:sz w:val="17"/>
          <w:szCs w:val="17"/>
          <w:color w:val="auto"/>
        </w:rPr>
        <w:t>The Company has an employee stock purchase plan covering substantially all of its employees. A Company contribution of 75% of each employee’s contribution, up to a maximum of $375 per month, is made on a monthly basis. Contributions for the fiscal years ended April 1, 2007, April 2, 2006, and April 3, 2005 were $573,380, $525,874, and $469,198, respectively.</w:t>
      </w:r>
    </w:p>
    <w:p>
      <w:pPr>
        <w:spacing w:after="0" w:line="176" w:lineRule="exact"/>
        <w:rPr>
          <w:sz w:val="20"/>
          <w:szCs w:val="20"/>
          <w:color w:val="auto"/>
        </w:rPr>
      </w:pPr>
    </w:p>
    <w:p>
      <w:pPr>
        <w:ind w:left="760"/>
        <w:spacing w:after="0" w:line="272" w:lineRule="auto"/>
        <w:rPr>
          <w:sz w:val="20"/>
          <w:szCs w:val="20"/>
          <w:color w:val="auto"/>
        </w:rPr>
      </w:pPr>
      <w:r>
        <w:rPr>
          <w:rFonts w:ascii="Arial" w:cs="Arial" w:eastAsia="Arial" w:hAnsi="Arial"/>
          <w:sz w:val="17"/>
          <w:szCs w:val="17"/>
          <w:color w:val="auto"/>
        </w:rPr>
        <w:t>During the fiscal year ended April 1, 2007, the Company issued 45,257 shares of restricted stock to certain employees of the Company. The restricted stock awards are recorded as compensation cost over the requisite vesting period, which is one year of service, based on the market value on the date of grant. The grant date fair value on December 15, 2006 was $14.09. As of April 1, 2007, there was approximately $450,000 of total unrecognized compensation cost related to nonvested share-based compensation. Restricted stock expense related to this grant for the fiscal year ended April 1, 2007 was $185,987.</w:t>
      </w:r>
    </w:p>
    <w:p>
      <w:pPr>
        <w:spacing w:after="0" w:line="183" w:lineRule="exact"/>
        <w:rPr>
          <w:sz w:val="20"/>
          <w:szCs w:val="20"/>
          <w:color w:val="auto"/>
        </w:rPr>
      </w:pPr>
    </w:p>
    <w:p>
      <w:pPr>
        <w:ind w:left="760" w:right="120"/>
        <w:spacing w:after="0" w:line="280" w:lineRule="auto"/>
        <w:rPr>
          <w:sz w:val="20"/>
          <w:szCs w:val="20"/>
          <w:color w:val="auto"/>
        </w:rPr>
      </w:pPr>
      <w:r>
        <w:rPr>
          <w:rFonts w:ascii="Arial" w:cs="Arial" w:eastAsia="Arial" w:hAnsi="Arial"/>
          <w:sz w:val="17"/>
          <w:szCs w:val="17"/>
          <w:color w:val="auto"/>
        </w:rPr>
        <w:t>During the fiscal year ended April 3, 2005, the Company issued 40,653 shares of restricted stock to certain employees of the Company. The restricted stock awards were recorded as compensation cost over the requisite vesting periods based on the market value on the date of grant. Restricted stock expense for the fiscal years ended April 2, 2006, and April 3, 2005 was $198,702, and $287,915, respectively.</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Company does not currently offer any other significant post-retirement or post-employment benefits.</w:t>
      </w:r>
    </w:p>
    <w:p>
      <w:pPr>
        <w:spacing w:after="0" w:line="229" w:lineRule="exact"/>
        <w:rPr>
          <w:sz w:val="20"/>
          <w:szCs w:val="20"/>
          <w:color w:val="auto"/>
        </w:rPr>
      </w:pPr>
    </w:p>
    <w:p>
      <w:pPr>
        <w:ind w:left="700" w:hanging="692"/>
        <w:spacing w:after="0"/>
        <w:tabs>
          <w:tab w:leader="none" w:pos="70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35" w:lineRule="exact"/>
        <w:rPr>
          <w:sz w:val="20"/>
          <w:szCs w:val="20"/>
          <w:color w:val="auto"/>
        </w:rPr>
      </w:pPr>
    </w:p>
    <w:p>
      <w:pPr>
        <w:ind w:left="760" w:right="80"/>
        <w:spacing w:after="0" w:line="277" w:lineRule="auto"/>
        <w:rPr>
          <w:sz w:val="20"/>
          <w:szCs w:val="20"/>
          <w:color w:val="auto"/>
        </w:rPr>
      </w:pPr>
      <w:r>
        <w:rPr>
          <w:rFonts w:ascii="Arial" w:cs="Arial" w:eastAsia="Arial" w:hAnsi="Arial"/>
          <w:sz w:val="17"/>
          <w:szCs w:val="17"/>
          <w:b w:val="1"/>
          <w:bCs w:val="1"/>
          <w:i w:val="1"/>
          <w:iCs w:val="1"/>
          <w:color w:val="auto"/>
        </w:rPr>
        <w:t>Leases</w:t>
      </w:r>
      <w:r>
        <w:rPr>
          <w:rFonts w:ascii="Arial" w:cs="Arial" w:eastAsia="Arial" w:hAnsi="Arial"/>
          <w:sz w:val="17"/>
          <w:szCs w:val="17"/>
          <w:b w:val="1"/>
          <w:bCs w:val="1"/>
          <w:color w:val="auto"/>
        </w:rPr>
        <w:t>—</w:t>
      </w:r>
      <w:r>
        <w:rPr>
          <w:rFonts w:ascii="Arial" w:cs="Arial" w:eastAsia="Arial" w:hAnsi="Arial"/>
          <w:sz w:val="17"/>
          <w:szCs w:val="17"/>
          <w:color w:val="auto"/>
        </w:rPr>
        <w:t>The Company has various operating leases for trucks and land and buildings on which some of its operations are located. Future minimum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lease payments due under operating leases with an initial term of one year or more at April 1, 2007 are $268,716 in 2008, $244,215 in 2009, $219,667 in 2010, $187,023 in 2011, $187,023 in 2012, and $2,691,160 thereafter. Total rental expense for the fiscal years ended April 1, 2007, April 2, 2006, and April 3, 2005 were as follows:</w:t>
      </w:r>
    </w:p>
    <w:p>
      <w:pPr>
        <w:spacing w:after="0" w:line="215"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2007</w:t>
            </w:r>
          </w:p>
        </w:tc>
        <w:tc>
          <w:tcPr>
            <w:tcW w:w="6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2006</w:t>
            </w:r>
          </w:p>
        </w:tc>
        <w:tc>
          <w:tcPr>
            <w:tcW w:w="2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98"/>
              <w:spacing w:after="0"/>
              <w:rPr>
                <w:sz w:val="20"/>
                <w:szCs w:val="20"/>
                <w:color w:val="auto"/>
              </w:rPr>
            </w:pPr>
            <w:r>
              <w:rPr>
                <w:rFonts w:ascii="Arial" w:cs="Arial" w:eastAsia="Arial" w:hAnsi="Arial"/>
                <w:sz w:val="13"/>
                <w:szCs w:val="13"/>
                <w:b w:val="1"/>
                <w:bCs w:val="1"/>
                <w:color w:val="auto"/>
              </w:rPr>
              <w:t>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980" w:type="dxa"/>
            <w:vAlign w:val="bottom"/>
            <w:shd w:val="clear" w:color="auto" w:fill="D6F3E8"/>
          </w:tcPr>
          <w:p>
            <w:pPr>
              <w:ind w:left="20"/>
              <w:spacing w:after="0"/>
              <w:rPr>
                <w:sz w:val="20"/>
                <w:szCs w:val="20"/>
                <w:color w:val="auto"/>
              </w:rPr>
            </w:pPr>
            <w:r>
              <w:rPr>
                <w:rFonts w:ascii="Arial" w:cs="Arial" w:eastAsia="Arial" w:hAnsi="Arial"/>
                <w:sz w:val="17"/>
                <w:szCs w:val="17"/>
                <w:color w:val="auto"/>
              </w:rPr>
              <w:t>Minimum rentals</w:t>
            </w:r>
          </w:p>
        </w:tc>
        <w:tc>
          <w:tcPr>
            <w:tcW w:w="960" w:type="dxa"/>
            <w:vAlign w:val="bottom"/>
            <w:shd w:val="clear" w:color="auto" w:fill="D6F3E8"/>
          </w:tcPr>
          <w:p>
            <w:pPr>
              <w:jc w:val="right"/>
              <w:ind w:right="779"/>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w w:val="97"/>
              </w:rPr>
              <w:t>284,862</w:t>
            </w:r>
          </w:p>
        </w:tc>
        <w:tc>
          <w:tcPr>
            <w:tcW w:w="380" w:type="dxa"/>
            <w:vAlign w:val="bottom"/>
            <w:shd w:val="clear" w:color="auto" w:fill="D6F3E8"/>
          </w:tcPr>
          <w:p>
            <w:pPr>
              <w:jc w:val="right"/>
              <w:ind w:right="193"/>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D6F3E8"/>
          </w:tcPr>
          <w:p>
            <w:pPr>
              <w:jc w:val="right"/>
              <w:ind w:right="220"/>
              <w:spacing w:after="0"/>
              <w:rPr>
                <w:sz w:val="20"/>
                <w:szCs w:val="20"/>
                <w:color w:val="auto"/>
              </w:rPr>
            </w:pPr>
            <w:r>
              <w:rPr>
                <w:rFonts w:ascii="Arial" w:cs="Arial" w:eastAsia="Arial" w:hAnsi="Arial"/>
                <w:sz w:val="17"/>
                <w:szCs w:val="17"/>
                <w:color w:val="auto"/>
              </w:rPr>
              <w:t>287,888</w:t>
            </w:r>
          </w:p>
        </w:tc>
        <w:tc>
          <w:tcPr>
            <w:tcW w:w="380" w:type="dxa"/>
            <w:vAlign w:val="bottom"/>
            <w:shd w:val="clear" w:color="auto" w:fill="D6F3E8"/>
          </w:tcPr>
          <w:p>
            <w:pPr>
              <w:jc w:val="right"/>
              <w:ind w:right="224"/>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243,960</w:t>
            </w:r>
          </w:p>
        </w:tc>
        <w:tc>
          <w:tcPr>
            <w:tcW w:w="0" w:type="dxa"/>
            <w:vAlign w:val="bottom"/>
          </w:tcPr>
          <w:p>
            <w:pPr>
              <w:spacing w:after="0"/>
              <w:rPr>
                <w:sz w:val="1"/>
                <w:szCs w:val="1"/>
                <w:color w:val="auto"/>
              </w:rPr>
            </w:pPr>
          </w:p>
        </w:tc>
      </w:tr>
      <w:tr>
        <w:trPr>
          <w:trHeight w:val="255"/>
        </w:trPr>
        <w:tc>
          <w:tcPr>
            <w:tcW w:w="4980" w:type="dxa"/>
            <w:vAlign w:val="bottom"/>
          </w:tcPr>
          <w:p>
            <w:pPr>
              <w:ind w:left="20"/>
              <w:spacing w:after="0"/>
              <w:rPr>
                <w:sz w:val="20"/>
                <w:szCs w:val="20"/>
                <w:color w:val="auto"/>
              </w:rPr>
            </w:pPr>
            <w:r>
              <w:rPr>
                <w:rFonts w:ascii="Arial" w:cs="Arial" w:eastAsia="Arial" w:hAnsi="Arial"/>
                <w:sz w:val="17"/>
                <w:szCs w:val="17"/>
                <w:color w:val="auto"/>
              </w:rPr>
              <w:t>Contingent rentals</w:t>
            </w:r>
          </w:p>
        </w:tc>
        <w:tc>
          <w:tcPr>
            <w:tcW w:w="9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88,510</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73,776</w:t>
            </w:r>
          </w:p>
        </w:tc>
        <w:tc>
          <w:tcPr>
            <w:tcW w:w="38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65,639</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D6F3E8"/>
          </w:tcPr>
          <w:p>
            <w:pPr>
              <w:ind w:left="20"/>
              <w:spacing w:after="0"/>
              <w:rPr>
                <w:sz w:val="20"/>
                <w:szCs w:val="20"/>
                <w:color w:val="auto"/>
              </w:rPr>
            </w:pPr>
            <w:r>
              <w:rPr>
                <w:rFonts w:ascii="Arial" w:cs="Arial" w:eastAsia="Arial" w:hAnsi="Arial"/>
                <w:sz w:val="17"/>
                <w:szCs w:val="17"/>
                <w:color w:val="auto"/>
              </w:rPr>
              <w:t>Total rental expense</w:t>
            </w: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980" w:type="dxa"/>
            <w:vAlign w:val="bottom"/>
            <w:vMerge w:val="continue"/>
            <w:shd w:val="clear" w:color="auto" w:fill="D6F3E8"/>
          </w:tcPr>
          <w:p>
            <w:pPr>
              <w:spacing w:after="0"/>
              <w:rPr>
                <w:sz w:val="21"/>
                <w:szCs w:val="21"/>
                <w:color w:val="auto"/>
              </w:rPr>
            </w:pPr>
          </w:p>
        </w:tc>
        <w:tc>
          <w:tcPr>
            <w:tcW w:w="960" w:type="dxa"/>
            <w:vAlign w:val="bottom"/>
            <w:shd w:val="clear" w:color="auto" w:fill="D6F3E8"/>
          </w:tcPr>
          <w:p>
            <w:pPr>
              <w:jc w:val="right"/>
              <w:ind w:right="779"/>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D6F3E8"/>
          </w:tcPr>
          <w:p>
            <w:pPr>
              <w:jc w:val="right"/>
              <w:spacing w:after="0"/>
              <w:rPr>
                <w:sz w:val="20"/>
                <w:szCs w:val="20"/>
                <w:color w:val="auto"/>
              </w:rPr>
            </w:pPr>
            <w:r>
              <w:rPr>
                <w:rFonts w:ascii="Arial" w:cs="Arial" w:eastAsia="Arial" w:hAnsi="Arial"/>
                <w:sz w:val="17"/>
                <w:szCs w:val="17"/>
                <w:color w:val="auto"/>
                <w:w w:val="97"/>
              </w:rPr>
              <w:t>373,372</w:t>
            </w:r>
          </w:p>
        </w:tc>
        <w:tc>
          <w:tcPr>
            <w:tcW w:w="200" w:type="dxa"/>
            <w:vAlign w:val="bottom"/>
            <w:shd w:val="clear" w:color="auto" w:fill="D6F3E8"/>
          </w:tcPr>
          <w:p>
            <w:pPr>
              <w:spacing w:after="0"/>
              <w:rPr>
                <w:sz w:val="21"/>
                <w:szCs w:val="21"/>
                <w:color w:val="auto"/>
              </w:rPr>
            </w:pPr>
          </w:p>
        </w:tc>
        <w:tc>
          <w:tcPr>
            <w:tcW w:w="380" w:type="dxa"/>
            <w:vAlign w:val="bottom"/>
            <w:shd w:val="clear" w:color="auto" w:fill="D6F3E8"/>
          </w:tcPr>
          <w:p>
            <w:pPr>
              <w:jc w:val="right"/>
              <w:ind w:right="193"/>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D6F3E8"/>
          </w:tcPr>
          <w:p>
            <w:pPr>
              <w:jc w:val="right"/>
              <w:ind w:right="220"/>
              <w:spacing w:after="0"/>
              <w:rPr>
                <w:sz w:val="20"/>
                <w:szCs w:val="20"/>
                <w:color w:val="auto"/>
              </w:rPr>
            </w:pPr>
            <w:r>
              <w:rPr>
                <w:rFonts w:ascii="Arial" w:cs="Arial" w:eastAsia="Arial" w:hAnsi="Arial"/>
                <w:sz w:val="17"/>
                <w:szCs w:val="17"/>
                <w:color w:val="auto"/>
              </w:rPr>
              <w:t>361,664</w:t>
            </w:r>
          </w:p>
        </w:tc>
        <w:tc>
          <w:tcPr>
            <w:tcW w:w="380" w:type="dxa"/>
            <w:vAlign w:val="bottom"/>
            <w:shd w:val="clear" w:color="auto" w:fill="D6F3E8"/>
          </w:tcPr>
          <w:p>
            <w:pPr>
              <w:jc w:val="right"/>
              <w:ind w:right="224"/>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309,599</w:t>
            </w:r>
          </w:p>
        </w:tc>
        <w:tc>
          <w:tcPr>
            <w:tcW w:w="0" w:type="dxa"/>
            <w:vAlign w:val="bottom"/>
          </w:tcPr>
          <w:p>
            <w:pPr>
              <w:spacing w:after="0"/>
              <w:rPr>
                <w:sz w:val="1"/>
                <w:szCs w:val="1"/>
                <w:color w:val="auto"/>
              </w:rPr>
            </w:pPr>
          </w:p>
        </w:tc>
      </w:tr>
      <w:tr>
        <w:trPr>
          <w:trHeight w:val="20"/>
        </w:trPr>
        <w:tc>
          <w:tcPr>
            <w:tcW w:w="4980" w:type="dxa"/>
            <w:vAlign w:val="bottom"/>
            <w:tcBorders>
              <w:top w:val="single" w:sz="8" w:color="D6F3E8"/>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 xml:space="preserve">Litigation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completed the acquisition of Universal Chemicals on May 26, 2000. As consideration for this acquisition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paid cash of $2,700,000 and issued 75,358 shares of unregistered common stock valued at $600,000 to Universal Chemicals’ shareholders. The stock issued was not subject to any contingencies at the time of the acquisition. In the fourth quarter of fiscal 2004, the Company paid $3.0 million to resolve a personal injury lawsuit encaptioned Chavarria et al v. Hawkins, Inc., Panorama Compounding Pharmacy, and Valley Drug and Compounding, et al that arose from the alleged mislabeling of certain inventory the Company purchased in connection with its acquisition of St. Mary’s Chemicals, Inc. (d/b/a Universal Chemicals) in May 2000. The lawsuit alleged that the inventory was purchased in conjunction with the acquisition, however, subsequent information confirmed that the inventory was purchased from Universal Chemicals prior to the acquisition and was not related to assets purchased in the acquisition and accordingly was determined not to be an adjustment to the purchase price for Universal Chemicals. Pursuant to the terms of the settlement, the Company denied all liability and reserved its right to pursue indemnification and contribution from third parties. In July 2004, the Company filed suit in Hennepin County, Minnesota against the former principals of Universal Chemicals, seeking indemnification for the costs the Company incurred in defending and resolving the prior litigation.</w:t>
      </w:r>
    </w:p>
    <w:p>
      <w:pPr>
        <w:sectPr>
          <w:pgSz w:w="11900" w:h="16879" w:orient="portrait"/>
          <w:cols w:equalWidth="0" w:num="1">
            <w:col w:w="11360"/>
          </w:cols>
          <w:pgMar w:left="240" w:top="131" w:right="299" w:bottom="0" w:gutter="0" w:footer="0" w:header="0"/>
        </w:sectPr>
      </w:pPr>
    </w:p>
    <w:bookmarkStart w:id="21" w:name="page22"/>
    <w:bookmarkEnd w:id="21"/>
    <w:p>
      <w:pPr>
        <w:ind w:left="760" w:right="60"/>
        <w:spacing w:after="0" w:line="286" w:lineRule="auto"/>
        <w:rPr>
          <w:sz w:val="20"/>
          <w:szCs w:val="20"/>
          <w:color w:val="auto"/>
        </w:rPr>
      </w:pPr>
      <w:r>
        <w:rPr>
          <w:rFonts w:ascii="Arial" w:cs="Arial" w:eastAsia="Arial" w:hAnsi="Arial"/>
          <w:sz w:val="16"/>
          <w:szCs w:val="16"/>
          <w:color w:val="auto"/>
        </w:rPr>
        <w:t>On June 23, 2005, the Company and the former Universal Chemicals principals (the “defendants”) executed a settlement agreement in full and final resolution of the Company’s claims, as well as any claims the defendants may have or may have had against the Company. The settlement agreement required the defendants to surrender to the Company 75,358 shares of the Company’s common stock, which they received as consideration for the May 2000 acquisition. The 75,358 shares represent a partial reimbursement for the $3.0 million settlement paid by the Company in fiscal 2004. Both the original $3.0 million settlement paid by the Company and the settlement received from the Universal Chemicals shareholders were recorded within the litigation settlement line of the Statements of Income. The agreement also terminated the non-competition provisions of the Company’s agreements with the defendants, relieving the Company of the obligation to pay $500,000 to the defendants over the next five years as consideration for these provisions. The settlement agreement called for the parties to execute mutual releases and a stipulation of dismissal. Litigation settlement income of $1,056,520 was recorded in the Pharmaceutical segment during the fiscal year ended April 2, 2006 as the Company received the 75,358 shares and the executed final releases and stipulations.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60" w:right="320"/>
        <w:spacing w:after="0" w:line="280" w:lineRule="auto"/>
        <w:rPr>
          <w:sz w:val="20"/>
          <w:szCs w:val="20"/>
          <w:color w:val="auto"/>
        </w:rPr>
      </w:pPr>
      <w:r>
        <w:rPr>
          <w:rFonts w:ascii="Arial" w:cs="Arial" w:eastAsia="Arial" w:hAnsi="Arial"/>
          <w:sz w:val="17"/>
          <w:szCs w:val="17"/>
          <w:color w:val="auto"/>
        </w:rPr>
        <w:t>The Company is involved in various legal actions arising from the normal course of business. Management is of the opinion that any judgment or settlement resulting from pending or threatened litigation would not have a material adverse effect on the financial position, results of operations or cash flows of the Company.</w:t>
      </w:r>
    </w:p>
    <w:p>
      <w:pPr>
        <w:spacing w:after="0" w:line="176" w:lineRule="exact"/>
        <w:rPr>
          <w:sz w:val="20"/>
          <w:szCs w:val="20"/>
          <w:color w:val="auto"/>
        </w:rPr>
      </w:pPr>
    </w:p>
    <w:p>
      <w:pPr>
        <w:ind w:left="760"/>
        <w:spacing w:after="0" w:line="285" w:lineRule="auto"/>
        <w:rPr>
          <w:sz w:val="20"/>
          <w:szCs w:val="20"/>
          <w:color w:val="auto"/>
        </w:rPr>
      </w:pPr>
      <w:r>
        <w:rPr>
          <w:rFonts w:ascii="Arial" w:cs="Arial" w:eastAsia="Arial" w:hAnsi="Arial"/>
          <w:sz w:val="16"/>
          <w:szCs w:val="16"/>
          <w:b w:val="1"/>
          <w:bCs w:val="1"/>
          <w:i w:val="1"/>
          <w:iCs w:val="1"/>
          <w:color w:val="auto"/>
        </w:rPr>
        <w:t xml:space="preserve">Asset Retirement Obligations — </w:t>
      </w:r>
      <w:r>
        <w:rPr>
          <w:rFonts w:ascii="Arial" w:cs="Arial" w:eastAsia="Arial" w:hAnsi="Arial"/>
          <w:sz w:val="16"/>
          <w:szCs w:val="16"/>
          <w:color w:val="auto"/>
        </w:rPr>
        <w:t>The Company has two leases of land, and at the end of the lease term (currently 2018 if the leases are not renewed),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a specified amount of time to remove the property and buildings. At the end of the specified amount of time, anything that remains on the land becomes the property of the lessor, and the lessor has the option to either maintain the property or remove the property at the Company’s expense. The Company has not been able to reasonably estimate the fair value of the asset retirement obligations, primarily due to the combination of the following factors: the leases do not expire in the near future; the Company has a history of extending the leases with the lessor and currently intends to do so at expiration of this lease period; the lessor does not have a history of terminating leases with its tenants; and because it is more likely than not that the buildings will have value at the end of the lease life and therefore, may not be removed by either the lessee or the lessor. Therefore, in accordance with SFAS No. 143, “Accounting for Asset Retirement Obligations,” and FASB Interpretation 47, “Accounting for Conditional Asset Retirement Obligations- an interpretation of FASB Statement No. 143,” the Company has not recorded an asset retirement obligation as of April 1, 2007. The Company will continue to monitor the factors surrounding the requirement to record an asset retirement obligation and will recognize the fair value of a liability in the period in which it is incurred and a reasonable estimate can be made.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jc w:val="right"/>
              <w:ind w:right="213"/>
              <w:spacing w:after="0"/>
              <w:rPr>
                <w:sz w:val="20"/>
                <w:szCs w:val="20"/>
                <w:color w:val="auto"/>
              </w:rPr>
            </w:pPr>
            <w:r>
              <w:rPr>
                <w:rFonts w:ascii="Arial" w:cs="Arial" w:eastAsia="Arial" w:hAnsi="Arial"/>
                <w:sz w:val="17"/>
                <w:szCs w:val="17"/>
                <w:b w:val="1"/>
                <w:bCs w:val="1"/>
                <w:color w:val="auto"/>
                <w:w w:val="84"/>
              </w:rPr>
              <w:t>8.</w:t>
            </w:r>
          </w:p>
        </w:tc>
        <w:tc>
          <w:tcPr>
            <w:tcW w:w="5140" w:type="dxa"/>
            <w:vAlign w:val="bottom"/>
            <w:gridSpan w:val="2"/>
          </w:tcPr>
          <w:p>
            <w:pPr>
              <w:ind w:left="300"/>
              <w:spacing w:after="0"/>
              <w:rPr>
                <w:sz w:val="20"/>
                <w:szCs w:val="20"/>
                <w:color w:val="auto"/>
              </w:rPr>
            </w:pPr>
            <w:r>
              <w:rPr>
                <w:rFonts w:ascii="Arial" w:cs="Arial" w:eastAsia="Arial" w:hAnsi="Arial"/>
                <w:sz w:val="17"/>
                <w:szCs w:val="17"/>
                <w:b w:val="1"/>
                <w:bCs w:val="1"/>
                <w:color w:val="auto"/>
              </w:rPr>
              <w:t>INCOME TAXES</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440" w:type="dxa"/>
            <w:vAlign w:val="bottom"/>
          </w:tcPr>
          <w:p>
            <w:pPr>
              <w:spacing w:after="0"/>
              <w:rPr>
                <w:sz w:val="24"/>
                <w:szCs w:val="24"/>
                <w:color w:val="auto"/>
              </w:rPr>
            </w:pPr>
          </w:p>
        </w:tc>
        <w:tc>
          <w:tcPr>
            <w:tcW w:w="5140" w:type="dxa"/>
            <w:vAlign w:val="bottom"/>
            <w:gridSpan w:val="2"/>
          </w:tcPr>
          <w:p>
            <w:pPr>
              <w:ind w:left="320"/>
              <w:spacing w:after="0"/>
              <w:rPr>
                <w:sz w:val="20"/>
                <w:szCs w:val="20"/>
                <w:color w:val="auto"/>
              </w:rPr>
            </w:pPr>
            <w:r>
              <w:rPr>
                <w:rFonts w:ascii="Arial" w:cs="Arial" w:eastAsia="Arial" w:hAnsi="Arial"/>
                <w:sz w:val="17"/>
                <w:szCs w:val="17"/>
                <w:color w:val="auto"/>
              </w:rPr>
              <w:t>The provisions for income taxes are as follows:</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3"/>
                <w:szCs w:val="13"/>
                <w:b w:val="1"/>
                <w:bCs w:val="1"/>
                <w:color w:val="auto"/>
                <w:w w:val="92"/>
              </w:rPr>
              <w:t>Fiscal Year Ended</w:t>
            </w: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gridSpan w:val="2"/>
          </w:tcPr>
          <w:p>
            <w:pPr>
              <w:jc w:val="center"/>
              <w:ind w:right="660"/>
              <w:spacing w:after="0" w:line="129" w:lineRule="exact"/>
              <w:rPr>
                <w:sz w:val="20"/>
                <w:szCs w:val="20"/>
                <w:color w:val="auto"/>
              </w:rPr>
            </w:pPr>
            <w:r>
              <w:rPr>
                <w:rFonts w:ascii="Arial" w:cs="Arial" w:eastAsia="Arial" w:hAnsi="Arial"/>
                <w:sz w:val="13"/>
                <w:szCs w:val="13"/>
                <w:b w:val="1"/>
                <w:bCs w:val="1"/>
                <w:color w:val="auto"/>
                <w:w w:val="99"/>
              </w:rPr>
              <w:t>April 1,</w:t>
            </w:r>
          </w:p>
        </w:tc>
        <w:tc>
          <w:tcPr>
            <w:tcW w:w="200" w:type="dxa"/>
            <w:vAlign w:val="bottom"/>
          </w:tcPr>
          <w:p>
            <w:pPr>
              <w:spacing w:after="0"/>
              <w:rPr>
                <w:sz w:val="11"/>
                <w:szCs w:val="11"/>
                <w:color w:val="auto"/>
              </w:rPr>
            </w:pPr>
          </w:p>
        </w:tc>
        <w:tc>
          <w:tcPr>
            <w:tcW w:w="1740" w:type="dxa"/>
            <w:vAlign w:val="bottom"/>
            <w:gridSpan w:val="2"/>
          </w:tcPr>
          <w:p>
            <w:pPr>
              <w:jc w:val="center"/>
              <w:ind w:right="500"/>
              <w:spacing w:after="0" w:line="129" w:lineRule="exact"/>
              <w:rPr>
                <w:sz w:val="20"/>
                <w:szCs w:val="20"/>
                <w:color w:val="auto"/>
              </w:rPr>
            </w:pPr>
            <w:r>
              <w:rPr>
                <w:rFonts w:ascii="Arial" w:cs="Arial" w:eastAsia="Arial" w:hAnsi="Arial"/>
                <w:sz w:val="13"/>
                <w:szCs w:val="13"/>
                <w:b w:val="1"/>
                <w:bCs w:val="1"/>
                <w:color w:val="auto"/>
                <w:w w:val="99"/>
              </w:rPr>
              <w:t>April 2,</w:t>
            </w:r>
          </w:p>
        </w:tc>
        <w:tc>
          <w:tcPr>
            <w:tcW w:w="320" w:type="dxa"/>
            <w:vAlign w:val="bottom"/>
          </w:tcPr>
          <w:p>
            <w:pPr>
              <w:spacing w:after="0"/>
              <w:rPr>
                <w:sz w:val="11"/>
                <w:szCs w:val="11"/>
                <w:color w:val="auto"/>
              </w:rPr>
            </w:pPr>
          </w:p>
        </w:tc>
        <w:tc>
          <w:tcPr>
            <w:tcW w:w="1320" w:type="dxa"/>
            <w:vAlign w:val="bottom"/>
          </w:tcPr>
          <w:p>
            <w:pPr>
              <w:jc w:val="right"/>
              <w:ind w:right="539"/>
              <w:spacing w:after="0" w:line="129" w:lineRule="exact"/>
              <w:rPr>
                <w:sz w:val="20"/>
                <w:szCs w:val="20"/>
                <w:color w:val="auto"/>
              </w:rPr>
            </w:pPr>
            <w:r>
              <w:rPr>
                <w:rFonts w:ascii="Arial" w:cs="Arial" w:eastAsia="Arial" w:hAnsi="Arial"/>
                <w:sz w:val="13"/>
                <w:szCs w:val="13"/>
                <w:b w:val="1"/>
                <w:bCs w:val="1"/>
                <w:color w:val="auto"/>
              </w:rPr>
              <w:t>April 3,</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2007</w:t>
            </w:r>
          </w:p>
        </w:tc>
        <w:tc>
          <w:tcPr>
            <w:tcW w:w="3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121"/>
              <w:spacing w:after="0"/>
              <w:rPr>
                <w:sz w:val="20"/>
                <w:szCs w:val="20"/>
                <w:color w:val="auto"/>
              </w:rPr>
            </w:pPr>
            <w:r>
              <w:rPr>
                <w:rFonts w:ascii="Arial" w:cs="Arial" w:eastAsia="Arial" w:hAnsi="Arial"/>
                <w:sz w:val="13"/>
                <w:szCs w:val="13"/>
                <w:b w:val="1"/>
                <w:bCs w:val="1"/>
                <w:color w:val="auto"/>
                <w:w w:val="89"/>
              </w:rPr>
              <w:t>2006</w:t>
            </w:r>
          </w:p>
        </w:tc>
        <w:tc>
          <w:tcPr>
            <w:tcW w:w="3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3"/>
                <w:szCs w:val="13"/>
                <w:b w:val="1"/>
                <w:bCs w:val="1"/>
                <w:color w:val="auto"/>
              </w:rPr>
              <w:t>2005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80" w:type="dxa"/>
            <w:vAlign w:val="bottom"/>
            <w:shd w:val="clear" w:color="auto" w:fill="D6F3E8"/>
          </w:tcPr>
          <w:p>
            <w:pPr>
              <w:ind w:left="20"/>
              <w:spacing w:after="0"/>
              <w:rPr>
                <w:sz w:val="20"/>
                <w:szCs w:val="20"/>
                <w:color w:val="auto"/>
              </w:rPr>
            </w:pPr>
            <w:r>
              <w:rPr>
                <w:rFonts w:ascii="Arial" w:cs="Arial" w:eastAsia="Arial" w:hAnsi="Arial"/>
                <w:sz w:val="17"/>
                <w:szCs w:val="17"/>
                <w:color w:val="auto"/>
              </w:rPr>
              <w:t>Federal—current</w:t>
            </w:r>
          </w:p>
        </w:tc>
        <w:tc>
          <w:tcPr>
            <w:tcW w:w="340" w:type="dxa"/>
            <w:vAlign w:val="bottom"/>
            <w:shd w:val="clear" w:color="auto" w:fill="D6F3E8"/>
          </w:tcPr>
          <w:p>
            <w:pPr>
              <w:jc w:val="right"/>
              <w:ind w:right="184"/>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D6F3E8"/>
          </w:tcPr>
          <w:p>
            <w:pPr>
              <w:jc w:val="right"/>
              <w:ind w:right="320"/>
              <w:spacing w:after="0"/>
              <w:rPr>
                <w:sz w:val="20"/>
                <w:szCs w:val="20"/>
                <w:color w:val="auto"/>
              </w:rPr>
            </w:pPr>
            <w:r>
              <w:rPr>
                <w:rFonts w:ascii="Arial" w:cs="Arial" w:eastAsia="Arial" w:hAnsi="Arial"/>
                <w:sz w:val="17"/>
                <w:szCs w:val="17"/>
                <w:color w:val="auto"/>
              </w:rPr>
              <w:t>3,834,812</w:t>
            </w:r>
          </w:p>
        </w:tc>
        <w:tc>
          <w:tcPr>
            <w:tcW w:w="200" w:type="dxa"/>
            <w:vAlign w:val="bottom"/>
            <w:shd w:val="clear" w:color="auto" w:fill="D6F3E8"/>
          </w:tcPr>
          <w:p>
            <w:pPr>
              <w:jc w:val="right"/>
              <w:ind w:right="44"/>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D6F3E8"/>
          </w:tcPr>
          <w:p>
            <w:pPr>
              <w:jc w:val="right"/>
              <w:ind w:right="320"/>
              <w:spacing w:after="0"/>
              <w:rPr>
                <w:sz w:val="20"/>
                <w:szCs w:val="20"/>
                <w:color w:val="auto"/>
              </w:rPr>
            </w:pPr>
            <w:r>
              <w:rPr>
                <w:rFonts w:ascii="Arial" w:cs="Arial" w:eastAsia="Arial" w:hAnsi="Arial"/>
                <w:sz w:val="17"/>
                <w:szCs w:val="17"/>
                <w:color w:val="auto"/>
              </w:rPr>
              <w:t>4,483,064</w:t>
            </w:r>
          </w:p>
        </w:tc>
        <w:tc>
          <w:tcPr>
            <w:tcW w:w="320" w:type="dxa"/>
            <w:vAlign w:val="bottom"/>
            <w:shd w:val="clear" w:color="auto" w:fill="D6F3E8"/>
          </w:tcPr>
          <w:p>
            <w:pPr>
              <w:jc w:val="right"/>
              <w:ind w:right="164"/>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D6F3E8"/>
          </w:tcPr>
          <w:p>
            <w:pPr>
              <w:jc w:val="right"/>
              <w:ind w:right="20"/>
              <w:spacing w:after="0"/>
              <w:rPr>
                <w:sz w:val="20"/>
                <w:szCs w:val="20"/>
                <w:color w:val="auto"/>
              </w:rPr>
            </w:pPr>
            <w:r>
              <w:rPr>
                <w:rFonts w:ascii="Arial" w:cs="Arial" w:eastAsia="Arial" w:hAnsi="Arial"/>
                <w:sz w:val="17"/>
                <w:szCs w:val="17"/>
                <w:color w:val="auto"/>
              </w:rPr>
              <w:t>3,578,342</w:t>
            </w:r>
          </w:p>
        </w:tc>
        <w:tc>
          <w:tcPr>
            <w:tcW w:w="8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7"/>
                <w:szCs w:val="17"/>
                <w:color w:val="auto"/>
              </w:rPr>
              <w:t>State—current</w:t>
            </w:r>
          </w:p>
        </w:tc>
        <w:tc>
          <w:tcPr>
            <w:tcW w:w="340" w:type="dxa"/>
            <w:vAlign w:val="bottom"/>
          </w:tcPr>
          <w:p>
            <w:pPr>
              <w:spacing w:after="0"/>
              <w:rPr>
                <w:sz w:val="22"/>
                <w:szCs w:val="22"/>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7"/>
                <w:szCs w:val="17"/>
                <w:color w:val="auto"/>
              </w:rPr>
              <w:t>948,302</w:t>
            </w:r>
          </w:p>
        </w:tc>
        <w:tc>
          <w:tcPr>
            <w:tcW w:w="200" w:type="dxa"/>
            <w:vAlign w:val="bottom"/>
          </w:tcPr>
          <w:p>
            <w:pPr>
              <w:spacing w:after="0"/>
              <w:rPr>
                <w:sz w:val="22"/>
                <w:szCs w:val="22"/>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7"/>
                <w:szCs w:val="17"/>
                <w:color w:val="auto"/>
              </w:rPr>
              <w:t>1,126,697</w:t>
            </w:r>
          </w:p>
        </w:tc>
        <w:tc>
          <w:tcPr>
            <w:tcW w:w="320" w:type="dxa"/>
            <w:vAlign w:val="bottom"/>
          </w:tcPr>
          <w:p>
            <w:pPr>
              <w:spacing w:after="0"/>
              <w:rPr>
                <w:sz w:val="22"/>
                <w:szCs w:val="22"/>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943,747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80" w:type="dxa"/>
            <w:vAlign w:val="bottom"/>
            <w:shd w:val="clear" w:color="auto" w:fill="D6F3E8"/>
          </w:tcPr>
          <w:p>
            <w:pPr>
              <w:ind w:left="20"/>
              <w:spacing w:after="0"/>
              <w:rPr>
                <w:sz w:val="20"/>
                <w:szCs w:val="20"/>
                <w:color w:val="auto"/>
              </w:rPr>
            </w:pPr>
            <w:r>
              <w:rPr>
                <w:rFonts w:ascii="Arial" w:cs="Arial" w:eastAsia="Arial" w:hAnsi="Arial"/>
                <w:sz w:val="17"/>
                <w:szCs w:val="17"/>
                <w:color w:val="auto"/>
              </w:rPr>
              <w:t>Deferred</w:t>
            </w:r>
          </w:p>
        </w:tc>
        <w:tc>
          <w:tcPr>
            <w:tcW w:w="340" w:type="dxa"/>
            <w:vAlign w:val="bottom"/>
            <w:shd w:val="clear" w:color="auto" w:fill="D6F3E8"/>
          </w:tcPr>
          <w:p>
            <w:pPr>
              <w:spacing w:after="0"/>
              <w:rPr>
                <w:sz w:val="22"/>
                <w:szCs w:val="22"/>
                <w:color w:val="auto"/>
              </w:rPr>
            </w:pPr>
          </w:p>
        </w:tc>
        <w:tc>
          <w:tcPr>
            <w:tcW w:w="1580" w:type="dxa"/>
            <w:vAlign w:val="bottom"/>
            <w:gridSpan w:val="2"/>
            <w:shd w:val="clear" w:color="auto" w:fill="D6F3E8"/>
          </w:tcPr>
          <w:p>
            <w:pPr>
              <w:jc w:val="right"/>
              <w:ind w:right="320"/>
              <w:spacing w:after="0"/>
              <w:rPr>
                <w:sz w:val="20"/>
                <w:szCs w:val="20"/>
                <w:color w:val="auto"/>
              </w:rPr>
            </w:pPr>
            <w:r>
              <w:rPr>
                <w:rFonts w:ascii="Arial" w:cs="Arial" w:eastAsia="Arial" w:hAnsi="Arial"/>
                <w:sz w:val="17"/>
                <w:szCs w:val="17"/>
                <w:color w:val="auto"/>
              </w:rPr>
              <w:t>104,676</w:t>
            </w:r>
          </w:p>
        </w:tc>
        <w:tc>
          <w:tcPr>
            <w:tcW w:w="200" w:type="dxa"/>
            <w:vAlign w:val="bottom"/>
            <w:shd w:val="clear" w:color="auto" w:fill="D6F3E8"/>
          </w:tcPr>
          <w:p>
            <w:pPr>
              <w:spacing w:after="0"/>
              <w:rPr>
                <w:sz w:val="22"/>
                <w:szCs w:val="22"/>
                <w:color w:val="auto"/>
              </w:rPr>
            </w:pPr>
          </w:p>
        </w:tc>
        <w:tc>
          <w:tcPr>
            <w:tcW w:w="1740" w:type="dxa"/>
            <w:vAlign w:val="bottom"/>
            <w:gridSpan w:val="2"/>
            <w:shd w:val="clear" w:color="auto" w:fill="D6F3E8"/>
          </w:tcPr>
          <w:p>
            <w:pPr>
              <w:jc w:val="right"/>
              <w:ind w:right="260"/>
              <w:spacing w:after="0"/>
              <w:rPr>
                <w:sz w:val="20"/>
                <w:szCs w:val="20"/>
                <w:color w:val="auto"/>
              </w:rPr>
            </w:pPr>
            <w:r>
              <w:rPr>
                <w:rFonts w:ascii="Arial" w:cs="Arial" w:eastAsia="Arial" w:hAnsi="Arial"/>
                <w:sz w:val="17"/>
                <w:szCs w:val="17"/>
                <w:color w:val="auto"/>
              </w:rPr>
              <w:t>(841,407)</w:t>
            </w:r>
          </w:p>
        </w:tc>
        <w:tc>
          <w:tcPr>
            <w:tcW w:w="320" w:type="dxa"/>
            <w:vAlign w:val="bottom"/>
            <w:shd w:val="clear" w:color="auto" w:fill="D6F3E8"/>
          </w:tcPr>
          <w:p>
            <w:pPr>
              <w:spacing w:after="0"/>
              <w:rPr>
                <w:sz w:val="22"/>
                <w:szCs w:val="22"/>
                <w:color w:val="auto"/>
              </w:rPr>
            </w:pPr>
          </w:p>
        </w:tc>
        <w:tc>
          <w:tcPr>
            <w:tcW w:w="1340" w:type="dxa"/>
            <w:vAlign w:val="bottom"/>
            <w:gridSpan w:val="2"/>
            <w:shd w:val="clear" w:color="auto" w:fill="D6F3E8"/>
          </w:tcPr>
          <w:p>
            <w:pPr>
              <w:jc w:val="right"/>
              <w:ind w:right="20"/>
              <w:spacing w:after="0"/>
              <w:rPr>
                <w:sz w:val="20"/>
                <w:szCs w:val="20"/>
                <w:color w:val="auto"/>
              </w:rPr>
            </w:pPr>
            <w:r>
              <w:rPr>
                <w:rFonts w:ascii="Arial" w:cs="Arial" w:eastAsia="Arial" w:hAnsi="Arial"/>
                <w:sz w:val="17"/>
                <w:szCs w:val="17"/>
                <w:color w:val="auto"/>
              </w:rPr>
              <w:t>23,033</w:t>
            </w:r>
          </w:p>
        </w:tc>
        <w:tc>
          <w:tcPr>
            <w:tcW w:w="8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80" w:type="dxa"/>
            <w:vAlign w:val="bottom"/>
            <w:vMerge w:val="restart"/>
          </w:tcPr>
          <w:p>
            <w:pPr>
              <w:ind w:left="340"/>
              <w:spacing w:after="0"/>
              <w:rPr>
                <w:sz w:val="20"/>
                <w:szCs w:val="20"/>
                <w:color w:val="auto"/>
              </w:rPr>
            </w:pPr>
            <w:r>
              <w:rPr>
                <w:rFonts w:ascii="Arial" w:cs="Arial" w:eastAsia="Arial" w:hAnsi="Arial"/>
                <w:sz w:val="17"/>
                <w:szCs w:val="17"/>
                <w:color w:val="auto"/>
              </w:rPr>
              <w:t>Total provision</w:t>
            </w: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80" w:type="dxa"/>
            <w:vAlign w:val="bottom"/>
            <w:vMerge w:val="continue"/>
          </w:tcPr>
          <w:p>
            <w:pPr>
              <w:spacing w:after="0"/>
              <w:rPr>
                <w:sz w:val="21"/>
                <w:szCs w:val="21"/>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320"/>
              <w:spacing w:after="0"/>
              <w:rPr>
                <w:sz w:val="20"/>
                <w:szCs w:val="20"/>
                <w:color w:val="auto"/>
              </w:rPr>
            </w:pPr>
            <w:r>
              <w:rPr>
                <w:rFonts w:ascii="Arial" w:cs="Arial" w:eastAsia="Arial" w:hAnsi="Arial"/>
                <w:sz w:val="17"/>
                <w:szCs w:val="17"/>
                <w:color w:val="auto"/>
              </w:rPr>
              <w:t>4,887,790</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320"/>
              <w:spacing w:after="0"/>
              <w:rPr>
                <w:sz w:val="20"/>
                <w:szCs w:val="20"/>
                <w:color w:val="auto"/>
              </w:rPr>
            </w:pPr>
            <w:r>
              <w:rPr>
                <w:rFonts w:ascii="Arial" w:cs="Arial" w:eastAsia="Arial" w:hAnsi="Arial"/>
                <w:sz w:val="17"/>
                <w:szCs w:val="17"/>
                <w:color w:val="auto"/>
              </w:rPr>
              <w:t>4,768,354</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4,545,122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left="760" w:right="100"/>
        <w:spacing w:after="0" w:line="280" w:lineRule="auto"/>
        <w:rPr>
          <w:sz w:val="20"/>
          <w:szCs w:val="20"/>
          <w:color w:val="auto"/>
        </w:rPr>
      </w:pPr>
      <w:r>
        <w:rPr>
          <w:rFonts w:ascii="Arial" w:cs="Arial" w:eastAsia="Arial" w:hAnsi="Arial"/>
          <w:sz w:val="17"/>
          <w:szCs w:val="17"/>
          <w:color w:val="auto"/>
        </w:rPr>
        <w:t>Reconciliations of the provisions for income taxes, based on income from continuing operations, to the applicable federal statutory income tax rate of 35% are listed below. Included within “Other” below for the fiscal year ended April 2, 2006 is a $363,000 tax benefit recognized due to adjustments to deferred tax estimates.</w:t>
      </w:r>
    </w:p>
    <w:p>
      <w:pPr>
        <w:spacing w:after="0" w:line="185"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3"/>
                <w:szCs w:val="13"/>
                <w:b w:val="1"/>
                <w:bCs w:val="1"/>
                <w:color w:val="auto"/>
                <w:w w:val="92"/>
              </w:rPr>
              <w:t>Fiscal Year Ended</w:t>
            </w:r>
          </w:p>
        </w:tc>
        <w:tc>
          <w:tcPr>
            <w:tcW w:w="3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gridSpan w:val="2"/>
          </w:tcPr>
          <w:p>
            <w:pPr>
              <w:jc w:val="center"/>
              <w:ind w:right="660"/>
              <w:spacing w:after="0" w:line="129" w:lineRule="exact"/>
              <w:rPr>
                <w:sz w:val="20"/>
                <w:szCs w:val="20"/>
                <w:color w:val="auto"/>
              </w:rPr>
            </w:pPr>
            <w:r>
              <w:rPr>
                <w:rFonts w:ascii="Arial" w:cs="Arial" w:eastAsia="Arial" w:hAnsi="Arial"/>
                <w:sz w:val="13"/>
                <w:szCs w:val="13"/>
                <w:b w:val="1"/>
                <w:bCs w:val="1"/>
                <w:color w:val="auto"/>
                <w:w w:val="99"/>
              </w:rPr>
              <w:t>April 1,</w:t>
            </w:r>
          </w:p>
        </w:tc>
        <w:tc>
          <w:tcPr>
            <w:tcW w:w="200" w:type="dxa"/>
            <w:vAlign w:val="bottom"/>
          </w:tcPr>
          <w:p>
            <w:pPr>
              <w:spacing w:after="0"/>
              <w:rPr>
                <w:sz w:val="11"/>
                <w:szCs w:val="11"/>
                <w:color w:val="auto"/>
              </w:rPr>
            </w:pPr>
          </w:p>
        </w:tc>
        <w:tc>
          <w:tcPr>
            <w:tcW w:w="1740" w:type="dxa"/>
            <w:vAlign w:val="bottom"/>
            <w:gridSpan w:val="2"/>
          </w:tcPr>
          <w:p>
            <w:pPr>
              <w:jc w:val="center"/>
              <w:ind w:right="500"/>
              <w:spacing w:after="0" w:line="129" w:lineRule="exact"/>
              <w:rPr>
                <w:sz w:val="20"/>
                <w:szCs w:val="20"/>
                <w:color w:val="auto"/>
              </w:rPr>
            </w:pPr>
            <w:r>
              <w:rPr>
                <w:rFonts w:ascii="Arial" w:cs="Arial" w:eastAsia="Arial" w:hAnsi="Arial"/>
                <w:sz w:val="13"/>
                <w:szCs w:val="13"/>
                <w:b w:val="1"/>
                <w:bCs w:val="1"/>
                <w:color w:val="auto"/>
                <w:w w:val="99"/>
              </w:rPr>
              <w:t>April 2,</w:t>
            </w:r>
          </w:p>
        </w:tc>
        <w:tc>
          <w:tcPr>
            <w:tcW w:w="320" w:type="dxa"/>
            <w:vAlign w:val="bottom"/>
          </w:tcPr>
          <w:p>
            <w:pPr>
              <w:spacing w:after="0"/>
              <w:rPr>
                <w:sz w:val="11"/>
                <w:szCs w:val="11"/>
                <w:color w:val="auto"/>
              </w:rPr>
            </w:pPr>
          </w:p>
        </w:tc>
        <w:tc>
          <w:tcPr>
            <w:tcW w:w="1320" w:type="dxa"/>
            <w:vAlign w:val="bottom"/>
          </w:tcPr>
          <w:p>
            <w:pPr>
              <w:jc w:val="right"/>
              <w:ind w:right="538"/>
              <w:spacing w:after="0" w:line="129" w:lineRule="exact"/>
              <w:rPr>
                <w:sz w:val="20"/>
                <w:szCs w:val="20"/>
                <w:color w:val="auto"/>
              </w:rPr>
            </w:pPr>
            <w:r>
              <w:rPr>
                <w:rFonts w:ascii="Arial" w:cs="Arial" w:eastAsia="Arial" w:hAnsi="Arial"/>
                <w:sz w:val="13"/>
                <w:szCs w:val="13"/>
                <w:b w:val="1"/>
                <w:bCs w:val="1"/>
                <w:color w:val="auto"/>
              </w:rPr>
              <w:t>April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2007</w:t>
            </w:r>
          </w:p>
        </w:tc>
        <w:tc>
          <w:tcPr>
            <w:tcW w:w="3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3"/>
                <w:szCs w:val="13"/>
                <w:b w:val="1"/>
                <w:bCs w:val="1"/>
                <w:color w:val="auto"/>
                <w:w w:val="89"/>
              </w:rPr>
              <w:t>2006</w:t>
            </w:r>
          </w:p>
        </w:tc>
        <w:tc>
          <w:tcPr>
            <w:tcW w:w="3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18"/>
              <w:spacing w:after="0"/>
              <w:rPr>
                <w:sz w:val="20"/>
                <w:szCs w:val="20"/>
                <w:color w:val="auto"/>
              </w:rPr>
            </w:pPr>
            <w:r>
              <w:rPr>
                <w:rFonts w:ascii="Arial" w:cs="Arial" w:eastAsia="Arial" w:hAnsi="Arial"/>
                <w:sz w:val="13"/>
                <w:szCs w:val="13"/>
                <w:b w:val="1"/>
                <w:bCs w:val="1"/>
                <w:color w:val="auto"/>
              </w:rPr>
              <w:t>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680" w:type="dxa"/>
            <w:vAlign w:val="bottom"/>
            <w:shd w:val="clear" w:color="auto" w:fill="D6F3E8"/>
          </w:tcPr>
          <w:p>
            <w:pPr>
              <w:ind w:left="20"/>
              <w:spacing w:after="0"/>
              <w:rPr>
                <w:sz w:val="20"/>
                <w:szCs w:val="20"/>
                <w:color w:val="auto"/>
              </w:rPr>
            </w:pPr>
            <w:r>
              <w:rPr>
                <w:rFonts w:ascii="Arial" w:cs="Arial" w:eastAsia="Arial" w:hAnsi="Arial"/>
                <w:sz w:val="17"/>
                <w:szCs w:val="17"/>
                <w:color w:val="auto"/>
              </w:rPr>
              <w:t>Statutory federal income tax</w:t>
            </w:r>
          </w:p>
        </w:tc>
        <w:tc>
          <w:tcPr>
            <w:tcW w:w="340" w:type="dxa"/>
            <w:vAlign w:val="bottom"/>
            <w:shd w:val="clear" w:color="auto" w:fill="D6F3E8"/>
          </w:tcPr>
          <w:p>
            <w:pPr>
              <w:jc w:val="right"/>
              <w:ind w:right="184"/>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D6F3E8"/>
          </w:tcPr>
          <w:p>
            <w:pPr>
              <w:jc w:val="right"/>
              <w:ind w:right="320"/>
              <w:spacing w:after="0"/>
              <w:rPr>
                <w:sz w:val="20"/>
                <w:szCs w:val="20"/>
                <w:color w:val="auto"/>
              </w:rPr>
            </w:pPr>
            <w:r>
              <w:rPr>
                <w:rFonts w:ascii="Arial" w:cs="Arial" w:eastAsia="Arial" w:hAnsi="Arial"/>
                <w:sz w:val="17"/>
                <w:szCs w:val="17"/>
                <w:color w:val="auto"/>
              </w:rPr>
              <w:t>4,534,835</w:t>
            </w:r>
          </w:p>
        </w:tc>
        <w:tc>
          <w:tcPr>
            <w:tcW w:w="200" w:type="dxa"/>
            <w:vAlign w:val="bottom"/>
            <w:shd w:val="clear" w:color="auto" w:fill="D6F3E8"/>
          </w:tcPr>
          <w:p>
            <w:pPr>
              <w:jc w:val="right"/>
              <w:ind w:right="44"/>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D6F3E8"/>
          </w:tcPr>
          <w:p>
            <w:pPr>
              <w:jc w:val="right"/>
              <w:ind w:right="320"/>
              <w:spacing w:after="0"/>
              <w:rPr>
                <w:sz w:val="20"/>
                <w:szCs w:val="20"/>
                <w:color w:val="auto"/>
              </w:rPr>
            </w:pPr>
            <w:r>
              <w:rPr>
                <w:rFonts w:ascii="Arial" w:cs="Arial" w:eastAsia="Arial" w:hAnsi="Arial"/>
                <w:sz w:val="17"/>
                <w:szCs w:val="17"/>
                <w:color w:val="auto"/>
              </w:rPr>
              <w:t>4,779,077</w:t>
            </w:r>
          </w:p>
        </w:tc>
        <w:tc>
          <w:tcPr>
            <w:tcW w:w="320" w:type="dxa"/>
            <w:vAlign w:val="bottom"/>
            <w:shd w:val="clear" w:color="auto" w:fill="D6F3E8"/>
          </w:tcPr>
          <w:p>
            <w:pPr>
              <w:jc w:val="right"/>
              <w:ind w:right="164"/>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4,422,996</w:t>
            </w:r>
          </w:p>
        </w:tc>
        <w:tc>
          <w:tcPr>
            <w:tcW w:w="0" w:type="dxa"/>
            <w:vAlign w:val="bottom"/>
          </w:tcPr>
          <w:p>
            <w:pPr>
              <w:spacing w:after="0"/>
              <w:rPr>
                <w:sz w:val="1"/>
                <w:szCs w:val="1"/>
                <w:color w:val="auto"/>
              </w:rPr>
            </w:pPr>
          </w:p>
        </w:tc>
      </w:tr>
      <w:tr>
        <w:trPr>
          <w:trHeight w:val="255"/>
        </w:trPr>
        <w:tc>
          <w:tcPr>
            <w:tcW w:w="4680" w:type="dxa"/>
            <w:vAlign w:val="bottom"/>
          </w:tcPr>
          <w:p>
            <w:pPr>
              <w:ind w:left="20"/>
              <w:spacing w:after="0"/>
              <w:rPr>
                <w:sz w:val="20"/>
                <w:szCs w:val="20"/>
                <w:color w:val="auto"/>
              </w:rPr>
            </w:pPr>
            <w:r>
              <w:rPr>
                <w:rFonts w:ascii="Arial" w:cs="Arial" w:eastAsia="Arial" w:hAnsi="Arial"/>
                <w:sz w:val="17"/>
                <w:szCs w:val="17"/>
                <w:color w:val="auto"/>
              </w:rPr>
              <w:t>State income taxes, net of federal deduction</w:t>
            </w:r>
          </w:p>
        </w:tc>
        <w:tc>
          <w:tcPr>
            <w:tcW w:w="340" w:type="dxa"/>
            <w:vAlign w:val="bottom"/>
          </w:tcPr>
          <w:p>
            <w:pPr>
              <w:spacing w:after="0"/>
              <w:rPr>
                <w:sz w:val="22"/>
                <w:szCs w:val="22"/>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7"/>
                <w:szCs w:val="17"/>
                <w:color w:val="auto"/>
              </w:rPr>
              <w:t>629,653</w:t>
            </w:r>
          </w:p>
        </w:tc>
        <w:tc>
          <w:tcPr>
            <w:tcW w:w="200" w:type="dxa"/>
            <w:vAlign w:val="bottom"/>
          </w:tcPr>
          <w:p>
            <w:pPr>
              <w:spacing w:after="0"/>
              <w:rPr>
                <w:sz w:val="22"/>
                <w:szCs w:val="22"/>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7"/>
                <w:szCs w:val="17"/>
                <w:color w:val="auto"/>
              </w:rPr>
              <w:t>621,195</w:t>
            </w:r>
          </w:p>
        </w:tc>
        <w:tc>
          <w:tcPr>
            <w:tcW w:w="320" w:type="dxa"/>
            <w:vAlign w:val="bottom"/>
          </w:tcPr>
          <w:p>
            <w:pPr>
              <w:spacing w:after="0"/>
              <w:rPr>
                <w:sz w:val="22"/>
                <w:szCs w:val="22"/>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648,194</w:t>
            </w:r>
          </w:p>
        </w:tc>
        <w:tc>
          <w:tcPr>
            <w:tcW w:w="0" w:type="dxa"/>
            <w:vAlign w:val="bottom"/>
          </w:tcPr>
          <w:p>
            <w:pPr>
              <w:spacing w:after="0"/>
              <w:rPr>
                <w:sz w:val="1"/>
                <w:szCs w:val="1"/>
                <w:color w:val="auto"/>
              </w:rPr>
            </w:pPr>
          </w:p>
        </w:tc>
      </w:tr>
      <w:tr>
        <w:trPr>
          <w:trHeight w:val="256"/>
        </w:trPr>
        <w:tc>
          <w:tcPr>
            <w:tcW w:w="4680" w:type="dxa"/>
            <w:vAlign w:val="bottom"/>
            <w:shd w:val="clear" w:color="auto" w:fill="D6F3E8"/>
          </w:tcPr>
          <w:p>
            <w:pPr>
              <w:ind w:left="20"/>
              <w:spacing w:after="0"/>
              <w:rPr>
                <w:sz w:val="20"/>
                <w:szCs w:val="20"/>
                <w:color w:val="auto"/>
              </w:rPr>
            </w:pPr>
            <w:r>
              <w:rPr>
                <w:rFonts w:ascii="Arial" w:cs="Arial" w:eastAsia="Arial" w:hAnsi="Arial"/>
                <w:sz w:val="17"/>
                <w:szCs w:val="17"/>
                <w:color w:val="auto"/>
              </w:rPr>
              <w:t>Tax-exempt income</w:t>
            </w:r>
          </w:p>
        </w:tc>
        <w:tc>
          <w:tcPr>
            <w:tcW w:w="340" w:type="dxa"/>
            <w:vAlign w:val="bottom"/>
            <w:shd w:val="clear" w:color="auto" w:fill="D6F3E8"/>
          </w:tcPr>
          <w:p>
            <w:pPr>
              <w:spacing w:after="0"/>
              <w:rPr>
                <w:sz w:val="22"/>
                <w:szCs w:val="22"/>
                <w:color w:val="auto"/>
              </w:rPr>
            </w:pPr>
          </w:p>
        </w:tc>
        <w:tc>
          <w:tcPr>
            <w:tcW w:w="1580" w:type="dxa"/>
            <w:vAlign w:val="bottom"/>
            <w:gridSpan w:val="2"/>
            <w:shd w:val="clear" w:color="auto" w:fill="D6F3E8"/>
          </w:tcPr>
          <w:p>
            <w:pPr>
              <w:jc w:val="right"/>
              <w:ind w:right="260"/>
              <w:spacing w:after="0"/>
              <w:rPr>
                <w:sz w:val="20"/>
                <w:szCs w:val="20"/>
                <w:color w:val="auto"/>
              </w:rPr>
            </w:pPr>
            <w:r>
              <w:rPr>
                <w:rFonts w:ascii="Arial" w:cs="Arial" w:eastAsia="Arial" w:hAnsi="Arial"/>
                <w:sz w:val="17"/>
                <w:szCs w:val="17"/>
                <w:color w:val="auto"/>
              </w:rPr>
              <w:t>(6,773)</w:t>
            </w:r>
          </w:p>
        </w:tc>
        <w:tc>
          <w:tcPr>
            <w:tcW w:w="200" w:type="dxa"/>
            <w:vAlign w:val="bottom"/>
            <w:shd w:val="clear" w:color="auto" w:fill="D6F3E8"/>
          </w:tcPr>
          <w:p>
            <w:pPr>
              <w:spacing w:after="0"/>
              <w:rPr>
                <w:sz w:val="22"/>
                <w:szCs w:val="22"/>
                <w:color w:val="auto"/>
              </w:rPr>
            </w:pPr>
          </w:p>
        </w:tc>
        <w:tc>
          <w:tcPr>
            <w:tcW w:w="1740" w:type="dxa"/>
            <w:vAlign w:val="bottom"/>
            <w:gridSpan w:val="2"/>
            <w:shd w:val="clear" w:color="auto" w:fill="D6F3E8"/>
          </w:tcPr>
          <w:p>
            <w:pPr>
              <w:jc w:val="right"/>
              <w:ind w:right="260"/>
              <w:spacing w:after="0"/>
              <w:rPr>
                <w:sz w:val="20"/>
                <w:szCs w:val="20"/>
                <w:color w:val="auto"/>
              </w:rPr>
            </w:pPr>
            <w:r>
              <w:rPr>
                <w:rFonts w:ascii="Arial" w:cs="Arial" w:eastAsia="Arial" w:hAnsi="Arial"/>
                <w:sz w:val="17"/>
                <w:szCs w:val="17"/>
                <w:color w:val="auto"/>
              </w:rPr>
              <w:t>(10,408)</w:t>
            </w:r>
          </w:p>
        </w:tc>
        <w:tc>
          <w:tcPr>
            <w:tcW w:w="320" w:type="dxa"/>
            <w:vAlign w:val="bottom"/>
            <w:shd w:val="clear" w:color="auto" w:fill="D6F3E8"/>
          </w:tcPr>
          <w:p>
            <w:pPr>
              <w:spacing w:after="0"/>
              <w:rPr>
                <w:sz w:val="22"/>
                <w:szCs w:val="22"/>
                <w:color w:val="auto"/>
              </w:rPr>
            </w:pPr>
          </w:p>
        </w:tc>
        <w:tc>
          <w:tcPr>
            <w:tcW w:w="1420" w:type="dxa"/>
            <w:vAlign w:val="bottom"/>
            <w:gridSpan w:val="2"/>
            <w:shd w:val="clear" w:color="auto" w:fill="D6F3E8"/>
          </w:tcPr>
          <w:p>
            <w:pPr>
              <w:jc w:val="right"/>
              <w:ind w:right="40"/>
              <w:spacing w:after="0"/>
              <w:rPr>
                <w:sz w:val="20"/>
                <w:szCs w:val="20"/>
                <w:color w:val="auto"/>
              </w:rPr>
            </w:pPr>
            <w:r>
              <w:rPr>
                <w:rFonts w:ascii="Arial" w:cs="Arial" w:eastAsia="Arial" w:hAnsi="Arial"/>
                <w:sz w:val="17"/>
                <w:szCs w:val="17"/>
                <w:color w:val="auto"/>
              </w:rPr>
              <w:t>(27,634)</w:t>
            </w:r>
          </w:p>
        </w:tc>
        <w:tc>
          <w:tcPr>
            <w:tcW w:w="0" w:type="dxa"/>
            <w:vAlign w:val="bottom"/>
          </w:tcPr>
          <w:p>
            <w:pPr>
              <w:spacing w:after="0"/>
              <w:rPr>
                <w:sz w:val="1"/>
                <w:szCs w:val="1"/>
                <w:color w:val="auto"/>
              </w:rPr>
            </w:pPr>
          </w:p>
        </w:tc>
      </w:tr>
      <w:tr>
        <w:trPr>
          <w:trHeight w:val="255"/>
        </w:trPr>
        <w:tc>
          <w:tcPr>
            <w:tcW w:w="4680" w:type="dxa"/>
            <w:vAlign w:val="bottom"/>
          </w:tcPr>
          <w:p>
            <w:pPr>
              <w:ind w:left="20"/>
              <w:spacing w:after="0"/>
              <w:rPr>
                <w:sz w:val="20"/>
                <w:szCs w:val="20"/>
                <w:color w:val="auto"/>
              </w:rPr>
            </w:pPr>
            <w:r>
              <w:rPr>
                <w:rFonts w:ascii="Arial" w:cs="Arial" w:eastAsia="Arial" w:hAnsi="Arial"/>
                <w:sz w:val="17"/>
                <w:szCs w:val="17"/>
                <w:color w:val="auto"/>
              </w:rPr>
              <w:t>ESOP dividend deduction on allocated shares</w:t>
            </w:r>
          </w:p>
        </w:tc>
        <w:tc>
          <w:tcPr>
            <w:tcW w:w="340" w:type="dxa"/>
            <w:vAlign w:val="bottom"/>
          </w:tcPr>
          <w:p>
            <w:pPr>
              <w:spacing w:after="0"/>
              <w:rPr>
                <w:sz w:val="22"/>
                <w:szCs w:val="22"/>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7"/>
                <w:szCs w:val="17"/>
                <w:color w:val="auto"/>
              </w:rPr>
              <w:t>(239,118)</w:t>
            </w:r>
          </w:p>
        </w:tc>
        <w:tc>
          <w:tcPr>
            <w:tcW w:w="200" w:type="dxa"/>
            <w:vAlign w:val="bottom"/>
          </w:tcPr>
          <w:p>
            <w:pPr>
              <w:spacing w:after="0"/>
              <w:rPr>
                <w:sz w:val="22"/>
                <w:szCs w:val="22"/>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7"/>
                <w:szCs w:val="17"/>
                <w:color w:val="auto"/>
              </w:rPr>
              <w:t>(226,214)</w:t>
            </w:r>
          </w:p>
        </w:tc>
        <w:tc>
          <w:tcPr>
            <w:tcW w:w="320" w:type="dxa"/>
            <w:vAlign w:val="bottom"/>
          </w:tcPr>
          <w:p>
            <w:pPr>
              <w:spacing w:after="0"/>
              <w:rPr>
                <w:sz w:val="22"/>
                <w:szCs w:val="22"/>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7"/>
                <w:szCs w:val="17"/>
                <w:color w:val="auto"/>
              </w:rPr>
              <w:t>(209,578)</w:t>
            </w:r>
          </w:p>
        </w:tc>
        <w:tc>
          <w:tcPr>
            <w:tcW w:w="0" w:type="dxa"/>
            <w:vAlign w:val="bottom"/>
          </w:tcPr>
          <w:p>
            <w:pPr>
              <w:spacing w:after="0"/>
              <w:rPr>
                <w:sz w:val="1"/>
                <w:szCs w:val="1"/>
                <w:color w:val="auto"/>
              </w:rPr>
            </w:pPr>
          </w:p>
        </w:tc>
      </w:tr>
      <w:tr>
        <w:trPr>
          <w:trHeight w:val="256"/>
        </w:trPr>
        <w:tc>
          <w:tcPr>
            <w:tcW w:w="4680" w:type="dxa"/>
            <w:vAlign w:val="bottom"/>
            <w:shd w:val="clear" w:color="auto" w:fill="D6F3E8"/>
          </w:tcPr>
          <w:p>
            <w:pPr>
              <w:ind w:left="20"/>
              <w:spacing w:after="0"/>
              <w:rPr>
                <w:sz w:val="20"/>
                <w:szCs w:val="20"/>
                <w:color w:val="auto"/>
              </w:rPr>
            </w:pPr>
            <w:r>
              <w:rPr>
                <w:rFonts w:ascii="Arial" w:cs="Arial" w:eastAsia="Arial" w:hAnsi="Arial"/>
                <w:sz w:val="17"/>
                <w:szCs w:val="17"/>
                <w:color w:val="auto"/>
              </w:rPr>
              <w:t>Domestic production deduction</w:t>
            </w:r>
          </w:p>
        </w:tc>
        <w:tc>
          <w:tcPr>
            <w:tcW w:w="340" w:type="dxa"/>
            <w:vAlign w:val="bottom"/>
            <w:shd w:val="clear" w:color="auto" w:fill="D6F3E8"/>
          </w:tcPr>
          <w:p>
            <w:pPr>
              <w:spacing w:after="0"/>
              <w:rPr>
                <w:sz w:val="22"/>
                <w:szCs w:val="22"/>
                <w:color w:val="auto"/>
              </w:rPr>
            </w:pPr>
          </w:p>
        </w:tc>
        <w:tc>
          <w:tcPr>
            <w:tcW w:w="1580" w:type="dxa"/>
            <w:vAlign w:val="bottom"/>
            <w:gridSpan w:val="2"/>
            <w:shd w:val="clear" w:color="auto" w:fill="D6F3E8"/>
          </w:tcPr>
          <w:p>
            <w:pPr>
              <w:jc w:val="right"/>
              <w:ind w:right="260"/>
              <w:spacing w:after="0"/>
              <w:rPr>
                <w:sz w:val="20"/>
                <w:szCs w:val="20"/>
                <w:color w:val="auto"/>
              </w:rPr>
            </w:pPr>
            <w:r>
              <w:rPr>
                <w:rFonts w:ascii="Arial" w:cs="Arial" w:eastAsia="Arial" w:hAnsi="Arial"/>
                <w:sz w:val="17"/>
                <w:szCs w:val="17"/>
                <w:color w:val="auto"/>
              </w:rPr>
              <w:t>(38,500)</w:t>
            </w:r>
          </w:p>
        </w:tc>
        <w:tc>
          <w:tcPr>
            <w:tcW w:w="200" w:type="dxa"/>
            <w:vAlign w:val="bottom"/>
            <w:shd w:val="clear" w:color="auto" w:fill="D6F3E8"/>
          </w:tcPr>
          <w:p>
            <w:pPr>
              <w:spacing w:after="0"/>
              <w:rPr>
                <w:sz w:val="22"/>
                <w:szCs w:val="22"/>
                <w:color w:val="auto"/>
              </w:rPr>
            </w:pPr>
          </w:p>
        </w:tc>
        <w:tc>
          <w:tcPr>
            <w:tcW w:w="1740" w:type="dxa"/>
            <w:vAlign w:val="bottom"/>
            <w:gridSpan w:val="2"/>
            <w:shd w:val="clear" w:color="auto" w:fill="D6F3E8"/>
          </w:tcPr>
          <w:p>
            <w:pPr>
              <w:jc w:val="right"/>
              <w:ind w:right="260"/>
              <w:spacing w:after="0"/>
              <w:rPr>
                <w:sz w:val="20"/>
                <w:szCs w:val="20"/>
                <w:color w:val="auto"/>
              </w:rPr>
            </w:pPr>
            <w:r>
              <w:rPr>
                <w:rFonts w:ascii="Arial" w:cs="Arial" w:eastAsia="Arial" w:hAnsi="Arial"/>
                <w:sz w:val="17"/>
                <w:szCs w:val="17"/>
                <w:color w:val="auto"/>
              </w:rPr>
              <w:t>(70,000)</w:t>
            </w:r>
          </w:p>
        </w:tc>
        <w:tc>
          <w:tcPr>
            <w:tcW w:w="320" w:type="dxa"/>
            <w:vAlign w:val="bottom"/>
            <w:shd w:val="clear" w:color="auto" w:fill="D6F3E8"/>
          </w:tcPr>
          <w:p>
            <w:pPr>
              <w:spacing w:after="0"/>
              <w:rPr>
                <w:sz w:val="22"/>
                <w:szCs w:val="22"/>
                <w:color w:val="auto"/>
              </w:rPr>
            </w:pPr>
          </w:p>
        </w:tc>
        <w:tc>
          <w:tcPr>
            <w:tcW w:w="132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680" w:type="dxa"/>
            <w:vAlign w:val="bottom"/>
          </w:tcPr>
          <w:p>
            <w:pPr>
              <w:ind w:left="20"/>
              <w:spacing w:after="0"/>
              <w:rPr>
                <w:sz w:val="20"/>
                <w:szCs w:val="20"/>
                <w:color w:val="auto"/>
              </w:rPr>
            </w:pPr>
            <w:r>
              <w:rPr>
                <w:rFonts w:ascii="Arial" w:cs="Arial" w:eastAsia="Arial" w:hAnsi="Arial"/>
                <w:sz w:val="17"/>
                <w:szCs w:val="17"/>
                <w:color w:val="auto"/>
              </w:rPr>
              <w:t>Other—net</w:t>
            </w:r>
          </w:p>
        </w:tc>
        <w:tc>
          <w:tcPr>
            <w:tcW w:w="340" w:type="dxa"/>
            <w:vAlign w:val="bottom"/>
          </w:tcPr>
          <w:p>
            <w:pPr>
              <w:spacing w:after="0"/>
              <w:rPr>
                <w:sz w:val="22"/>
                <w:szCs w:val="22"/>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7"/>
                <w:szCs w:val="17"/>
                <w:color w:val="auto"/>
              </w:rPr>
              <w:t>7,693</w:t>
            </w:r>
          </w:p>
        </w:tc>
        <w:tc>
          <w:tcPr>
            <w:tcW w:w="200" w:type="dxa"/>
            <w:vAlign w:val="bottom"/>
          </w:tcPr>
          <w:p>
            <w:pPr>
              <w:spacing w:after="0"/>
              <w:rPr>
                <w:sz w:val="22"/>
                <w:szCs w:val="22"/>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7"/>
                <w:szCs w:val="17"/>
                <w:color w:val="auto"/>
              </w:rPr>
              <w:t>(325,296)</w:t>
            </w:r>
          </w:p>
        </w:tc>
        <w:tc>
          <w:tcPr>
            <w:tcW w:w="320" w:type="dxa"/>
            <w:vAlign w:val="bottom"/>
          </w:tcPr>
          <w:p>
            <w:pPr>
              <w:spacing w:after="0"/>
              <w:rPr>
                <w:sz w:val="22"/>
                <w:szCs w:val="22"/>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7"/>
                <w:szCs w:val="17"/>
                <w:color w:val="auto"/>
              </w:rPr>
              <w:t>(288,856)</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D6F3E8"/>
          </w:tcPr>
          <w:p>
            <w:pPr>
              <w:ind w:left="340"/>
              <w:spacing w:after="0"/>
              <w:rPr>
                <w:sz w:val="20"/>
                <w:szCs w:val="20"/>
                <w:color w:val="auto"/>
              </w:rPr>
            </w:pPr>
            <w:r>
              <w:rPr>
                <w:rFonts w:ascii="Arial" w:cs="Arial" w:eastAsia="Arial" w:hAnsi="Arial"/>
                <w:sz w:val="17"/>
                <w:szCs w:val="17"/>
                <w:color w:val="auto"/>
              </w:rPr>
              <w:t>Total</w:t>
            </w: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80" w:type="dxa"/>
            <w:vAlign w:val="bottom"/>
            <w:vMerge w:val="continue"/>
            <w:shd w:val="clear" w:color="auto" w:fill="D6F3E8"/>
          </w:tcPr>
          <w:p>
            <w:pPr>
              <w:spacing w:after="0"/>
              <w:rPr>
                <w:sz w:val="21"/>
                <w:szCs w:val="21"/>
                <w:color w:val="auto"/>
              </w:rPr>
            </w:pPr>
          </w:p>
        </w:tc>
        <w:tc>
          <w:tcPr>
            <w:tcW w:w="340" w:type="dxa"/>
            <w:vAlign w:val="bottom"/>
            <w:shd w:val="clear" w:color="auto" w:fill="D6F3E8"/>
          </w:tcPr>
          <w:p>
            <w:pPr>
              <w:jc w:val="right"/>
              <w:ind w:right="184"/>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D6F3E8"/>
          </w:tcPr>
          <w:p>
            <w:pPr>
              <w:jc w:val="right"/>
              <w:ind w:right="320"/>
              <w:spacing w:after="0"/>
              <w:rPr>
                <w:sz w:val="20"/>
                <w:szCs w:val="20"/>
                <w:color w:val="auto"/>
              </w:rPr>
            </w:pPr>
            <w:r>
              <w:rPr>
                <w:rFonts w:ascii="Arial" w:cs="Arial" w:eastAsia="Arial" w:hAnsi="Arial"/>
                <w:sz w:val="17"/>
                <w:szCs w:val="17"/>
                <w:color w:val="auto"/>
              </w:rPr>
              <w:t>4,887,790</w:t>
            </w:r>
          </w:p>
        </w:tc>
        <w:tc>
          <w:tcPr>
            <w:tcW w:w="200" w:type="dxa"/>
            <w:vAlign w:val="bottom"/>
            <w:shd w:val="clear" w:color="auto" w:fill="D6F3E8"/>
          </w:tcPr>
          <w:p>
            <w:pPr>
              <w:jc w:val="right"/>
              <w:ind w:right="44"/>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D6F3E8"/>
          </w:tcPr>
          <w:p>
            <w:pPr>
              <w:jc w:val="right"/>
              <w:ind w:right="320"/>
              <w:spacing w:after="0"/>
              <w:rPr>
                <w:sz w:val="20"/>
                <w:szCs w:val="20"/>
                <w:color w:val="auto"/>
              </w:rPr>
            </w:pPr>
            <w:r>
              <w:rPr>
                <w:rFonts w:ascii="Arial" w:cs="Arial" w:eastAsia="Arial" w:hAnsi="Arial"/>
                <w:sz w:val="17"/>
                <w:szCs w:val="17"/>
                <w:color w:val="auto"/>
              </w:rPr>
              <w:t>4,768,354</w:t>
            </w:r>
          </w:p>
        </w:tc>
        <w:tc>
          <w:tcPr>
            <w:tcW w:w="320" w:type="dxa"/>
            <w:vAlign w:val="bottom"/>
            <w:shd w:val="clear" w:color="auto" w:fill="D6F3E8"/>
          </w:tcPr>
          <w:p>
            <w:pPr>
              <w:jc w:val="right"/>
              <w:ind w:right="164"/>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4,545,122</w:t>
            </w:r>
          </w:p>
        </w:tc>
        <w:tc>
          <w:tcPr>
            <w:tcW w:w="0" w:type="dxa"/>
            <w:vAlign w:val="bottom"/>
          </w:tcPr>
          <w:p>
            <w:pPr>
              <w:spacing w:after="0"/>
              <w:rPr>
                <w:sz w:val="1"/>
                <w:szCs w:val="1"/>
                <w:color w:val="auto"/>
              </w:rPr>
            </w:pPr>
          </w:p>
        </w:tc>
      </w:tr>
      <w:tr>
        <w:trPr>
          <w:trHeight w:val="20"/>
        </w:trPr>
        <w:tc>
          <w:tcPr>
            <w:tcW w:w="4680" w:type="dxa"/>
            <w:vAlign w:val="bottom"/>
            <w:tcBorders>
              <w:top w:val="single" w:sz="8" w:color="D6F3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tax effects of items comprising the Company’s net deferred tax asset (liability) as of April 1, 2007 and April 2, 2006 are as follows:</w:t>
      </w:r>
    </w:p>
    <w:p>
      <w:pPr>
        <w:spacing w:after="0" w:line="271"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3"/>
                <w:szCs w:val="13"/>
                <w:b w:val="1"/>
                <w:bCs w:val="1"/>
                <w:color w:val="auto"/>
              </w:rPr>
              <w:t>2007</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3"/>
                <w:szCs w:val="13"/>
                <w:b w:val="1"/>
                <w:bCs w:val="1"/>
                <w:color w:val="auto"/>
              </w:rPr>
              <w:t>2006</w:t>
            </w:r>
          </w:p>
        </w:tc>
        <w:tc>
          <w:tcPr>
            <w:tcW w:w="80" w:type="dxa"/>
            <w:vAlign w:val="bottom"/>
          </w:tcPr>
          <w:p>
            <w:pPr>
              <w:spacing w:after="0"/>
              <w:rPr>
                <w:sz w:val="13"/>
                <w:szCs w:val="13"/>
                <w:color w:val="auto"/>
              </w:rPr>
            </w:pPr>
          </w:p>
        </w:tc>
      </w:tr>
      <w:tr>
        <w:trPr>
          <w:trHeight w:val="436"/>
        </w:trPr>
        <w:tc>
          <w:tcPr>
            <w:tcW w:w="7500" w:type="dxa"/>
            <w:vAlign w:val="bottom"/>
          </w:tcPr>
          <w:p>
            <w:pPr>
              <w:spacing w:after="0"/>
              <w:rPr>
                <w:sz w:val="20"/>
                <w:szCs w:val="20"/>
                <w:color w:val="auto"/>
              </w:rPr>
            </w:pPr>
            <w:r>
              <w:rPr>
                <w:rFonts w:ascii="Arial" w:cs="Arial" w:eastAsia="Arial" w:hAnsi="Arial"/>
                <w:sz w:val="17"/>
                <w:szCs w:val="17"/>
                <w:color w:val="auto"/>
              </w:rPr>
              <w:t>Current deferred taxes: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6"/>
        </w:trPr>
        <w:tc>
          <w:tcPr>
            <w:tcW w:w="7500" w:type="dxa"/>
            <w:vAlign w:val="bottom"/>
            <w:shd w:val="clear" w:color="auto" w:fill="D6F3E8"/>
          </w:tcPr>
          <w:p>
            <w:pPr>
              <w:ind w:left="320"/>
              <w:spacing w:after="0"/>
              <w:rPr>
                <w:sz w:val="20"/>
                <w:szCs w:val="20"/>
                <w:color w:val="auto"/>
              </w:rPr>
            </w:pPr>
            <w:r>
              <w:rPr>
                <w:rFonts w:ascii="Arial" w:cs="Arial" w:eastAsia="Arial" w:hAnsi="Arial"/>
                <w:sz w:val="17"/>
                <w:szCs w:val="17"/>
                <w:color w:val="auto"/>
              </w:rPr>
              <w:t>Trade receivables</w:t>
            </w:r>
          </w:p>
        </w:tc>
        <w:tc>
          <w:tcPr>
            <w:tcW w:w="300" w:type="dxa"/>
            <w:vAlign w:val="bottom"/>
            <w:shd w:val="clear" w:color="auto" w:fill="D6F3E8"/>
          </w:tcPr>
          <w:p>
            <w:pPr>
              <w:jc w:val="right"/>
              <w:ind w:right="11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7"/>
                <w:szCs w:val="17"/>
                <w:color w:val="auto"/>
              </w:rPr>
              <w:t>87,750</w:t>
            </w:r>
          </w:p>
        </w:tc>
        <w:tc>
          <w:tcPr>
            <w:tcW w:w="200" w:type="dxa"/>
            <w:vAlign w:val="bottom"/>
            <w:shd w:val="clear" w:color="auto" w:fill="D6F3E8"/>
          </w:tcPr>
          <w:p>
            <w:pPr>
              <w:spacing w:after="0"/>
              <w:rPr>
                <w:sz w:val="22"/>
                <w:szCs w:val="22"/>
                <w:color w:val="auto"/>
              </w:rPr>
            </w:pPr>
          </w:p>
        </w:tc>
        <w:tc>
          <w:tcPr>
            <w:tcW w:w="300" w:type="dxa"/>
            <w:vAlign w:val="bottom"/>
            <w:shd w:val="clear" w:color="auto" w:fill="D6F3E8"/>
          </w:tcPr>
          <w:p>
            <w:pPr>
              <w:jc w:val="right"/>
              <w:ind w:right="11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7"/>
                <w:szCs w:val="17"/>
                <w:color w:val="auto"/>
              </w:rPr>
              <w:t>87,750</w:t>
            </w:r>
          </w:p>
        </w:tc>
        <w:tc>
          <w:tcPr>
            <w:tcW w:w="80" w:type="dxa"/>
            <w:vAlign w:val="bottom"/>
            <w:shd w:val="clear" w:color="auto" w:fill="D6F3E8"/>
          </w:tcPr>
          <w:p>
            <w:pPr>
              <w:spacing w:after="0"/>
              <w:rPr>
                <w:sz w:val="22"/>
                <w:szCs w:val="22"/>
                <w:color w:val="auto"/>
              </w:rPr>
            </w:pPr>
          </w:p>
        </w:tc>
      </w:tr>
      <w:tr>
        <w:trPr>
          <w:trHeight w:val="255"/>
        </w:trPr>
        <w:tc>
          <w:tcPr>
            <w:tcW w:w="7500" w:type="dxa"/>
            <w:vAlign w:val="bottom"/>
          </w:tcPr>
          <w:p>
            <w:pPr>
              <w:ind w:left="320"/>
              <w:spacing w:after="0"/>
              <w:rPr>
                <w:sz w:val="20"/>
                <w:szCs w:val="20"/>
                <w:color w:val="auto"/>
              </w:rPr>
            </w:pPr>
            <w:r>
              <w:rPr>
                <w:rFonts w:ascii="Arial" w:cs="Arial" w:eastAsia="Arial" w:hAnsi="Arial"/>
                <w:sz w:val="17"/>
                <w:szCs w:val="17"/>
                <w:color w:val="auto"/>
              </w:rPr>
              <w:t>Inventory</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116,599</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439,766</w:t>
            </w:r>
          </w:p>
        </w:tc>
        <w:tc>
          <w:tcPr>
            <w:tcW w:w="80" w:type="dxa"/>
            <w:vAlign w:val="bottom"/>
          </w:tcPr>
          <w:p>
            <w:pPr>
              <w:spacing w:after="0"/>
              <w:rPr>
                <w:sz w:val="22"/>
                <w:szCs w:val="22"/>
                <w:color w:val="auto"/>
              </w:rPr>
            </w:pPr>
          </w:p>
        </w:tc>
      </w:tr>
      <w:tr>
        <w:trPr>
          <w:trHeight w:val="256"/>
        </w:trPr>
        <w:tc>
          <w:tcPr>
            <w:tcW w:w="7500" w:type="dxa"/>
            <w:vAlign w:val="bottom"/>
            <w:shd w:val="clear" w:color="auto" w:fill="D6F3E8"/>
          </w:tcPr>
          <w:p>
            <w:pPr>
              <w:ind w:left="320"/>
              <w:spacing w:after="0"/>
              <w:rPr>
                <w:sz w:val="20"/>
                <w:szCs w:val="20"/>
                <w:color w:val="auto"/>
              </w:rPr>
            </w:pPr>
            <w:r>
              <w:rPr>
                <w:rFonts w:ascii="Arial" w:cs="Arial" w:eastAsia="Arial" w:hAnsi="Arial"/>
                <w:sz w:val="17"/>
                <w:szCs w:val="17"/>
                <w:color w:val="auto"/>
              </w:rPr>
              <w:t>Accruals</w:t>
            </w:r>
          </w:p>
        </w:tc>
        <w:tc>
          <w:tcPr>
            <w:tcW w:w="300" w:type="dxa"/>
            <w:vAlign w:val="bottom"/>
            <w:shd w:val="clear" w:color="auto" w:fill="D6F3E8"/>
          </w:tcPr>
          <w:p>
            <w:pPr>
              <w:spacing w:after="0"/>
              <w:rPr>
                <w:sz w:val="22"/>
                <w:szCs w:val="22"/>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7"/>
                <w:szCs w:val="17"/>
                <w:color w:val="auto"/>
              </w:rPr>
              <w:t>409,625</w:t>
            </w:r>
          </w:p>
        </w:tc>
        <w:tc>
          <w:tcPr>
            <w:tcW w:w="200" w:type="dxa"/>
            <w:vAlign w:val="bottom"/>
            <w:shd w:val="clear" w:color="auto" w:fill="D6F3E8"/>
          </w:tcPr>
          <w:p>
            <w:pPr>
              <w:spacing w:after="0"/>
              <w:rPr>
                <w:sz w:val="22"/>
                <w:szCs w:val="22"/>
                <w:color w:val="auto"/>
              </w:rPr>
            </w:pPr>
          </w:p>
        </w:tc>
        <w:tc>
          <w:tcPr>
            <w:tcW w:w="300" w:type="dxa"/>
            <w:vAlign w:val="bottom"/>
            <w:shd w:val="clear" w:color="auto" w:fill="D6F3E8"/>
          </w:tcPr>
          <w:p>
            <w:pPr>
              <w:spacing w:after="0"/>
              <w:rPr>
                <w:sz w:val="22"/>
                <w:szCs w:val="22"/>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7"/>
                <w:szCs w:val="17"/>
                <w:color w:val="auto"/>
              </w:rPr>
              <w:t>266,047</w:t>
            </w:r>
          </w:p>
        </w:tc>
        <w:tc>
          <w:tcPr>
            <w:tcW w:w="80" w:type="dxa"/>
            <w:vAlign w:val="bottom"/>
            <w:shd w:val="clear" w:color="auto" w:fill="D6F3E8"/>
          </w:tcPr>
          <w:p>
            <w:pPr>
              <w:spacing w:after="0"/>
              <w:rPr>
                <w:sz w:val="22"/>
                <w:szCs w:val="22"/>
                <w:color w:val="auto"/>
              </w:rPr>
            </w:pPr>
          </w:p>
        </w:tc>
      </w:tr>
    </w:tbl>
    <w:p>
      <w:pPr>
        <w:sectPr>
          <w:pgSz w:w="11900" w:h="16838" w:orient="portrait"/>
          <w:cols w:equalWidth="0" w:num="1">
            <w:col w:w="11400"/>
          </w:cols>
          <w:pgMar w:left="240" w:top="346" w:right="259" w:bottom="0" w:gutter="0" w:footer="0" w:header="0"/>
        </w:sectPr>
      </w:pPr>
    </w:p>
    <w:bookmarkStart w:id="22" w:name="page23"/>
    <w:bookmarkEnd w:id="22"/>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427"/>
        </w:trPr>
        <w:tc>
          <w:tcPr>
            <w:tcW w:w="7500" w:type="dxa"/>
            <w:vAlign w:val="bottom"/>
            <w:tcBorders>
              <w:bottom w:val="single" w:sz="8" w:color="D6F3E8"/>
            </w:tcBorders>
          </w:tcPr>
          <w:p>
            <w:pPr>
              <w:ind w:left="320"/>
              <w:spacing w:after="0"/>
              <w:rPr>
                <w:sz w:val="20"/>
                <w:szCs w:val="20"/>
                <w:color w:val="auto"/>
              </w:rPr>
            </w:pPr>
            <w:r>
              <w:rPr>
                <w:rFonts w:ascii="Arial" w:cs="Arial" w:eastAsia="Arial" w:hAnsi="Arial"/>
                <w:sz w:val="17"/>
                <w:szCs w:val="17"/>
                <w:color w:val="auto"/>
              </w:rPr>
              <w:t>Other</w:t>
            </w:r>
          </w:p>
        </w:tc>
        <w:tc>
          <w:tcPr>
            <w:tcW w:w="360" w:type="dxa"/>
            <w:vAlign w:val="bottom"/>
            <w:tcBorders>
              <w:bottom w:val="single" w:sz="8" w:color="D6F3E8"/>
            </w:tcBorders>
          </w:tcPr>
          <w:p>
            <w:pPr>
              <w:spacing w:after="0"/>
              <w:rPr>
                <w:sz w:val="24"/>
                <w:szCs w:val="24"/>
                <w:color w:val="auto"/>
              </w:rPr>
            </w:pPr>
          </w:p>
        </w:tc>
        <w:tc>
          <w:tcPr>
            <w:tcW w:w="880" w:type="dxa"/>
            <w:vAlign w:val="bottom"/>
            <w:tcBorders>
              <w:bottom w:val="single" w:sz="8" w:color="D6F3E8"/>
            </w:tcBorders>
          </w:tcPr>
          <w:p>
            <w:pPr>
              <w:jc w:val="right"/>
              <w:spacing w:after="0"/>
              <w:rPr>
                <w:sz w:val="20"/>
                <w:szCs w:val="20"/>
                <w:color w:val="auto"/>
              </w:rPr>
            </w:pPr>
            <w:r>
              <w:rPr>
                <w:rFonts w:ascii="Arial" w:cs="Arial" w:eastAsia="Arial" w:hAnsi="Arial"/>
                <w:sz w:val="17"/>
                <w:szCs w:val="17"/>
                <w:color w:val="auto"/>
              </w:rPr>
              <w:t>95,416</w:t>
            </w:r>
          </w:p>
        </w:tc>
        <w:tc>
          <w:tcPr>
            <w:tcW w:w="200" w:type="dxa"/>
            <w:vAlign w:val="bottom"/>
            <w:tcBorders>
              <w:bottom w:val="single" w:sz="8" w:color="D6F3E8"/>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D6F3E8"/>
            </w:tcBorders>
            <w:gridSpan w:val="2"/>
          </w:tcPr>
          <w:p>
            <w:pPr>
              <w:jc w:val="right"/>
              <w:ind w:right="40"/>
              <w:spacing w:after="0" w:line="382" w:lineRule="exact"/>
              <w:rPr>
                <w:sz w:val="20"/>
                <w:szCs w:val="20"/>
                <w:color w:val="auto"/>
              </w:rPr>
            </w:pPr>
            <w:r>
              <w:rPr>
                <w:rFonts w:ascii="Arial" w:cs="Arial" w:eastAsia="Arial" w:hAnsi="Arial"/>
                <w:sz w:val="17"/>
                <w:szCs w:val="17"/>
                <w:color w:val="auto"/>
              </w:rPr>
              <w:t>(7,803</w:t>
            </w:r>
            <w:r>
              <w:rPr>
                <w:rFonts w:ascii="Arial" w:cs="Arial" w:eastAsia="Arial" w:hAnsi="Arial"/>
                <w:sz w:val="34"/>
                <w:szCs w:val="34"/>
                <w:color w:val="auto"/>
                <w:vertAlign w:val="superscript"/>
              </w:rPr>
              <w:t>)</w:t>
            </w:r>
          </w:p>
        </w:tc>
        <w:tc>
          <w:tcPr>
            <w:tcW w:w="0" w:type="dxa"/>
            <w:vAlign w:val="bottom"/>
          </w:tcPr>
          <w:p>
            <w:pPr>
              <w:spacing w:after="0"/>
              <w:rPr>
                <w:sz w:val="1"/>
                <w:szCs w:val="1"/>
                <w:color w:val="auto"/>
              </w:rPr>
            </w:pPr>
          </w:p>
        </w:tc>
      </w:tr>
      <w:tr>
        <w:trPr>
          <w:trHeight w:val="209"/>
        </w:trPr>
        <w:tc>
          <w:tcPr>
            <w:tcW w:w="7500" w:type="dxa"/>
            <w:vAlign w:val="bottom"/>
            <w:tcBorders>
              <w:top w:val="single" w:sz="8" w:color="D6F3E8"/>
              <w:bottom w:val="single" w:sz="8" w:color="D6F3E8"/>
            </w:tcBorders>
            <w:shd w:val="clear" w:color="auto" w:fill="D6F3E8"/>
          </w:tcPr>
          <w:p>
            <w:pPr>
              <w:ind w:left="640"/>
              <w:spacing w:after="0" w:line="180" w:lineRule="exact"/>
              <w:rPr>
                <w:sz w:val="20"/>
                <w:szCs w:val="20"/>
                <w:color w:val="auto"/>
              </w:rPr>
            </w:pPr>
            <w:r>
              <w:rPr>
                <w:rFonts w:ascii="Arial" w:cs="Arial" w:eastAsia="Arial" w:hAnsi="Arial"/>
                <w:sz w:val="17"/>
                <w:szCs w:val="17"/>
                <w:color w:val="auto"/>
              </w:rPr>
              <w:t>Total*</w:t>
            </w:r>
          </w:p>
        </w:tc>
        <w:tc>
          <w:tcPr>
            <w:tcW w:w="360" w:type="dxa"/>
            <w:vAlign w:val="bottom"/>
            <w:tcBorders>
              <w:top w:val="single" w:sz="8" w:color="auto"/>
              <w:bottom w:val="single" w:sz="8" w:color="auto"/>
            </w:tcBorders>
            <w:shd w:val="clear" w:color="auto" w:fill="D6F3E8"/>
          </w:tcPr>
          <w:p>
            <w:pPr>
              <w:jc w:val="right"/>
              <w:ind w:right="173"/>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7"/>
                <w:szCs w:val="17"/>
                <w:color w:val="auto"/>
              </w:rPr>
              <w:t>709,390</w:t>
            </w:r>
          </w:p>
        </w:tc>
        <w:tc>
          <w:tcPr>
            <w:tcW w:w="200" w:type="dxa"/>
            <w:vAlign w:val="bottom"/>
            <w:tcBorders>
              <w:top w:val="single" w:sz="8" w:color="D6F3E8"/>
              <w:bottom w:val="single" w:sz="8" w:color="D6F3E8"/>
            </w:tcBorders>
            <w:shd w:val="clear" w:color="auto" w:fill="D6F3E8"/>
          </w:tcPr>
          <w:p>
            <w:pPr>
              <w:spacing w:after="0"/>
              <w:rPr>
                <w:sz w:val="18"/>
                <w:szCs w:val="18"/>
                <w:color w:val="auto"/>
              </w:rPr>
            </w:pPr>
          </w:p>
        </w:tc>
        <w:tc>
          <w:tcPr>
            <w:tcW w:w="200" w:type="dxa"/>
            <w:vAlign w:val="bottom"/>
            <w:tcBorders>
              <w:top w:val="single" w:sz="8" w:color="D6F3E8"/>
              <w:bottom w:val="single" w:sz="8" w:color="auto"/>
            </w:tcBorders>
            <w:shd w:val="clear" w:color="auto" w:fill="D6F3E8"/>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7"/>
                <w:szCs w:val="17"/>
                <w:color w:val="auto"/>
              </w:rPr>
              <w:t>785,760</w:t>
            </w:r>
          </w:p>
        </w:tc>
        <w:tc>
          <w:tcPr>
            <w:tcW w:w="8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7"/>
                <w:szCs w:val="17"/>
                <w:color w:val="auto"/>
              </w:rPr>
              <w:t>Noncurrent deferred taxes:</w:t>
            </w: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75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500" w:type="dxa"/>
            <w:vAlign w:val="bottom"/>
          </w:tcPr>
          <w:p>
            <w:pPr>
              <w:ind w:left="320"/>
              <w:spacing w:after="0"/>
              <w:rPr>
                <w:sz w:val="20"/>
                <w:szCs w:val="20"/>
                <w:color w:val="auto"/>
              </w:rPr>
            </w:pPr>
            <w:r>
              <w:rPr>
                <w:rFonts w:ascii="Arial" w:cs="Arial" w:eastAsia="Arial" w:hAnsi="Arial"/>
                <w:sz w:val="17"/>
                <w:szCs w:val="17"/>
                <w:color w:val="auto"/>
              </w:rPr>
              <w:t>Excess of tax over book depreciation</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(558,720)</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(539,398)</w:t>
            </w:r>
          </w:p>
        </w:tc>
        <w:tc>
          <w:tcPr>
            <w:tcW w:w="0" w:type="dxa"/>
            <w:vAlign w:val="bottom"/>
          </w:tcPr>
          <w:p>
            <w:pPr>
              <w:spacing w:after="0"/>
              <w:rPr>
                <w:sz w:val="1"/>
                <w:szCs w:val="1"/>
                <w:color w:val="auto"/>
              </w:rPr>
            </w:pPr>
          </w:p>
        </w:tc>
      </w:tr>
      <w:tr>
        <w:trPr>
          <w:trHeight w:val="256"/>
        </w:trPr>
        <w:tc>
          <w:tcPr>
            <w:tcW w:w="7500" w:type="dxa"/>
            <w:vAlign w:val="bottom"/>
            <w:shd w:val="clear" w:color="auto" w:fill="D6F3E8"/>
          </w:tcPr>
          <w:p>
            <w:pPr>
              <w:ind w:left="320"/>
              <w:spacing w:after="0"/>
              <w:rPr>
                <w:sz w:val="20"/>
                <w:szCs w:val="20"/>
                <w:color w:val="auto"/>
              </w:rPr>
            </w:pPr>
            <w:r>
              <w:rPr>
                <w:rFonts w:ascii="Arial" w:cs="Arial" w:eastAsia="Arial" w:hAnsi="Arial"/>
                <w:sz w:val="17"/>
                <w:szCs w:val="17"/>
                <w:color w:val="auto"/>
              </w:rPr>
              <w:t>Unrealized loss on investments</w:t>
            </w:r>
          </w:p>
        </w:tc>
        <w:tc>
          <w:tcPr>
            <w:tcW w:w="36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7"/>
                <w:szCs w:val="17"/>
                <w:color w:val="auto"/>
              </w:rPr>
              <w:t>2,000</w:t>
            </w:r>
          </w:p>
        </w:tc>
        <w:tc>
          <w:tcPr>
            <w:tcW w:w="20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7"/>
                <w:szCs w:val="17"/>
                <w:color w:val="auto"/>
              </w:rPr>
              <w:t>80,500</w:t>
            </w:r>
          </w:p>
        </w:tc>
        <w:tc>
          <w:tcPr>
            <w:tcW w:w="8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500" w:type="dxa"/>
            <w:vAlign w:val="bottom"/>
          </w:tcPr>
          <w:p>
            <w:pPr>
              <w:ind w:left="320"/>
              <w:spacing w:after="0"/>
              <w:rPr>
                <w:sz w:val="20"/>
                <w:szCs w:val="20"/>
                <w:color w:val="auto"/>
              </w:rPr>
            </w:pPr>
            <w:r>
              <w:rPr>
                <w:rFonts w:ascii="Arial" w:cs="Arial" w:eastAsia="Arial" w:hAnsi="Arial"/>
                <w:sz w:val="17"/>
                <w:szCs w:val="17"/>
                <w:color w:val="auto"/>
              </w:rPr>
              <w:t>Capital loss carryforward</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66,405</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109,473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500" w:type="dxa"/>
            <w:vAlign w:val="bottom"/>
            <w:shd w:val="clear" w:color="auto" w:fill="D6F3E8"/>
          </w:tcPr>
          <w:p>
            <w:pPr>
              <w:ind w:left="320"/>
              <w:spacing w:after="0"/>
              <w:rPr>
                <w:sz w:val="20"/>
                <w:szCs w:val="20"/>
                <w:color w:val="auto"/>
              </w:rPr>
            </w:pPr>
            <w:r>
              <w:rPr>
                <w:rFonts w:ascii="Arial" w:cs="Arial" w:eastAsia="Arial" w:hAnsi="Arial"/>
                <w:sz w:val="17"/>
                <w:szCs w:val="17"/>
                <w:color w:val="auto"/>
              </w:rPr>
              <w:t>Other</w:t>
            </w:r>
          </w:p>
        </w:tc>
        <w:tc>
          <w:tcPr>
            <w:tcW w:w="360" w:type="dxa"/>
            <w:vAlign w:val="bottom"/>
            <w:tcBorders>
              <w:bottom w:val="single" w:sz="8" w:color="auto"/>
            </w:tcBorders>
            <w:shd w:val="clear" w:color="auto" w:fill="D6F3E8"/>
          </w:tcPr>
          <w:p>
            <w:pPr>
              <w:spacing w:after="0"/>
              <w:rPr>
                <w:sz w:val="22"/>
                <w:szCs w:val="22"/>
                <w:color w:val="auto"/>
              </w:rPr>
            </w:pP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7"/>
                <w:szCs w:val="17"/>
                <w:color w:val="auto"/>
              </w:rPr>
              <w:t>69,794</w:t>
            </w:r>
          </w:p>
        </w:tc>
        <w:tc>
          <w:tcPr>
            <w:tcW w:w="200" w:type="dxa"/>
            <w:vAlign w:val="bottom"/>
            <w:shd w:val="clear" w:color="auto" w:fill="D6F3E8"/>
          </w:tcPr>
          <w:p>
            <w:pPr>
              <w:spacing w:after="0"/>
              <w:rPr>
                <w:sz w:val="22"/>
                <w:szCs w:val="22"/>
                <w:color w:val="auto"/>
              </w:rPr>
            </w:pPr>
          </w:p>
        </w:tc>
        <w:tc>
          <w:tcPr>
            <w:tcW w:w="200" w:type="dxa"/>
            <w:vAlign w:val="bottom"/>
            <w:tcBorders>
              <w:bottom w:val="single" w:sz="8" w:color="auto"/>
            </w:tcBorders>
            <w:shd w:val="clear" w:color="auto" w:fill="D6F3E8"/>
          </w:tcPr>
          <w:p>
            <w:pPr>
              <w:spacing w:after="0"/>
              <w:rPr>
                <w:sz w:val="22"/>
                <w:szCs w:val="22"/>
                <w:color w:val="auto"/>
              </w:rPr>
            </w:pP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7"/>
                <w:szCs w:val="17"/>
                <w:color w:val="auto"/>
              </w:rPr>
              <w:t>84,101</w:t>
            </w:r>
          </w:p>
        </w:tc>
        <w:tc>
          <w:tcPr>
            <w:tcW w:w="8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7500" w:type="dxa"/>
            <w:vAlign w:val="bottom"/>
          </w:tcPr>
          <w:p>
            <w:pPr>
              <w:ind w:left="640"/>
              <w:spacing w:after="0"/>
              <w:rPr>
                <w:sz w:val="20"/>
                <w:szCs w:val="20"/>
                <w:color w:val="auto"/>
              </w:rPr>
            </w:pPr>
            <w:r>
              <w:rPr>
                <w:rFonts w:ascii="Arial" w:cs="Arial" w:eastAsia="Arial" w:hAnsi="Arial"/>
                <w:sz w:val="17"/>
                <w:szCs w:val="17"/>
                <w:color w:val="auto"/>
              </w:rPr>
              <w:t>Total</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(420,521)</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(265,324)</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*Included in prepaid expenses and other current assets on the balance sheet.</w:t>
      </w:r>
    </w:p>
    <w:p>
      <w:pPr>
        <w:spacing w:after="0" w:line="229" w:lineRule="exact"/>
        <w:rPr>
          <w:sz w:val="20"/>
          <w:szCs w:val="20"/>
          <w:color w:val="auto"/>
        </w:rPr>
      </w:pPr>
    </w:p>
    <w:p>
      <w:pPr>
        <w:ind w:left="780" w:hanging="772"/>
        <w:spacing w:after="0"/>
        <w:tabs>
          <w:tab w:leader="none" w:pos="78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TRUMARK, INC. ACQUISITION</w:t>
      </w:r>
    </w:p>
    <w:p>
      <w:pPr>
        <w:spacing w:after="0" w:line="240" w:lineRule="exact"/>
        <w:rPr>
          <w:rFonts w:ascii="Arial" w:cs="Arial" w:eastAsia="Arial" w:hAnsi="Arial"/>
          <w:sz w:val="17"/>
          <w:szCs w:val="17"/>
          <w:b w:val="1"/>
          <w:bCs w:val="1"/>
          <w:color w:val="auto"/>
        </w:rPr>
      </w:pPr>
    </w:p>
    <w:p>
      <w:pPr>
        <w:ind w:left="760" w:right="60"/>
        <w:spacing w:after="0" w:line="274" w:lineRule="auto"/>
        <w:rPr>
          <w:rFonts w:ascii="Arial" w:cs="Arial" w:eastAsia="Arial" w:hAnsi="Arial"/>
          <w:sz w:val="17"/>
          <w:szCs w:val="17"/>
          <w:b w:val="1"/>
          <w:bCs w:val="1"/>
          <w:color w:val="auto"/>
        </w:rPr>
      </w:pPr>
      <w:r>
        <w:rPr>
          <w:rFonts w:ascii="Arial" w:cs="Arial" w:eastAsia="Arial" w:hAnsi="Arial"/>
          <w:sz w:val="17"/>
          <w:szCs w:val="17"/>
          <w:color w:val="auto"/>
        </w:rPr>
        <w:t>On May 15, 2007, the Company signed an asset purchase agreement with Trumark, Inc., Trumark Ltd., Profloc Inc. and the shareholders of each entity, under which the Company agreed to acquire substantially all of the assets of the entities and assume certain operating liabilities for approximately $6,000,000. On May 31, 2007, the acquisition was completed. The acquired business is a producer of antimicrobial products for the food industry. The acquired business will be included in the Company’s Industrial operating segment.</w:t>
      </w:r>
    </w:p>
    <w:p>
      <w:pPr>
        <w:spacing w:after="0" w:line="182" w:lineRule="exact"/>
        <w:rPr>
          <w:rFonts w:ascii="Arial" w:cs="Arial" w:eastAsia="Arial" w:hAnsi="Arial"/>
          <w:sz w:val="17"/>
          <w:szCs w:val="17"/>
          <w:b w:val="1"/>
          <w:bCs w:val="1"/>
          <w:color w:val="auto"/>
        </w:rPr>
      </w:pPr>
    </w:p>
    <w:p>
      <w:pPr>
        <w:ind w:left="760" w:right="180"/>
        <w:spacing w:after="0" w:line="280" w:lineRule="auto"/>
        <w:rPr>
          <w:rFonts w:ascii="Arial" w:cs="Arial" w:eastAsia="Arial" w:hAnsi="Arial"/>
          <w:sz w:val="17"/>
          <w:szCs w:val="17"/>
          <w:b w:val="1"/>
          <w:bCs w:val="1"/>
          <w:color w:val="auto"/>
        </w:rPr>
      </w:pPr>
      <w:r>
        <w:rPr>
          <w:rFonts w:ascii="Arial" w:cs="Arial" w:eastAsia="Arial" w:hAnsi="Arial"/>
          <w:sz w:val="17"/>
          <w:szCs w:val="17"/>
          <w:color w:val="auto"/>
        </w:rPr>
        <w:t>The assets acquired consist of assets used by Trumark to operate its business, including intellectual property, manufacturing equipment and inventory. The purchase price consisted of cash and shares of the Company’s common stock. The Company funded the cash portion of the transaction with existing cash and issued new shares of common stock.</w:t>
      </w:r>
    </w:p>
    <w:p>
      <w:pPr>
        <w:spacing w:after="0" w:line="385" w:lineRule="exact"/>
        <w:rPr>
          <w:rFonts w:ascii="Arial" w:cs="Arial" w:eastAsia="Arial" w:hAnsi="Arial"/>
          <w:sz w:val="17"/>
          <w:szCs w:val="17"/>
          <w:b w:val="1"/>
          <w:bCs w:val="1"/>
          <w:color w:val="auto"/>
        </w:rPr>
      </w:pPr>
    </w:p>
    <w:p>
      <w:pPr>
        <w:ind w:left="740" w:hanging="732"/>
        <w:spacing w:after="0"/>
        <w:tabs>
          <w:tab w:leader="none" w:pos="74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SEGMENT INFORMATION</w:t>
      </w:r>
    </w:p>
    <w:p>
      <w:pPr>
        <w:spacing w:after="0" w:line="241" w:lineRule="exact"/>
        <w:rPr>
          <w:sz w:val="20"/>
          <w:szCs w:val="20"/>
          <w:color w:val="auto"/>
        </w:rPr>
      </w:pPr>
    </w:p>
    <w:p>
      <w:pPr>
        <w:ind w:left="760"/>
        <w:spacing w:after="0" w:line="272" w:lineRule="auto"/>
        <w:rPr>
          <w:sz w:val="20"/>
          <w:szCs w:val="20"/>
          <w:color w:val="auto"/>
        </w:rPr>
      </w:pPr>
      <w:r>
        <w:rPr>
          <w:rFonts w:ascii="Arial" w:cs="Arial" w:eastAsia="Arial" w:hAnsi="Arial"/>
          <w:sz w:val="17"/>
          <w:szCs w:val="17"/>
          <w:color w:val="auto"/>
        </w:rPr>
        <w:t>The Company has three reportable segments: Industrial, Water Treatment and Pharmaceutical. The Industrial segment specializes in providing industrial chemicals and services to the energy, electronics, and plating industries. In addition, the Industrial segment provides products and services to food manufacturers and processing plants. The Water Treatment segment specializes in providing water and waste-water treatment equipment and chemicals and in helping customers find solutions to system problems. The Pharmaceutical segment specializes in providing pharmaceutical chemicals to pharmacies and small-scale pharmaceutical manufacturers.</w:t>
      </w:r>
    </w:p>
    <w:p>
      <w:pPr>
        <w:spacing w:after="0" w:line="183" w:lineRule="exact"/>
        <w:rPr>
          <w:sz w:val="20"/>
          <w:szCs w:val="20"/>
          <w:color w:val="auto"/>
        </w:rPr>
      </w:pPr>
    </w:p>
    <w:p>
      <w:pPr>
        <w:ind w:left="760" w:right="20"/>
        <w:spacing w:after="0" w:line="287"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Product costs and expenses for each segment are based on actual costs incurred along with cost allocation of shared and centralized functions. The Company evaluates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the nature of the Company, it is not practical to disclose revenues from external customers for each product or each group of similar products. There are no single customer revenues that amount to 10 percent or more of the Company’s revenue. Sales are primarily within the United States and all assets are located within the United States.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980" w:type="dxa"/>
        <w:tblCellMar>
          <w:top w:w="0" w:type="dxa"/>
          <w:left w:w="0" w:type="dxa"/>
          <w:bottom w:w="0" w:type="dxa"/>
          <w:right w:w="0" w:type="dxa"/>
        </w:tblCellMar>
      </w:tblPr>
      <w:tr>
        <w:trPr>
          <w:trHeight w:val="149"/>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ind w:right="479"/>
              <w:spacing w:after="0"/>
              <w:rPr>
                <w:sz w:val="20"/>
                <w:szCs w:val="20"/>
                <w:color w:val="auto"/>
              </w:rPr>
            </w:pPr>
            <w:r>
              <w:rPr>
                <w:rFonts w:ascii="Arial" w:cs="Arial" w:eastAsia="Arial" w:hAnsi="Arial"/>
                <w:sz w:val="13"/>
                <w:szCs w:val="13"/>
                <w:b w:val="1"/>
                <w:bCs w:val="1"/>
                <w:color w:val="auto"/>
              </w:rPr>
              <w:t>Water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80" w:type="dxa"/>
            <w:vAlign w:val="bottom"/>
          </w:tcPr>
          <w:p>
            <w:pPr>
              <w:spacing w:after="0"/>
              <w:rPr>
                <w:sz w:val="20"/>
                <w:szCs w:val="20"/>
                <w:color w:val="auto"/>
              </w:rPr>
            </w:pPr>
            <w:r>
              <w:rPr>
                <w:rFonts w:ascii="Arial" w:cs="Arial" w:eastAsia="Arial" w:hAnsi="Arial"/>
                <w:sz w:val="13"/>
                <w:szCs w:val="13"/>
                <w:b w:val="1"/>
                <w:bCs w:val="1"/>
                <w:color w:val="auto"/>
              </w:rPr>
              <w:t>Reportable Segments</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Arial" w:cs="Arial" w:eastAsia="Arial" w:hAnsi="Arial"/>
                <w:sz w:val="13"/>
                <w:szCs w:val="13"/>
                <w:b w:val="1"/>
                <w:bCs w:val="1"/>
                <w:color w:val="auto"/>
              </w:rPr>
              <w:t>Industrial</w:t>
            </w:r>
          </w:p>
        </w:tc>
        <w:tc>
          <w:tcPr>
            <w:tcW w:w="280" w:type="dxa"/>
            <w:vAlign w:val="bottom"/>
          </w:tcPr>
          <w:p>
            <w:pPr>
              <w:spacing w:after="0"/>
              <w:rPr>
                <w:sz w:val="13"/>
                <w:szCs w:val="13"/>
                <w:color w:val="auto"/>
              </w:rPr>
            </w:pPr>
          </w:p>
        </w:tc>
        <w:tc>
          <w:tcPr>
            <w:tcW w:w="1200" w:type="dxa"/>
            <w:vAlign w:val="bottom"/>
          </w:tcPr>
          <w:p>
            <w:pPr>
              <w:jc w:val="right"/>
              <w:ind w:right="359"/>
              <w:spacing w:after="0"/>
              <w:rPr>
                <w:sz w:val="20"/>
                <w:szCs w:val="20"/>
                <w:color w:val="auto"/>
              </w:rPr>
            </w:pPr>
            <w:r>
              <w:rPr>
                <w:rFonts w:ascii="Arial" w:cs="Arial" w:eastAsia="Arial" w:hAnsi="Arial"/>
                <w:sz w:val="13"/>
                <w:szCs w:val="13"/>
                <w:b w:val="1"/>
                <w:bCs w:val="1"/>
                <w:color w:val="auto"/>
              </w:rPr>
              <w:t>Treatment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Pharmaceutical</w:t>
            </w:r>
          </w:p>
        </w:tc>
        <w:tc>
          <w:tcPr>
            <w:tcW w:w="380" w:type="dxa"/>
            <w:vAlign w:val="bottom"/>
          </w:tcPr>
          <w:p>
            <w:pPr>
              <w:spacing w:after="0"/>
              <w:rPr>
                <w:sz w:val="13"/>
                <w:szCs w:val="13"/>
                <w:color w:val="auto"/>
              </w:rPr>
            </w:pPr>
          </w:p>
        </w:tc>
        <w:tc>
          <w:tcPr>
            <w:tcW w:w="1460" w:type="dxa"/>
            <w:vAlign w:val="bottom"/>
            <w:gridSpan w:val="2"/>
          </w:tcPr>
          <w:p>
            <w:pPr>
              <w:ind w:lef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36"/>
        </w:trPr>
        <w:tc>
          <w:tcPr>
            <w:tcW w:w="31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Fiscal Year Ended April 1, 2007:</w:t>
            </w: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80" w:type="dxa"/>
            <w:vAlign w:val="bottom"/>
            <w:shd w:val="clear" w:color="auto" w:fill="D6F3E8"/>
          </w:tcPr>
          <w:p>
            <w:pPr>
              <w:ind w:left="320"/>
              <w:spacing w:after="0"/>
              <w:rPr>
                <w:sz w:val="20"/>
                <w:szCs w:val="20"/>
                <w:color w:val="auto"/>
              </w:rPr>
            </w:pPr>
            <w:r>
              <w:rPr>
                <w:rFonts w:ascii="Arial" w:cs="Arial" w:eastAsia="Arial" w:hAnsi="Arial"/>
                <w:sz w:val="17"/>
                <w:szCs w:val="17"/>
                <w:color w:val="auto"/>
              </w:rPr>
              <w:t>Sales</w:t>
            </w:r>
          </w:p>
        </w:tc>
        <w:tc>
          <w:tcPr>
            <w:tcW w:w="460" w:type="dxa"/>
            <w:vAlign w:val="bottom"/>
            <w:gridSpan w:val="2"/>
            <w:shd w:val="clear" w:color="auto" w:fill="D6F3E8"/>
          </w:tcPr>
          <w:p>
            <w:pPr>
              <w:jc w:val="right"/>
              <w:ind w:right="73"/>
              <w:spacing w:after="0"/>
              <w:rPr>
                <w:sz w:val="20"/>
                <w:szCs w:val="20"/>
                <w:color w:val="auto"/>
              </w:rPr>
            </w:pPr>
            <w:r>
              <w:rPr>
                <w:rFonts w:ascii="Arial" w:cs="Arial" w:eastAsia="Arial" w:hAnsi="Arial"/>
                <w:sz w:val="17"/>
                <w:szCs w:val="17"/>
                <w:color w:val="auto"/>
              </w:rPr>
              <w:t>$</w:t>
            </w:r>
          </w:p>
        </w:tc>
        <w:tc>
          <w:tcPr>
            <w:tcW w:w="12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95,394,903</w:t>
            </w:r>
          </w:p>
        </w:tc>
        <w:tc>
          <w:tcPr>
            <w:tcW w:w="200" w:type="dxa"/>
            <w:vAlign w:val="bottom"/>
            <w:shd w:val="clear" w:color="auto" w:fill="D6F3E8"/>
          </w:tcPr>
          <w:p>
            <w:pPr>
              <w:spacing w:after="0"/>
              <w:rPr>
                <w:sz w:val="22"/>
                <w:szCs w:val="22"/>
                <w:color w:val="auto"/>
              </w:rPr>
            </w:pPr>
          </w:p>
        </w:tc>
        <w:tc>
          <w:tcPr>
            <w:tcW w:w="280" w:type="dxa"/>
            <w:vAlign w:val="bottom"/>
            <w:shd w:val="clear" w:color="auto" w:fill="D6F3E8"/>
          </w:tcPr>
          <w:p>
            <w:pPr>
              <w:jc w:val="right"/>
              <w:ind w:right="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56,371,237</w:t>
            </w:r>
          </w:p>
        </w:tc>
        <w:tc>
          <w:tcPr>
            <w:tcW w:w="40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D6F3E8"/>
          </w:tcPr>
          <w:p>
            <w:pPr>
              <w:jc w:val="right"/>
              <w:ind w:right="200"/>
              <w:spacing w:after="0"/>
              <w:rPr>
                <w:sz w:val="20"/>
                <w:szCs w:val="20"/>
                <w:color w:val="auto"/>
              </w:rPr>
            </w:pPr>
            <w:r>
              <w:rPr>
                <w:rFonts w:ascii="Arial" w:cs="Arial" w:eastAsia="Arial" w:hAnsi="Arial"/>
                <w:sz w:val="17"/>
                <w:szCs w:val="17"/>
                <w:color w:val="auto"/>
              </w:rPr>
              <w:t>8,638,940</w:t>
            </w:r>
          </w:p>
        </w:tc>
        <w:tc>
          <w:tcPr>
            <w:tcW w:w="380" w:type="dxa"/>
            <w:vAlign w:val="bottom"/>
            <w:shd w:val="clear" w:color="auto" w:fill="D6F3E8"/>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160,405,080</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180" w:type="dxa"/>
            <w:vAlign w:val="bottom"/>
          </w:tcPr>
          <w:p>
            <w:pPr>
              <w:ind w:left="320"/>
              <w:spacing w:after="0"/>
              <w:rPr>
                <w:sz w:val="20"/>
                <w:szCs w:val="20"/>
                <w:color w:val="auto"/>
              </w:rPr>
            </w:pPr>
            <w:r>
              <w:rPr>
                <w:rFonts w:ascii="Arial" w:cs="Arial" w:eastAsia="Arial" w:hAnsi="Arial"/>
                <w:sz w:val="17"/>
                <w:szCs w:val="17"/>
                <w:color w:val="auto"/>
              </w:rPr>
              <w:t>Cost of sales</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77,305,184</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39,667,703</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6,195,216</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123,168,103</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180" w:type="dxa"/>
            <w:vAlign w:val="bottom"/>
            <w:shd w:val="clear" w:color="auto" w:fill="D6F3E8"/>
          </w:tcPr>
          <w:p>
            <w:pPr>
              <w:ind w:left="320"/>
              <w:spacing w:after="0"/>
              <w:rPr>
                <w:sz w:val="20"/>
                <w:szCs w:val="20"/>
                <w:color w:val="auto"/>
              </w:rPr>
            </w:pPr>
            <w:r>
              <w:rPr>
                <w:rFonts w:ascii="Arial" w:cs="Arial" w:eastAsia="Arial" w:hAnsi="Arial"/>
                <w:sz w:val="17"/>
                <w:szCs w:val="17"/>
                <w:color w:val="auto"/>
              </w:rPr>
              <w:t>Income (loss) from operations</w:t>
            </w:r>
          </w:p>
        </w:tc>
        <w:tc>
          <w:tcPr>
            <w:tcW w:w="200" w:type="dxa"/>
            <w:vAlign w:val="bottom"/>
            <w:shd w:val="clear" w:color="auto" w:fill="D6F3E8"/>
          </w:tcPr>
          <w:p>
            <w:pPr>
              <w:spacing w:after="0"/>
              <w:rPr>
                <w:sz w:val="22"/>
                <w:szCs w:val="22"/>
                <w:color w:val="auto"/>
              </w:rPr>
            </w:pPr>
          </w:p>
        </w:tc>
        <w:tc>
          <w:tcPr>
            <w:tcW w:w="260" w:type="dxa"/>
            <w:vAlign w:val="bottom"/>
            <w:shd w:val="clear" w:color="auto" w:fill="D6F3E8"/>
          </w:tcPr>
          <w:p>
            <w:pPr>
              <w:jc w:val="right"/>
              <w:ind w:right="7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2,889,587</w:t>
            </w:r>
          </w:p>
        </w:tc>
        <w:tc>
          <w:tcPr>
            <w:tcW w:w="200" w:type="dxa"/>
            <w:vAlign w:val="bottom"/>
            <w:shd w:val="clear" w:color="auto" w:fill="D6F3E8"/>
          </w:tcPr>
          <w:p>
            <w:pPr>
              <w:spacing w:after="0"/>
              <w:rPr>
                <w:sz w:val="22"/>
                <w:szCs w:val="22"/>
                <w:color w:val="auto"/>
              </w:rPr>
            </w:pPr>
          </w:p>
        </w:tc>
        <w:tc>
          <w:tcPr>
            <w:tcW w:w="280" w:type="dxa"/>
            <w:vAlign w:val="bottom"/>
            <w:shd w:val="clear" w:color="auto" w:fill="D6F3E8"/>
          </w:tcPr>
          <w:p>
            <w:pPr>
              <w:jc w:val="right"/>
              <w:ind w:right="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D6F3E8"/>
          </w:tcPr>
          <w:p>
            <w:pPr>
              <w:jc w:val="right"/>
              <w:spacing w:after="0"/>
              <w:rPr>
                <w:sz w:val="20"/>
                <w:szCs w:val="20"/>
                <w:color w:val="auto"/>
              </w:rPr>
            </w:pPr>
            <w:r>
              <w:rPr>
                <w:rFonts w:ascii="Arial" w:cs="Arial" w:eastAsia="Arial" w:hAnsi="Arial"/>
                <w:sz w:val="17"/>
                <w:szCs w:val="17"/>
                <w:color w:val="auto"/>
              </w:rPr>
              <w:t>8,609,573</w:t>
            </w:r>
          </w:p>
        </w:tc>
        <w:tc>
          <w:tcPr>
            <w:tcW w:w="40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D6F3E8"/>
          </w:tcPr>
          <w:p>
            <w:pPr>
              <w:jc w:val="right"/>
              <w:ind w:right="140"/>
              <w:spacing w:after="0"/>
              <w:rPr>
                <w:sz w:val="20"/>
                <w:szCs w:val="20"/>
                <w:color w:val="auto"/>
              </w:rPr>
            </w:pPr>
            <w:r>
              <w:rPr>
                <w:rFonts w:ascii="Arial" w:cs="Arial" w:eastAsia="Arial" w:hAnsi="Arial"/>
                <w:sz w:val="17"/>
                <w:szCs w:val="17"/>
                <w:color w:val="auto"/>
              </w:rPr>
              <w:t>(234,819)</w:t>
            </w:r>
          </w:p>
        </w:tc>
        <w:tc>
          <w:tcPr>
            <w:tcW w:w="380" w:type="dxa"/>
            <w:vAlign w:val="bottom"/>
            <w:shd w:val="clear" w:color="auto" w:fill="D6F3E8"/>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11,264,341</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D6F3E8"/>
              <w:bottom w:val="single" w:sz="8" w:color="D6F3E8"/>
            </w:tcBorders>
            <w:vMerge w:val="restart"/>
          </w:tcPr>
          <w:p>
            <w:pPr>
              <w:ind w:left="320"/>
              <w:spacing w:after="0"/>
              <w:rPr>
                <w:sz w:val="20"/>
                <w:szCs w:val="20"/>
                <w:color w:val="auto"/>
              </w:rPr>
            </w:pPr>
            <w:r>
              <w:rPr>
                <w:rFonts w:ascii="Arial" w:cs="Arial" w:eastAsia="Arial" w:hAnsi="Arial"/>
                <w:sz w:val="17"/>
                <w:szCs w:val="17"/>
                <w:color w:val="auto"/>
              </w:rPr>
              <w:t>Identifiable assets*</w:t>
            </w:r>
          </w:p>
        </w:tc>
        <w:tc>
          <w:tcPr>
            <w:tcW w:w="200" w:type="dxa"/>
            <w:vAlign w:val="bottom"/>
            <w:tcBorders>
              <w:top w:val="single" w:sz="8" w:color="D6F3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180" w:type="dxa"/>
            <w:vAlign w:val="bottom"/>
            <w:vMerge w:val="continue"/>
          </w:tcPr>
          <w:p>
            <w:pPr>
              <w:spacing w:after="0"/>
              <w:rPr>
                <w:sz w:val="24"/>
                <w:szCs w:val="24"/>
                <w:color w:val="auto"/>
              </w:rPr>
            </w:pPr>
          </w:p>
        </w:tc>
        <w:tc>
          <w:tcPr>
            <w:tcW w:w="46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46,446,607</w:t>
            </w:r>
          </w:p>
        </w:tc>
        <w:tc>
          <w:tcPr>
            <w:tcW w:w="200" w:type="dxa"/>
            <w:vAlign w:val="bottom"/>
          </w:tcPr>
          <w:p>
            <w:pPr>
              <w:spacing w:after="0"/>
              <w:rPr>
                <w:sz w:val="24"/>
                <w:szCs w:val="24"/>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17,639,843</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5,569,231</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69,655,681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-332105</wp:posOffset>
            </wp:positionV>
            <wp:extent cx="1282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Unallocated assets consisting primarily of cash and cash equivalents, investments, and prepaid expenses were $31,612,913 at April 1, 2007.</w:t>
      </w:r>
    </w:p>
    <w:p>
      <w:pPr>
        <w:spacing w:after="0" w:line="260" w:lineRule="exact"/>
        <w:rPr>
          <w:sz w:val="20"/>
          <w:szCs w:val="20"/>
          <w:color w:val="auto"/>
        </w:rPr>
      </w:pPr>
    </w:p>
    <w:tbl>
      <w:tblPr>
        <w:tblLayout w:type="fixed"/>
        <w:tblInd w:w="980" w:type="dxa"/>
        <w:tblCellMar>
          <w:top w:w="0" w:type="dxa"/>
          <w:left w:w="0" w:type="dxa"/>
          <w:bottom w:w="0" w:type="dxa"/>
          <w:right w:w="0" w:type="dxa"/>
        </w:tblCellMar>
      </w:tblPr>
      <w:tr>
        <w:trPr>
          <w:trHeight w:val="223"/>
        </w:trPr>
        <w:tc>
          <w:tcPr>
            <w:tcW w:w="2840" w:type="dxa"/>
            <w:vAlign w:val="bottom"/>
          </w:tcPr>
          <w:p>
            <w:pPr>
              <w:spacing w:after="0"/>
              <w:rPr>
                <w:sz w:val="20"/>
                <w:szCs w:val="20"/>
                <w:color w:val="auto"/>
              </w:rPr>
            </w:pPr>
            <w:r>
              <w:rPr>
                <w:rFonts w:ascii="Arial" w:cs="Arial" w:eastAsia="Arial" w:hAnsi="Arial"/>
                <w:sz w:val="17"/>
                <w:szCs w:val="17"/>
                <w:color w:val="auto"/>
              </w:rPr>
              <w:t>Fiscal Year Ended April 2, 2006:</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840" w:type="dxa"/>
            <w:vAlign w:val="bottom"/>
            <w:shd w:val="clear" w:color="auto" w:fill="D6F3E8"/>
          </w:tcPr>
          <w:p>
            <w:pPr>
              <w:ind w:left="320"/>
              <w:spacing w:after="0"/>
              <w:rPr>
                <w:sz w:val="20"/>
                <w:szCs w:val="20"/>
                <w:color w:val="auto"/>
              </w:rPr>
            </w:pPr>
            <w:r>
              <w:rPr>
                <w:rFonts w:ascii="Arial" w:cs="Arial" w:eastAsia="Arial" w:hAnsi="Arial"/>
                <w:sz w:val="17"/>
                <w:szCs w:val="17"/>
                <w:color w:val="auto"/>
              </w:rPr>
              <w:t>Sales</w:t>
            </w:r>
          </w:p>
        </w:tc>
        <w:tc>
          <w:tcPr>
            <w:tcW w:w="920" w:type="dxa"/>
            <w:vAlign w:val="bottom"/>
            <w:gridSpan w:val="2"/>
            <w:shd w:val="clear" w:color="auto" w:fill="D6F3E8"/>
          </w:tcPr>
          <w:p>
            <w:pPr>
              <w:jc w:val="right"/>
              <w:ind w:right="193"/>
              <w:spacing w:after="0"/>
              <w:rPr>
                <w:sz w:val="20"/>
                <w:szCs w:val="20"/>
                <w:color w:val="auto"/>
              </w:rPr>
            </w:pPr>
            <w:r>
              <w:rPr>
                <w:rFonts w:ascii="Arial" w:cs="Arial" w:eastAsia="Arial" w:hAnsi="Arial"/>
                <w:sz w:val="17"/>
                <w:szCs w:val="17"/>
                <w:color w:val="auto"/>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7"/>
                <w:szCs w:val="17"/>
                <w:color w:val="auto"/>
              </w:rPr>
              <w:t>84,192,397</w:t>
            </w:r>
          </w:p>
        </w:tc>
        <w:tc>
          <w:tcPr>
            <w:tcW w:w="200" w:type="dxa"/>
            <w:vAlign w:val="bottom"/>
            <w:shd w:val="clear" w:color="auto" w:fill="D6F3E8"/>
          </w:tcPr>
          <w:p>
            <w:pPr>
              <w:spacing w:after="0"/>
              <w:rPr>
                <w:sz w:val="22"/>
                <w:szCs w:val="22"/>
                <w:color w:val="auto"/>
              </w:rPr>
            </w:pPr>
          </w:p>
        </w:tc>
        <w:tc>
          <w:tcPr>
            <w:tcW w:w="220" w:type="dxa"/>
            <w:vAlign w:val="bottom"/>
            <w:shd w:val="clear" w:color="auto" w:fill="D6F3E8"/>
          </w:tcPr>
          <w:p>
            <w:pPr>
              <w:jc w:val="right"/>
              <w:ind w:right="3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48,946,914</w:t>
            </w:r>
          </w:p>
        </w:tc>
        <w:tc>
          <w:tcPr>
            <w:tcW w:w="42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10,191,939</w:t>
            </w:r>
          </w:p>
        </w:tc>
        <w:tc>
          <w:tcPr>
            <w:tcW w:w="30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w:t>
            </w:r>
          </w:p>
        </w:tc>
        <w:tc>
          <w:tcPr>
            <w:tcW w:w="142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143,331,250</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840" w:type="dxa"/>
            <w:vAlign w:val="bottom"/>
          </w:tcPr>
          <w:p>
            <w:pPr>
              <w:ind w:left="320"/>
              <w:spacing w:after="0"/>
              <w:rPr>
                <w:sz w:val="20"/>
                <w:szCs w:val="20"/>
                <w:color w:val="auto"/>
              </w:rPr>
            </w:pPr>
            <w:r>
              <w:rPr>
                <w:rFonts w:ascii="Arial" w:cs="Arial" w:eastAsia="Arial" w:hAnsi="Arial"/>
                <w:sz w:val="17"/>
                <w:szCs w:val="17"/>
                <w:color w:val="auto"/>
              </w:rPr>
              <w:t>Cost of sales</w:t>
            </w: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69,160,512</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33,859,254</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7,092,342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110,112,108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840" w:type="dxa"/>
            <w:vAlign w:val="bottom"/>
            <w:shd w:val="clear" w:color="auto" w:fill="D6F3E8"/>
          </w:tcPr>
          <w:p>
            <w:pPr>
              <w:ind w:left="320"/>
              <w:spacing w:after="0"/>
              <w:rPr>
                <w:sz w:val="20"/>
                <w:szCs w:val="20"/>
                <w:color w:val="auto"/>
              </w:rPr>
            </w:pPr>
            <w:r>
              <w:rPr>
                <w:rFonts w:ascii="Arial" w:cs="Arial" w:eastAsia="Arial" w:hAnsi="Arial"/>
                <w:sz w:val="17"/>
                <w:szCs w:val="17"/>
                <w:color w:val="auto"/>
              </w:rPr>
              <w:t>Income from operations</w:t>
            </w:r>
          </w:p>
        </w:tc>
        <w:tc>
          <w:tcPr>
            <w:tcW w:w="540" w:type="dxa"/>
            <w:vAlign w:val="bottom"/>
            <w:shd w:val="clear" w:color="auto" w:fill="D6F3E8"/>
          </w:tcPr>
          <w:p>
            <w:pPr>
              <w:spacing w:after="0"/>
              <w:rPr>
                <w:sz w:val="22"/>
                <w:szCs w:val="22"/>
                <w:color w:val="auto"/>
              </w:rPr>
            </w:pPr>
          </w:p>
        </w:tc>
        <w:tc>
          <w:tcPr>
            <w:tcW w:w="380" w:type="dxa"/>
            <w:vAlign w:val="bottom"/>
            <w:shd w:val="clear" w:color="auto" w:fill="D6F3E8"/>
          </w:tcPr>
          <w:p>
            <w:pPr>
              <w:jc w:val="right"/>
              <w:ind w:right="1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7"/>
                <w:szCs w:val="17"/>
                <w:color w:val="auto"/>
              </w:rPr>
              <w:t>2,367,035</w:t>
            </w:r>
          </w:p>
        </w:tc>
        <w:tc>
          <w:tcPr>
            <w:tcW w:w="200" w:type="dxa"/>
            <w:vAlign w:val="bottom"/>
            <w:shd w:val="clear" w:color="auto" w:fill="D6F3E8"/>
          </w:tcPr>
          <w:p>
            <w:pPr>
              <w:spacing w:after="0"/>
              <w:rPr>
                <w:sz w:val="22"/>
                <w:szCs w:val="22"/>
                <w:color w:val="auto"/>
              </w:rPr>
            </w:pPr>
          </w:p>
        </w:tc>
        <w:tc>
          <w:tcPr>
            <w:tcW w:w="220" w:type="dxa"/>
            <w:vAlign w:val="bottom"/>
            <w:shd w:val="clear" w:color="auto" w:fill="D6F3E8"/>
          </w:tcPr>
          <w:p>
            <w:pPr>
              <w:jc w:val="right"/>
              <w:ind w:right="3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8,770,739</w:t>
            </w:r>
          </w:p>
        </w:tc>
        <w:tc>
          <w:tcPr>
            <w:tcW w:w="420" w:type="dxa"/>
            <w:vAlign w:val="bottom"/>
            <w:gridSpan w:val="2"/>
            <w:shd w:val="clear" w:color="auto" w:fill="D6F3E8"/>
          </w:tcPr>
          <w:p>
            <w:pPr>
              <w:jc w:val="right"/>
              <w:ind w:right="120"/>
              <w:spacing w:after="0"/>
              <w:rPr>
                <w:sz w:val="20"/>
                <w:szCs w:val="20"/>
                <w:color w:val="auto"/>
              </w:rPr>
            </w:pPr>
            <w:r>
              <w:rPr>
                <w:rFonts w:ascii="Arial" w:cs="Arial" w:eastAsia="Arial" w:hAnsi="Arial"/>
                <w:sz w:val="17"/>
                <w:szCs w:val="17"/>
                <w:color w:val="auto"/>
              </w:rPr>
              <w:t>$</w:t>
            </w:r>
          </w:p>
        </w:tc>
        <w:tc>
          <w:tcPr>
            <w:tcW w:w="1680" w:type="dxa"/>
            <w:vAlign w:val="bottom"/>
            <w:gridSpan w:val="4"/>
            <w:shd w:val="clear" w:color="auto" w:fill="D6F3E8"/>
          </w:tcPr>
          <w:p>
            <w:pPr>
              <w:jc w:val="right"/>
              <w:ind w:right="100"/>
              <w:spacing w:after="0"/>
              <w:rPr>
                <w:sz w:val="20"/>
                <w:szCs w:val="20"/>
                <w:color w:val="auto"/>
              </w:rPr>
            </w:pPr>
            <w:r>
              <w:rPr>
                <w:rFonts w:ascii="Arial" w:cs="Arial" w:eastAsia="Arial" w:hAnsi="Arial"/>
                <w:sz w:val="17"/>
                <w:szCs w:val="17"/>
                <w:color w:val="auto"/>
              </w:rPr>
              <w:t>1,624,444** $</w:t>
            </w:r>
          </w:p>
        </w:tc>
        <w:tc>
          <w:tcPr>
            <w:tcW w:w="1420" w:type="dxa"/>
            <w:vAlign w:val="bottom"/>
            <w:shd w:val="clear" w:color="auto" w:fill="D6F3E8"/>
          </w:tcPr>
          <w:p>
            <w:pPr>
              <w:jc w:val="right"/>
              <w:spacing w:after="0"/>
              <w:rPr>
                <w:sz w:val="20"/>
                <w:szCs w:val="20"/>
                <w:color w:val="auto"/>
              </w:rPr>
            </w:pPr>
            <w:r>
              <w:rPr>
                <w:rFonts w:ascii="Arial" w:cs="Arial" w:eastAsia="Arial" w:hAnsi="Arial"/>
                <w:sz w:val="17"/>
                <w:szCs w:val="17"/>
                <w:color w:val="auto"/>
              </w:rPr>
              <w:t>12,762,218</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D6F3E8"/>
              <w:bottom w:val="single" w:sz="8" w:color="D6F3E8"/>
            </w:tcBorders>
            <w:vMerge w:val="restart"/>
          </w:tcPr>
          <w:p>
            <w:pPr>
              <w:ind w:left="320"/>
              <w:spacing w:after="0"/>
              <w:rPr>
                <w:sz w:val="20"/>
                <w:szCs w:val="20"/>
                <w:color w:val="auto"/>
              </w:rPr>
            </w:pPr>
            <w:r>
              <w:rPr>
                <w:rFonts w:ascii="Arial" w:cs="Arial" w:eastAsia="Arial" w:hAnsi="Arial"/>
                <w:sz w:val="17"/>
                <w:szCs w:val="17"/>
                <w:color w:val="auto"/>
              </w:rPr>
              <w:t>Identifiable assets*</w:t>
            </w:r>
          </w:p>
        </w:tc>
        <w:tc>
          <w:tcPr>
            <w:tcW w:w="540" w:type="dxa"/>
            <w:vAlign w:val="bottom"/>
            <w:tcBorders>
              <w:top w:val="single" w:sz="8" w:color="D6F3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840" w:type="dxa"/>
            <w:vAlign w:val="bottom"/>
            <w:vMerge w:val="continue"/>
          </w:tcPr>
          <w:p>
            <w:pPr>
              <w:spacing w:after="0"/>
              <w:rPr>
                <w:sz w:val="24"/>
                <w:szCs w:val="24"/>
                <w:color w:val="auto"/>
              </w:rPr>
            </w:pPr>
          </w:p>
        </w:tc>
        <w:tc>
          <w:tcPr>
            <w:tcW w:w="920" w:type="dxa"/>
            <w:vAlign w:val="bottom"/>
            <w:gridSpan w:val="2"/>
          </w:tcPr>
          <w:p>
            <w:pPr>
              <w:jc w:val="right"/>
              <w:ind w:right="19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42,170,943</w:t>
            </w:r>
          </w:p>
        </w:tc>
        <w:tc>
          <w:tcPr>
            <w:tcW w:w="200" w:type="dxa"/>
            <w:vAlign w:val="bottom"/>
          </w:tcPr>
          <w:p>
            <w:pPr>
              <w:spacing w:after="0"/>
              <w:rPr>
                <w:sz w:val="24"/>
                <w:szCs w:val="24"/>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17,587,618</w:t>
            </w: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5,761,116</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65,519,677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980" w:right="540" w:hanging="5"/>
        <w:spacing w:after="0" w:line="296" w:lineRule="auto"/>
        <w:tabs>
          <w:tab w:leader="none" w:pos="1111"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Unallocated assets consisting primarily of cash and cash equivalents, investments, and prepaid expenses were $28,537,057 at April 2, 2006. ** The Pharmaceutical segment recorded $1,056,520 in pretax gain from the litigation settlement during fiscal 2006.</w:t>
      </w:r>
    </w:p>
    <w:p>
      <w:pPr>
        <w:spacing w:after="0" w:line="177" w:lineRule="exact"/>
        <w:rPr>
          <w:sz w:val="20"/>
          <w:szCs w:val="20"/>
          <w:color w:val="auto"/>
        </w:rPr>
      </w:pPr>
    </w:p>
    <w:tbl>
      <w:tblPr>
        <w:tblLayout w:type="fixed"/>
        <w:tblInd w:w="980" w:type="dxa"/>
        <w:tblCellMar>
          <w:top w:w="0" w:type="dxa"/>
          <w:left w:w="0" w:type="dxa"/>
          <w:bottom w:w="0" w:type="dxa"/>
          <w:right w:w="0" w:type="dxa"/>
        </w:tblCellMar>
      </w:tblPr>
      <w:tr>
        <w:trPr>
          <w:trHeight w:val="223"/>
        </w:trPr>
        <w:tc>
          <w:tcPr>
            <w:tcW w:w="2840" w:type="dxa"/>
            <w:vAlign w:val="bottom"/>
          </w:tcPr>
          <w:p>
            <w:pPr>
              <w:spacing w:after="0"/>
              <w:rPr>
                <w:sz w:val="20"/>
                <w:szCs w:val="20"/>
                <w:color w:val="auto"/>
              </w:rPr>
            </w:pPr>
            <w:r>
              <w:rPr>
                <w:rFonts w:ascii="Arial" w:cs="Arial" w:eastAsia="Arial" w:hAnsi="Arial"/>
                <w:sz w:val="17"/>
                <w:szCs w:val="17"/>
                <w:color w:val="auto"/>
              </w:rPr>
              <w:t>Fiscal Year Ended April 3, 2005:</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56"/>
        </w:trPr>
        <w:tc>
          <w:tcPr>
            <w:tcW w:w="2840" w:type="dxa"/>
            <w:vAlign w:val="bottom"/>
            <w:shd w:val="clear" w:color="auto" w:fill="D6F3E8"/>
          </w:tcPr>
          <w:p>
            <w:pPr>
              <w:ind w:left="320"/>
              <w:spacing w:after="0"/>
              <w:rPr>
                <w:sz w:val="20"/>
                <w:szCs w:val="20"/>
                <w:color w:val="auto"/>
              </w:rPr>
            </w:pPr>
            <w:r>
              <w:rPr>
                <w:rFonts w:ascii="Arial" w:cs="Arial" w:eastAsia="Arial" w:hAnsi="Arial"/>
                <w:sz w:val="17"/>
                <w:szCs w:val="17"/>
                <w:color w:val="auto"/>
              </w:rPr>
              <w:t>Sales</w:t>
            </w:r>
          </w:p>
        </w:tc>
        <w:tc>
          <w:tcPr>
            <w:tcW w:w="920" w:type="dxa"/>
            <w:vAlign w:val="bottom"/>
            <w:gridSpan w:val="2"/>
            <w:shd w:val="clear" w:color="auto" w:fill="D6F3E8"/>
          </w:tcPr>
          <w:p>
            <w:pPr>
              <w:jc w:val="right"/>
              <w:ind w:right="2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7"/>
                <w:szCs w:val="17"/>
                <w:color w:val="auto"/>
              </w:rPr>
              <w:t>64,130,067</w:t>
            </w:r>
          </w:p>
        </w:tc>
        <w:tc>
          <w:tcPr>
            <w:tcW w:w="200" w:type="dxa"/>
            <w:vAlign w:val="bottom"/>
            <w:shd w:val="clear" w:color="auto" w:fill="D6F3E8"/>
          </w:tcPr>
          <w:p>
            <w:pPr>
              <w:spacing w:after="0"/>
              <w:rPr>
                <w:sz w:val="22"/>
                <w:szCs w:val="22"/>
                <w:color w:val="auto"/>
              </w:rPr>
            </w:pPr>
          </w:p>
        </w:tc>
        <w:tc>
          <w:tcPr>
            <w:tcW w:w="400" w:type="dxa"/>
            <w:vAlign w:val="bottom"/>
            <w:shd w:val="clear" w:color="auto" w:fill="D6F3E8"/>
          </w:tcPr>
          <w:p>
            <w:pPr>
              <w:jc w:val="right"/>
              <w:ind w:right="21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7"/>
                <w:szCs w:val="17"/>
                <w:color w:val="auto"/>
              </w:rPr>
              <w:t>41,529,630</w:t>
            </w:r>
          </w:p>
        </w:tc>
        <w:tc>
          <w:tcPr>
            <w:tcW w:w="660" w:type="dxa"/>
            <w:vAlign w:val="bottom"/>
            <w:gridSpan w:val="2"/>
            <w:shd w:val="clear" w:color="auto" w:fill="D6F3E8"/>
          </w:tcPr>
          <w:p>
            <w:pPr>
              <w:jc w:val="right"/>
              <w:ind w:right="3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9,620,615</w:t>
            </w:r>
          </w:p>
        </w:tc>
        <w:tc>
          <w:tcPr>
            <w:tcW w:w="520" w:type="dxa"/>
            <w:vAlign w:val="bottom"/>
            <w:gridSpan w:val="2"/>
            <w:shd w:val="clear" w:color="auto" w:fill="D6F3E8"/>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D6F3E8"/>
          </w:tcPr>
          <w:p>
            <w:pPr>
              <w:jc w:val="right"/>
              <w:ind w:right="220"/>
              <w:spacing w:after="0"/>
              <w:rPr>
                <w:sz w:val="20"/>
                <w:szCs w:val="20"/>
                <w:color w:val="auto"/>
              </w:rPr>
            </w:pPr>
            <w:r>
              <w:rPr>
                <w:rFonts w:ascii="Arial" w:cs="Arial" w:eastAsia="Arial" w:hAnsi="Arial"/>
                <w:sz w:val="17"/>
                <w:szCs w:val="17"/>
                <w:color w:val="auto"/>
              </w:rPr>
              <w:t>115,280,312</w:t>
            </w:r>
          </w:p>
        </w:tc>
      </w:tr>
      <w:tr>
        <w:trPr>
          <w:trHeight w:val="255"/>
        </w:trPr>
        <w:tc>
          <w:tcPr>
            <w:tcW w:w="2840" w:type="dxa"/>
            <w:vAlign w:val="bottom"/>
          </w:tcPr>
          <w:p>
            <w:pPr>
              <w:ind w:left="320"/>
              <w:spacing w:after="0"/>
              <w:rPr>
                <w:sz w:val="20"/>
                <w:szCs w:val="20"/>
                <w:color w:val="auto"/>
              </w:rPr>
            </w:pPr>
            <w:r>
              <w:rPr>
                <w:rFonts w:ascii="Arial" w:cs="Arial" w:eastAsia="Arial" w:hAnsi="Arial"/>
                <w:sz w:val="17"/>
                <w:szCs w:val="17"/>
                <w:color w:val="auto"/>
              </w:rPr>
              <w:t>Cost of sales</w:t>
            </w: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50,713,339</w:t>
            </w: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28,512,805</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6,447,983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85,674,127</w:t>
            </w:r>
          </w:p>
        </w:tc>
      </w:tr>
      <w:tr>
        <w:trPr>
          <w:trHeight w:val="255"/>
        </w:trPr>
        <w:tc>
          <w:tcPr>
            <w:tcW w:w="2840" w:type="dxa"/>
            <w:vAlign w:val="bottom"/>
            <w:shd w:val="clear" w:color="auto" w:fill="D6F3E8"/>
          </w:tcPr>
          <w:p>
            <w:pPr>
              <w:ind w:left="320"/>
              <w:spacing w:after="0"/>
              <w:rPr>
                <w:sz w:val="20"/>
                <w:szCs w:val="20"/>
                <w:color w:val="auto"/>
              </w:rPr>
            </w:pPr>
            <w:r>
              <w:rPr>
                <w:rFonts w:ascii="Arial" w:cs="Arial" w:eastAsia="Arial" w:hAnsi="Arial"/>
                <w:sz w:val="17"/>
                <w:szCs w:val="17"/>
                <w:color w:val="auto"/>
              </w:rPr>
              <w:t>Income from operations</w:t>
            </w:r>
          </w:p>
        </w:tc>
        <w:tc>
          <w:tcPr>
            <w:tcW w:w="920" w:type="dxa"/>
            <w:vAlign w:val="bottom"/>
            <w:gridSpan w:val="2"/>
            <w:shd w:val="clear" w:color="auto" w:fill="D6F3E8"/>
          </w:tcPr>
          <w:p>
            <w:pPr>
              <w:jc w:val="right"/>
              <w:ind w:right="2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7"/>
                <w:szCs w:val="17"/>
                <w:color w:val="auto"/>
              </w:rPr>
              <w:t>3,372,624</w:t>
            </w:r>
          </w:p>
        </w:tc>
        <w:tc>
          <w:tcPr>
            <w:tcW w:w="200" w:type="dxa"/>
            <w:vAlign w:val="bottom"/>
            <w:shd w:val="clear" w:color="auto" w:fill="D6F3E8"/>
          </w:tcPr>
          <w:p>
            <w:pPr>
              <w:spacing w:after="0"/>
              <w:rPr>
                <w:sz w:val="22"/>
                <w:szCs w:val="22"/>
                <w:color w:val="auto"/>
              </w:rPr>
            </w:pPr>
          </w:p>
        </w:tc>
        <w:tc>
          <w:tcPr>
            <w:tcW w:w="400" w:type="dxa"/>
            <w:vAlign w:val="bottom"/>
            <w:shd w:val="clear" w:color="auto" w:fill="D6F3E8"/>
          </w:tcPr>
          <w:p>
            <w:pPr>
              <w:jc w:val="right"/>
              <w:ind w:right="21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7"/>
                <w:szCs w:val="17"/>
                <w:color w:val="auto"/>
              </w:rPr>
              <w:t>7,516,673</w:t>
            </w:r>
          </w:p>
        </w:tc>
        <w:tc>
          <w:tcPr>
            <w:tcW w:w="660" w:type="dxa"/>
            <w:vAlign w:val="bottom"/>
            <w:gridSpan w:val="2"/>
            <w:shd w:val="clear" w:color="auto" w:fill="D6F3E8"/>
          </w:tcPr>
          <w:p>
            <w:pPr>
              <w:jc w:val="right"/>
              <w:ind w:right="3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627,059</w:t>
            </w:r>
          </w:p>
        </w:tc>
        <w:tc>
          <w:tcPr>
            <w:tcW w:w="520" w:type="dxa"/>
            <w:vAlign w:val="bottom"/>
            <w:gridSpan w:val="2"/>
            <w:shd w:val="clear" w:color="auto" w:fill="D6F3E8"/>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D6F3E8"/>
          </w:tcPr>
          <w:p>
            <w:pPr>
              <w:jc w:val="right"/>
              <w:ind w:right="220"/>
              <w:spacing w:after="0"/>
              <w:rPr>
                <w:sz w:val="20"/>
                <w:szCs w:val="20"/>
                <w:color w:val="auto"/>
              </w:rPr>
            </w:pPr>
            <w:r>
              <w:rPr>
                <w:rFonts w:ascii="Arial" w:cs="Arial" w:eastAsia="Arial" w:hAnsi="Arial"/>
                <w:sz w:val="17"/>
                <w:szCs w:val="17"/>
                <w:color w:val="auto"/>
              </w:rPr>
              <w:t>11,516,356</w:t>
            </w:r>
          </w:p>
        </w:tc>
      </w:tr>
      <w:tr>
        <w:trPr>
          <w:trHeight w:val="20"/>
        </w:trPr>
        <w:tc>
          <w:tcPr>
            <w:tcW w:w="2840" w:type="dxa"/>
            <w:vAlign w:val="bottom"/>
            <w:tcBorders>
              <w:top w:val="single" w:sz="8" w:color="D6F3E8"/>
            </w:tcBorders>
          </w:tcPr>
          <w:p>
            <w:pPr>
              <w:spacing w:after="0" w:line="20" w:lineRule="exact"/>
              <w:rPr>
                <w:sz w:val="1"/>
                <w:szCs w:val="1"/>
                <w:color w:val="auto"/>
              </w:rPr>
            </w:pPr>
          </w:p>
        </w:tc>
        <w:tc>
          <w:tcPr>
            <w:tcW w:w="540" w:type="dxa"/>
            <w:vAlign w:val="bottom"/>
            <w:tcBorders>
              <w:top w:val="single" w:sz="8" w:color="D6F3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r>
    </w:tbl>
    <w:p>
      <w:pPr>
        <w:sectPr>
          <w:pgSz w:w="11900" w:h="16838" w:orient="portrait"/>
          <w:cols w:equalWidth="0" w:num="1">
            <w:col w:w="11420"/>
          </w:cols>
          <w:pgMar w:left="240" w:top="0" w:right="239" w:bottom="0" w:gutter="0" w:footer="0" w:header="0"/>
        </w:sectPr>
      </w:pPr>
    </w:p>
    <w:bookmarkStart w:id="23" w:name="page24"/>
    <w:bookmarkEnd w:id="23"/>
    <w:p>
      <w:pPr>
        <w:ind w:left="1300"/>
        <w:spacing w:after="0"/>
        <w:tabs>
          <w:tab w:leader="none" w:pos="4340" w:val="left"/>
          <w:tab w:leader="none" w:pos="5020" w:val="left"/>
          <w:tab w:leader="none" w:pos="6020" w:val="left"/>
          <w:tab w:leader="none" w:pos="6700" w:val="left"/>
          <w:tab w:leader="none" w:pos="7700" w:val="left"/>
          <w:tab w:leader="none" w:pos="8480" w:val="left"/>
          <w:tab w:leader="none" w:pos="9380" w:val="left"/>
          <w:tab w:leader="none" w:pos="10220" w:val="left"/>
        </w:tabs>
        <w:rPr>
          <w:sz w:val="20"/>
          <w:szCs w:val="20"/>
          <w:color w:val="auto"/>
        </w:rPr>
      </w:pPr>
      <w:r>
        <w:rPr>
          <w:rFonts w:ascii="Arial" w:cs="Arial" w:eastAsia="Arial" w:hAnsi="Arial"/>
          <w:sz w:val="17"/>
          <w:szCs w:val="17"/>
          <w:color w:val="auto"/>
        </w:rPr>
        <w:t>Identifiable assets*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35,667,914</w:t>
        <w:tab/>
        <w:t>$</w:t>
      </w:r>
      <w:r>
        <w:rPr>
          <w:sz w:val="20"/>
          <w:szCs w:val="20"/>
          <w:color w:val="auto"/>
        </w:rPr>
        <w:tab/>
      </w:r>
      <w:r>
        <w:rPr>
          <w:rFonts w:ascii="Arial" w:cs="Arial" w:eastAsia="Arial" w:hAnsi="Arial"/>
          <w:sz w:val="17"/>
          <w:szCs w:val="17"/>
          <w:color w:val="auto"/>
        </w:rPr>
        <w:t>16,384,456</w:t>
        <w:tab/>
        <w:t>$</w:t>
      </w:r>
      <w:r>
        <w:rPr>
          <w:sz w:val="20"/>
          <w:szCs w:val="20"/>
          <w:color w:val="auto"/>
        </w:rPr>
        <w:tab/>
      </w:r>
      <w:r>
        <w:rPr>
          <w:rFonts w:ascii="Arial" w:cs="Arial" w:eastAsia="Arial" w:hAnsi="Arial"/>
          <w:sz w:val="17"/>
          <w:szCs w:val="17"/>
          <w:color w:val="auto"/>
        </w:rPr>
        <w:t>5,930,442</w:t>
        <w:tab/>
        <w:t>$</w:t>
      </w:r>
      <w:r>
        <w:rPr>
          <w:sz w:val="20"/>
          <w:szCs w:val="20"/>
          <w:color w:val="auto"/>
        </w:rPr>
        <w:tab/>
      </w:r>
      <w:r>
        <w:rPr>
          <w:rFonts w:ascii="Arial" w:cs="Arial" w:eastAsia="Arial" w:hAnsi="Arial"/>
          <w:sz w:val="15"/>
          <w:szCs w:val="15"/>
          <w:color w:val="auto"/>
        </w:rPr>
        <w:t>57,982,812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17780</wp:posOffset>
            </wp:positionV>
            <wp:extent cx="422529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25290" cy="25400"/>
                    </a:xfrm>
                    <a:prstGeom prst="rect">
                      <a:avLst/>
                    </a:prstGeom>
                    <a:noFill/>
                  </pic:spPr>
                </pic:pic>
              </a:graphicData>
            </a:graphic>
          </wp:anchor>
        </w:drawing>
      </w:r>
    </w:p>
    <w:p>
      <w:pPr>
        <w:spacing w:after="0" w:line="26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*Unallocated assets consisting primarily of cash and cash equivalents, investments, and prepaid expenses were $29,675,306 at April 3, 2005.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60" w:right="540" w:hanging="1357"/>
        <w:spacing w:after="0" w:line="249" w:lineRule="auto"/>
        <w:tabs>
          <w:tab w:leader="none" w:pos="1340" w:val="left"/>
        </w:tabs>
        <w:rPr>
          <w:sz w:val="20"/>
          <w:szCs w:val="20"/>
          <w:color w:val="auto"/>
        </w:rPr>
      </w:pPr>
      <w:r>
        <w:rPr>
          <w:rFonts w:ascii="Arial" w:cs="Arial" w:eastAsia="Arial" w:hAnsi="Arial"/>
          <w:sz w:val="22"/>
          <w:szCs w:val="22"/>
          <w:color w:val="auto"/>
        </w:rPr>
        <w:t>ITEM 9.</w:t>
      </w:r>
      <w:r>
        <w:rPr>
          <w:sz w:val="20"/>
          <w:szCs w:val="20"/>
          <w:color w:val="auto"/>
        </w:rPr>
        <w:tab/>
      </w:r>
      <w:r>
        <w:rPr>
          <w:rFonts w:ascii="Arial" w:cs="Arial" w:eastAsia="Arial" w:hAnsi="Arial"/>
          <w:sz w:val="22"/>
          <w:szCs w:val="22"/>
          <w:color w:val="auto"/>
        </w:rPr>
        <w:t>CHANGES IN AND DISAGREEMENTS WITH ACCOUNTANTS ON ACCOUNTING AND FINANCIAL DISCLOSURE.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22"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ITEM 9A.</w:t>
      </w:r>
      <w:r>
        <w:rPr>
          <w:sz w:val="20"/>
          <w:szCs w:val="20"/>
          <w:color w:val="auto"/>
        </w:rPr>
        <w:tab/>
      </w:r>
      <w:r>
        <w:rPr>
          <w:rFonts w:ascii="Arial" w:cs="Arial" w:eastAsia="Arial" w:hAnsi="Arial"/>
          <w:sz w:val="20"/>
          <w:szCs w:val="20"/>
          <w:color w:val="auto"/>
        </w:rPr>
        <w:t>CONTROLS AND PROCEDURES.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4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period covered by this report. Based on this evaluation the Chief Executive Officer and Chief Financial Officer concluded that as of April 1, 2007, the disclosure controls and procedures for Hawkins, Inc. were effective to ensure that information required to be disclosed in reports it files or submits under the Exchange Act is recorded, processed, summarized and reported by the filing deadlines specified in SEC rules and forms.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41" w:lineRule="exact"/>
        <w:rPr>
          <w:sz w:val="20"/>
          <w:szCs w:val="20"/>
          <w:color w:val="auto"/>
        </w:rPr>
      </w:pPr>
    </w:p>
    <w:p>
      <w:pPr>
        <w:ind w:right="20" w:firstLine="645"/>
        <w:spacing w:after="0" w:line="270" w:lineRule="auto"/>
        <w:rPr>
          <w:sz w:val="20"/>
          <w:szCs w:val="20"/>
          <w:color w:val="auto"/>
        </w:rPr>
      </w:pPr>
      <w:r>
        <w:rPr>
          <w:rFonts w:ascii="Arial" w:cs="Arial" w:eastAsia="Arial" w:hAnsi="Arial"/>
          <w:sz w:val="17"/>
          <w:szCs w:val="17"/>
          <w:color w:val="auto"/>
        </w:rPr>
        <w:t>The management of Hawkins, Inc. (the “Company”) is responsible for establishing and maintaining adequate internal control over financial reporting as defined in Rules 13a-15(f) and 15d-15(f) under the Exchange Act. Our internal control system was designed to ensure that material information regarding our operations is made available to management and the board of directors to provide them reasonable assurance that the published financial statements are fairly presented. There are limitations inherent in any internal control, such as the possibility of human error and the circumvention or overriding of controls. As a result, even effective internal controls can provide only reasonable assurance with respect to financial statement preparation. As conditions change over time so too may the effectiveness of internal controls.</w:t>
      </w:r>
    </w:p>
    <w:p>
      <w:pPr>
        <w:spacing w:after="0" w:line="186" w:lineRule="exact"/>
        <w:rPr>
          <w:sz w:val="20"/>
          <w:szCs w:val="20"/>
          <w:color w:val="auto"/>
        </w:rPr>
      </w:pPr>
    </w:p>
    <w:p>
      <w:pPr>
        <w:ind w:right="60" w:firstLine="645"/>
        <w:spacing w:after="0" w:line="292" w:lineRule="auto"/>
        <w:rPr>
          <w:sz w:val="20"/>
          <w:szCs w:val="20"/>
          <w:color w:val="auto"/>
        </w:rPr>
      </w:pPr>
      <w:r>
        <w:rPr>
          <w:rFonts w:ascii="Arial" w:cs="Arial" w:eastAsia="Arial" w:hAnsi="Arial"/>
          <w:sz w:val="16"/>
          <w:szCs w:val="16"/>
          <w:color w:val="auto"/>
        </w:rPr>
        <w:t>An internal control significant deficiency is a control deficiency, or combination of control deficiencies, that adversely affects a company’s ability to initiate, authorize, record, process, or report external financial data reliably in accordance with generally accepted accounting principles such that there is more than a remote likelihood that a misstatement of the company’s annual or interim financial statements that is more than inconsequential will not be prevented or detected. An internal control material weakness is a significant deficiency, or combination of significant deficiencies, that results in more than a remote likelihood that a material misstatement of the annual or interim financial statements will not be prevented or detected.</w:t>
      </w:r>
    </w:p>
    <w:p>
      <w:pPr>
        <w:spacing w:after="0" w:line="171" w:lineRule="exact"/>
        <w:rPr>
          <w:sz w:val="20"/>
          <w:szCs w:val="20"/>
          <w:color w:val="auto"/>
        </w:rPr>
      </w:pPr>
    </w:p>
    <w:p>
      <w:pPr>
        <w:ind w:firstLine="645"/>
        <w:spacing w:after="0" w:line="280" w:lineRule="auto"/>
        <w:rPr>
          <w:sz w:val="20"/>
          <w:szCs w:val="20"/>
          <w:color w:val="auto"/>
        </w:rPr>
      </w:pPr>
      <w:r>
        <w:rPr>
          <w:rFonts w:ascii="Arial" w:cs="Arial" w:eastAsia="Arial" w:hAnsi="Arial"/>
          <w:sz w:val="17"/>
          <w:szCs w:val="17"/>
          <w:color w:val="auto"/>
        </w:rPr>
        <w:t>Our management evaluated our internal control over financial reporting as of April 1, 2007, based on the framework in Internal Control - Integrated Framework issued by the Committee of Sponsoring Organizations (“COSO”) of the Treadway Commission. Based on this assessment, our management concluded that our internal control over financial reporting was effective as of April 1, 2007.</w:t>
      </w:r>
    </w:p>
    <w:p>
      <w:pPr>
        <w:spacing w:after="0" w:line="176" w:lineRule="exact"/>
        <w:rPr>
          <w:sz w:val="20"/>
          <w:szCs w:val="20"/>
          <w:color w:val="auto"/>
        </w:rPr>
      </w:pPr>
    </w:p>
    <w:p>
      <w:pPr>
        <w:ind w:right="220" w:firstLine="645"/>
        <w:spacing w:after="0" w:line="296" w:lineRule="auto"/>
        <w:rPr>
          <w:sz w:val="20"/>
          <w:szCs w:val="20"/>
          <w:color w:val="auto"/>
        </w:rPr>
      </w:pPr>
      <w:r>
        <w:rPr>
          <w:rFonts w:ascii="Arial" w:cs="Arial" w:eastAsia="Arial" w:hAnsi="Arial"/>
          <w:sz w:val="17"/>
          <w:szCs w:val="17"/>
          <w:color w:val="auto"/>
        </w:rPr>
        <w:t>The Company’s independent registered public accounting firm has issued an attestation report on management’s assessment of the Company’s internal control over financial reporting. That report appears herein on page 34.</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John R. Hawkins</w:t>
            </w:r>
          </w:p>
        </w:tc>
        <w:tc>
          <w:tcPr>
            <w:tcW w:w="1680" w:type="dxa"/>
            <w:vAlign w:val="bottom"/>
          </w:tcPr>
          <w:p>
            <w:pPr>
              <w:spacing w:after="0"/>
              <w:rPr>
                <w:sz w:val="19"/>
                <w:szCs w:val="19"/>
                <w:color w:val="auto"/>
              </w:rPr>
            </w:pPr>
          </w:p>
        </w:tc>
        <w:tc>
          <w:tcPr>
            <w:tcW w:w="3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Marvin E. Dee</w:t>
            </w:r>
          </w:p>
        </w:tc>
      </w:tr>
      <w:tr>
        <w:trPr>
          <w:trHeight w:val="443"/>
        </w:trPr>
        <w:tc>
          <w:tcPr>
            <w:tcW w:w="5080" w:type="dxa"/>
            <w:vAlign w:val="bottom"/>
            <w:gridSpan w:val="2"/>
          </w:tcPr>
          <w:p>
            <w:pPr>
              <w:spacing w:after="0"/>
              <w:rPr>
                <w:sz w:val="20"/>
                <w:szCs w:val="20"/>
                <w:color w:val="auto"/>
              </w:rPr>
            </w:pPr>
            <w:r>
              <w:rPr>
                <w:rFonts w:ascii="Arial" w:cs="Arial" w:eastAsia="Arial" w:hAnsi="Arial"/>
                <w:sz w:val="17"/>
                <w:szCs w:val="17"/>
                <w:color w:val="auto"/>
              </w:rPr>
              <w:t>John R. Hawkins</w:t>
            </w:r>
          </w:p>
        </w:tc>
        <w:tc>
          <w:tcPr>
            <w:tcW w:w="3400" w:type="dxa"/>
            <w:vAlign w:val="bottom"/>
          </w:tcPr>
          <w:p>
            <w:pPr>
              <w:spacing w:after="0"/>
              <w:rPr>
                <w:sz w:val="20"/>
                <w:szCs w:val="20"/>
                <w:color w:val="auto"/>
              </w:rPr>
            </w:pPr>
            <w:r>
              <w:rPr>
                <w:rFonts w:ascii="Arial" w:cs="Arial" w:eastAsia="Arial" w:hAnsi="Arial"/>
                <w:sz w:val="17"/>
                <w:szCs w:val="17"/>
                <w:color w:val="auto"/>
              </w:rPr>
              <w:t>Marvin E. Dee</w:t>
            </w:r>
          </w:p>
        </w:tc>
      </w:tr>
      <w:tr>
        <w:trPr>
          <w:trHeight w:val="215"/>
        </w:trPr>
        <w:tc>
          <w:tcPr>
            <w:tcW w:w="5080" w:type="dxa"/>
            <w:vAlign w:val="bottom"/>
            <w:gridSpan w:val="2"/>
          </w:tcPr>
          <w:p>
            <w:pPr>
              <w:spacing w:after="0"/>
              <w:rPr>
                <w:sz w:val="20"/>
                <w:szCs w:val="20"/>
                <w:color w:val="auto"/>
              </w:rPr>
            </w:pPr>
            <w:r>
              <w:rPr>
                <w:rFonts w:ascii="Arial" w:cs="Arial" w:eastAsia="Arial" w:hAnsi="Arial"/>
                <w:sz w:val="17"/>
                <w:szCs w:val="17"/>
                <w:color w:val="auto"/>
              </w:rPr>
              <w:t>Chief Executive Officer</w:t>
            </w:r>
          </w:p>
        </w:tc>
        <w:tc>
          <w:tcPr>
            <w:tcW w:w="340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222"/>
        </w:trPr>
        <w:tc>
          <w:tcPr>
            <w:tcW w:w="5080" w:type="dxa"/>
            <w:vAlign w:val="bottom"/>
            <w:gridSpan w:val="2"/>
          </w:tcPr>
          <w:p>
            <w:pPr>
              <w:spacing w:after="0"/>
              <w:rPr>
                <w:sz w:val="20"/>
                <w:szCs w:val="20"/>
                <w:color w:val="auto"/>
              </w:rPr>
            </w:pPr>
            <w:r>
              <w:rPr>
                <w:rFonts w:ascii="Arial" w:cs="Arial" w:eastAsia="Arial" w:hAnsi="Arial"/>
                <w:sz w:val="17"/>
                <w:szCs w:val="17"/>
                <w:color w:val="auto"/>
              </w:rPr>
              <w:t>June 15, 2007</w:t>
            </w:r>
          </w:p>
        </w:tc>
        <w:tc>
          <w:tcPr>
            <w:tcW w:w="3400" w:type="dxa"/>
            <w:vAlign w:val="bottom"/>
          </w:tcPr>
          <w:p>
            <w:pPr>
              <w:spacing w:after="0"/>
              <w:rPr>
                <w:sz w:val="20"/>
                <w:szCs w:val="20"/>
                <w:color w:val="auto"/>
              </w:rPr>
            </w:pPr>
            <w:r>
              <w:rPr>
                <w:rFonts w:ascii="Arial" w:cs="Arial" w:eastAsia="Arial" w:hAnsi="Arial"/>
                <w:sz w:val="17"/>
                <w:szCs w:val="17"/>
                <w:color w:val="auto"/>
              </w:rPr>
              <w:t>June 15, 2007</w:t>
            </w:r>
          </w:p>
        </w:tc>
      </w:tr>
      <w:tr>
        <w:trPr>
          <w:trHeight w:val="887"/>
        </w:trPr>
        <w:tc>
          <w:tcPr>
            <w:tcW w:w="3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0" w:type="dxa"/>
            <w:vAlign w:val="bottom"/>
          </w:tcPr>
          <w:p>
            <w:pPr>
              <w:ind w:left="340"/>
              <w:spacing w:after="0"/>
              <w:rPr>
                <w:sz w:val="20"/>
                <w:szCs w:val="20"/>
                <w:color w:val="auto"/>
              </w:rPr>
            </w:pPr>
            <w:r>
              <w:rPr>
                <w:rFonts w:ascii="Arial" w:cs="Arial" w:eastAsia="Arial" w:hAnsi="Arial"/>
                <w:sz w:val="17"/>
                <w:szCs w:val="17"/>
                <w:i w:val="1"/>
                <w:iCs w:val="1"/>
                <w:color w:val="auto"/>
              </w:rPr>
              <w:t>Page 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220980</wp:posOffset>
            </wp:positionV>
            <wp:extent cx="725106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w:t>
      </w:r>
    </w:p>
    <w:p>
      <w:pPr>
        <w:spacing w:after="0" w:line="241" w:lineRule="exact"/>
        <w:rPr>
          <w:sz w:val="20"/>
          <w:szCs w:val="20"/>
          <w:color w:val="auto"/>
        </w:rPr>
      </w:pPr>
    </w:p>
    <w:p>
      <w:pPr>
        <w:ind w:right="80" w:firstLine="297"/>
        <w:spacing w:after="0" w:line="274" w:lineRule="auto"/>
        <w:rPr>
          <w:sz w:val="20"/>
          <w:szCs w:val="20"/>
          <w:color w:val="auto"/>
        </w:rPr>
      </w:pPr>
      <w:r>
        <w:rPr>
          <w:rFonts w:ascii="Arial" w:cs="Arial" w:eastAsia="Arial" w:hAnsi="Arial"/>
          <w:sz w:val="17"/>
          <w:szCs w:val="17"/>
          <w:color w:val="auto"/>
        </w:rPr>
        <w:t>The Company is responsible for establishing and maintaining adequate internal control over financial reporting. The Company’s internal control system was designed to provide reasonable assurance to the Company’s management and the board of directors regarding the preparation and fair presentation of published financial statements. All internal control systems, no matter how well designed, have inherent limitations. Therefore, even those systems determined effective can provide only reasonable assurance with respect to financial statement preparation and presentation.</w:t>
      </w:r>
    </w:p>
    <w:p>
      <w:pPr>
        <w:spacing w:after="0" w:line="183" w:lineRule="exact"/>
        <w:rPr>
          <w:sz w:val="20"/>
          <w:szCs w:val="20"/>
          <w:color w:val="auto"/>
        </w:rPr>
      </w:pPr>
    </w:p>
    <w:p>
      <w:pPr>
        <w:ind w:right="20" w:firstLine="297"/>
        <w:spacing w:after="0" w:line="316" w:lineRule="auto"/>
        <w:rPr>
          <w:sz w:val="20"/>
          <w:szCs w:val="20"/>
          <w:color w:val="auto"/>
        </w:rPr>
      </w:pPr>
      <w:r>
        <w:rPr>
          <w:rFonts w:ascii="Arial" w:cs="Arial" w:eastAsia="Arial" w:hAnsi="Arial"/>
          <w:sz w:val="15"/>
          <w:szCs w:val="15"/>
          <w:color w:val="auto"/>
        </w:rPr>
        <w:t>We implemented a new ERP system in October 2006. ERP systems are highly complex and as a result of the implementation there were significant changes in our internal controls, processes and procedures during the fiscal year ended April 1, 2007. These changes primarily affect recording and reporting of revenues, inventory and expenditures. We also encountered implementation and transitional issues with the new ERP system, including significant issues related to business segment reporting. To address these issues, we modified ongoing processes and controls during the implementation period. These modifications included putting in place a number of manual controls and procedures as management could not test or rely on certain of the internal controls that are part of the ERP system.</w:t>
      </w:r>
    </w:p>
    <w:p>
      <w:pPr>
        <w:sectPr>
          <w:pgSz w:w="11900" w:h="16838" w:orient="portrait"/>
          <w:cols w:equalWidth="0" w:num="1">
            <w:col w:w="11400"/>
          </w:cols>
          <w:pgMar w:left="240" w:top="131" w:right="259" w:bottom="0" w:gutter="0" w:footer="0" w:header="0"/>
        </w:sectPr>
      </w:pPr>
    </w:p>
    <w:bookmarkStart w:id="24" w:name="page25"/>
    <w:bookmarkEnd w:id="24"/>
    <w:p>
      <w:pPr>
        <w:ind w:right="220"/>
        <w:spacing w:after="0" w:line="296" w:lineRule="auto"/>
        <w:rPr>
          <w:sz w:val="20"/>
          <w:szCs w:val="20"/>
          <w:color w:val="auto"/>
        </w:rPr>
      </w:pPr>
      <w:r>
        <w:rPr>
          <w:rFonts w:ascii="Arial" w:cs="Arial" w:eastAsia="Arial" w:hAnsi="Arial"/>
          <w:sz w:val="17"/>
          <w:szCs w:val="17"/>
          <w:color w:val="auto"/>
        </w:rPr>
        <w:t>Management is in the process of planning and implementing actions to replace the majority of these manual controls and procedures with automated controls in subsequent quarters.</w:t>
      </w:r>
    </w:p>
    <w:p>
      <w:pPr>
        <w:spacing w:after="0" w:line="163" w:lineRule="exact"/>
        <w:rPr>
          <w:sz w:val="20"/>
          <w:szCs w:val="20"/>
          <w:color w:val="auto"/>
        </w:rPr>
      </w:pPr>
    </w:p>
    <w:p>
      <w:pPr>
        <w:ind w:right="60" w:firstLine="297"/>
        <w:spacing w:after="0" w:line="280" w:lineRule="auto"/>
        <w:rPr>
          <w:sz w:val="20"/>
          <w:szCs w:val="20"/>
          <w:color w:val="auto"/>
        </w:rPr>
      </w:pPr>
      <w:r>
        <w:rPr>
          <w:rFonts w:ascii="Arial" w:cs="Arial" w:eastAsia="Arial" w:hAnsi="Arial"/>
          <w:sz w:val="17"/>
          <w:szCs w:val="17"/>
          <w:color w:val="auto"/>
        </w:rPr>
        <w:t>Other than as described above, there were no changes in the Company’s internal control over financial reporting that occurred during the fourth quarter ended April 1, 2007 that has materially affected or is reasonably likely to materially affect the Company’s internal control over financial reporting, as defined in Rule 13a-15(f) under the Exchange Act.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Hawkins,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Minneapolis, MN</w:t>
      </w:r>
    </w:p>
    <w:p>
      <w:pPr>
        <w:spacing w:after="0" w:line="228" w:lineRule="exact"/>
        <w:rPr>
          <w:sz w:val="20"/>
          <w:szCs w:val="20"/>
          <w:color w:val="auto"/>
        </w:rPr>
      </w:pPr>
    </w:p>
    <w:p>
      <w:pPr>
        <w:ind w:firstLine="645"/>
        <w:spacing w:after="0" w:line="270" w:lineRule="auto"/>
        <w:rPr>
          <w:sz w:val="20"/>
          <w:szCs w:val="20"/>
          <w:color w:val="auto"/>
        </w:rPr>
      </w:pPr>
      <w:r>
        <w:rPr>
          <w:rFonts w:ascii="Arial" w:cs="Arial" w:eastAsia="Arial" w:hAnsi="Arial"/>
          <w:sz w:val="17"/>
          <w:szCs w:val="17"/>
          <w:color w:val="auto"/>
        </w:rPr>
        <w:t xml:space="preserve">We have audited management’s assessment, included in the accompanying Management’s Report on Internal Control over Financial Reporting included in Item 9A, that Hawkins, Inc. (the “Company”) maintained effective internal control over financial reporting as of April 1, 2007, based on criteria established in </w:t>
      </w:r>
      <w:r>
        <w:rPr>
          <w:rFonts w:ascii="Arial" w:cs="Arial" w:eastAsia="Arial" w:hAnsi="Arial"/>
          <w:sz w:val="17"/>
          <w:szCs w:val="17"/>
          <w:i w:val="1"/>
          <w:iCs w:val="1"/>
          <w:color w:val="auto"/>
        </w:rPr>
        <w:t xml:space="preserve">Internal Control—Integrated Framework </w:t>
      </w:r>
      <w:r>
        <w:rPr>
          <w:rFonts w:ascii="Arial" w:cs="Arial" w:eastAsia="Arial" w:hAnsi="Arial"/>
          <w:sz w:val="17"/>
          <w:szCs w:val="17"/>
          <w:color w:val="auto"/>
        </w:rPr>
        <w:t>issued by the Committee of Sponsoring Organizations of the Treadway Commission. The Company’s management is</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86" w:lineRule="exact"/>
        <w:rPr>
          <w:sz w:val="20"/>
          <w:szCs w:val="20"/>
          <w:color w:val="auto"/>
        </w:rPr>
      </w:pPr>
    </w:p>
    <w:p>
      <w:pPr>
        <w:ind w:right="80" w:firstLine="645"/>
        <w:spacing w:after="0" w:line="272"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183" w:lineRule="exact"/>
        <w:rPr>
          <w:sz w:val="20"/>
          <w:szCs w:val="20"/>
          <w:color w:val="auto"/>
        </w:rPr>
      </w:pPr>
    </w:p>
    <w:p>
      <w:pPr>
        <w:ind w:firstLine="645"/>
        <w:spacing w:after="0" w:line="268"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ind w:right="40" w:firstLine="645"/>
        <w:spacing w:after="0" w:line="274"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60" w:firstLine="645"/>
        <w:spacing w:after="0" w:line="272" w:lineRule="auto"/>
        <w:rPr>
          <w:sz w:val="20"/>
          <w:szCs w:val="20"/>
          <w:color w:val="auto"/>
        </w:rPr>
      </w:pPr>
      <w:r>
        <w:rPr>
          <w:rFonts w:ascii="Arial" w:cs="Arial" w:eastAsia="Arial" w:hAnsi="Arial"/>
          <w:sz w:val="17"/>
          <w:szCs w:val="17"/>
          <w:color w:val="auto"/>
        </w:rPr>
        <w:t xml:space="preserve">In our opinion, management’s assessment that the Company maintained effective internal control over financial reporting as of April 1, 2007, is fairly stated, in all material respects, based on the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Also in our opinion, the Company maintained, in all material respects, effective internal control over financial reporting as of April 1, 2007, based on the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w:t>
      </w:r>
    </w:p>
    <w:p>
      <w:pPr>
        <w:spacing w:after="0" w:line="183" w:lineRule="exact"/>
        <w:rPr>
          <w:sz w:val="20"/>
          <w:szCs w:val="20"/>
          <w:color w:val="auto"/>
        </w:rPr>
      </w:pPr>
    </w:p>
    <w:p>
      <w:pPr>
        <w:jc w:val="both"/>
        <w:ind w:right="40" w:firstLine="645"/>
        <w:spacing w:after="0" w:line="280"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financial statements and financial statement schedule as of and for the year ended April 1, 2007, of the Company and our reports dated June 13, 2007 expressed an unqualified opinion on those financial statements and financial statement schedule.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Minneapolis, MN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June 13, 2007</w:t>
      </w:r>
    </w:p>
    <w:p>
      <w:pPr>
        <w:spacing w:after="0" w:line="200" w:lineRule="exact"/>
        <w:rPr>
          <w:sz w:val="20"/>
          <w:szCs w:val="20"/>
          <w:color w:val="auto"/>
        </w:rPr>
      </w:pPr>
    </w:p>
    <w:p>
      <w:pPr>
        <w:spacing w:after="0" w:line="230"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ITEM 9B.</w:t>
      </w:r>
      <w:r>
        <w:rPr>
          <w:sz w:val="20"/>
          <w:szCs w:val="20"/>
          <w:color w:val="auto"/>
        </w:rPr>
        <w:tab/>
      </w:r>
      <w:r>
        <w:rPr>
          <w:rFonts w:ascii="Arial" w:cs="Arial" w:eastAsia="Arial" w:hAnsi="Arial"/>
          <w:sz w:val="20"/>
          <w:szCs w:val="20"/>
          <w:color w:val="auto"/>
        </w:rPr>
        <w:t>OTHER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PART III</w:t>
      </w:r>
    </w:p>
    <w:p>
      <w:pPr>
        <w:spacing w:after="0" w:line="204"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ITEM 10.</w:t>
      </w:r>
      <w:r>
        <w:rPr>
          <w:sz w:val="20"/>
          <w:szCs w:val="20"/>
          <w:color w:val="auto"/>
        </w:rPr>
        <w:tab/>
      </w:r>
      <w:r>
        <w:rPr>
          <w:rFonts w:ascii="Arial" w:cs="Arial" w:eastAsia="Arial" w:hAnsi="Arial"/>
          <w:sz w:val="20"/>
          <w:szCs w:val="20"/>
          <w:color w:val="auto"/>
        </w:rPr>
        <w:t>DIRECTORS, EXECUTIVE OFFICERS, AND CORPORATE GOVERNANCE OF THE COMPANY.</w:t>
      </w:r>
    </w:p>
    <w:p>
      <w:pPr>
        <w:spacing w:after="0" w:line="217" w:lineRule="exact"/>
        <w:rPr>
          <w:sz w:val="20"/>
          <w:szCs w:val="20"/>
          <w:color w:val="auto"/>
        </w:rPr>
      </w:pPr>
    </w:p>
    <w:p>
      <w:pPr>
        <w:jc w:val="both"/>
        <w:ind w:right="80" w:firstLine="645"/>
        <w:spacing w:after="0" w:line="280" w:lineRule="auto"/>
        <w:rPr>
          <w:sz w:val="20"/>
          <w:szCs w:val="20"/>
          <w:color w:val="auto"/>
        </w:rPr>
      </w:pPr>
      <w:r>
        <w:rPr>
          <w:rFonts w:ascii="Arial" w:cs="Arial" w:eastAsia="Arial" w:hAnsi="Arial"/>
          <w:sz w:val="17"/>
          <w:szCs w:val="17"/>
          <w:color w:val="auto"/>
        </w:rPr>
        <w:t>The information under the captions “Election of Directors,” “Corporate Governance,” and “Section 16(a) Beneficial Ownership Reporting Compliance” in the Proxy Statement for the 2007 Annual Meeting of Shareholders is incorporated herein by this reference. Information required under this item with respect to executive officers is contained in Part I of this Form 10-K under the caption “Executive Officers of the Registrant.”</w:t>
      </w:r>
    </w:p>
    <w:p>
      <w:pPr>
        <w:spacing w:after="0" w:line="176" w:lineRule="exact"/>
        <w:rPr>
          <w:sz w:val="20"/>
          <w:szCs w:val="20"/>
          <w:color w:val="auto"/>
        </w:rPr>
      </w:pPr>
    </w:p>
    <w:p>
      <w:pPr>
        <w:jc w:val="both"/>
        <w:ind w:right="320" w:firstLine="645"/>
        <w:spacing w:after="0" w:line="333" w:lineRule="auto"/>
        <w:rPr>
          <w:sz w:val="20"/>
          <w:szCs w:val="20"/>
          <w:color w:val="auto"/>
        </w:rPr>
      </w:pPr>
      <w:r>
        <w:rPr>
          <w:rFonts w:ascii="Arial" w:cs="Arial" w:eastAsia="Arial" w:hAnsi="Arial"/>
          <w:sz w:val="15"/>
          <w:szCs w:val="15"/>
          <w:color w:val="auto"/>
        </w:rPr>
        <w:t>We have adopted a Code of Business Conduct and Ethics that applies to all of our directors and employees, including our principal executive officer, principal financial officer, controller and other persons performing similar functions. We have posted the Code of Business Conduct and Ethics on our website located at http://www.hawkinsinc.com. We intend to post on our website any amendment to, or waiver from, a provision of our Code of Business Conduct and</w:t>
      </w:r>
    </w:p>
    <w:p>
      <w:pPr>
        <w:sectPr>
          <w:pgSz w:w="11900" w:h="16838" w:orient="portrait"/>
          <w:cols w:equalWidth="0" w:num="1">
            <w:col w:w="11400"/>
          </w:cols>
          <w:pgMar w:left="240" w:top="131" w:right="259" w:bottom="0" w:gutter="0" w:footer="0" w:header="0"/>
        </w:sectPr>
      </w:pPr>
    </w:p>
    <w:bookmarkStart w:id="25" w:name="page26"/>
    <w:bookmarkEnd w:id="25"/>
    <w:p>
      <w:pPr>
        <w:spacing w:after="0" w:line="115"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Ethics that applies to our principal executive officer, principal financial officer, controller and other persons performing similar functions within four business days following the date of such amendment or waiver.</w:t>
      </w:r>
    </w:p>
    <w:p>
      <w:pPr>
        <w:spacing w:after="0" w:line="150"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ITEM 11.</w:t>
      </w:r>
      <w:r>
        <w:rPr>
          <w:sz w:val="20"/>
          <w:szCs w:val="20"/>
          <w:color w:val="auto"/>
        </w:rPr>
        <w:tab/>
      </w:r>
      <w:r>
        <w:rPr>
          <w:rFonts w:ascii="Arial" w:cs="Arial" w:eastAsia="Arial" w:hAnsi="Arial"/>
          <w:sz w:val="20"/>
          <w:szCs w:val="20"/>
          <w:color w:val="auto"/>
        </w:rPr>
        <w:t>EXECUTIVE COMPENSATION.</w:t>
      </w:r>
    </w:p>
    <w:p>
      <w:pPr>
        <w:spacing w:after="0" w:line="217" w:lineRule="exact"/>
        <w:rPr>
          <w:sz w:val="20"/>
          <w:szCs w:val="20"/>
          <w:color w:val="auto"/>
        </w:rPr>
      </w:pPr>
    </w:p>
    <w:p>
      <w:pPr>
        <w:ind w:right="700" w:firstLine="645"/>
        <w:spacing w:after="0" w:line="296" w:lineRule="auto"/>
        <w:rPr>
          <w:sz w:val="20"/>
          <w:szCs w:val="20"/>
          <w:color w:val="auto"/>
        </w:rPr>
      </w:pPr>
      <w:r>
        <w:rPr>
          <w:rFonts w:ascii="Arial" w:cs="Arial" w:eastAsia="Arial" w:hAnsi="Arial"/>
          <w:sz w:val="17"/>
          <w:szCs w:val="17"/>
          <w:color w:val="auto"/>
        </w:rPr>
        <w:t>The information under the caption “Compensation of Executive Officers and Directors” in the Proxy Statement for the 2007 Annual Meeting of Shareholders is incorporated herein by this reference.</w:t>
      </w:r>
    </w:p>
    <w:p>
      <w:pPr>
        <w:spacing w:after="0" w:line="150" w:lineRule="exact"/>
        <w:rPr>
          <w:sz w:val="20"/>
          <w:szCs w:val="20"/>
          <w:color w:val="auto"/>
        </w:rPr>
      </w:pPr>
    </w:p>
    <w:p>
      <w:pPr>
        <w:ind w:left="1360" w:right="460" w:hanging="1357"/>
        <w:spacing w:after="0" w:line="249" w:lineRule="auto"/>
        <w:tabs>
          <w:tab w:leader="none" w:pos="1340" w:val="left"/>
        </w:tabs>
        <w:rPr>
          <w:sz w:val="20"/>
          <w:szCs w:val="20"/>
          <w:color w:val="auto"/>
        </w:rPr>
      </w:pPr>
      <w:r>
        <w:rPr>
          <w:rFonts w:ascii="Arial" w:cs="Arial" w:eastAsia="Arial" w:hAnsi="Arial"/>
          <w:sz w:val="22"/>
          <w:szCs w:val="22"/>
          <w:color w:val="auto"/>
        </w:rPr>
        <w:t>ITEM 12.</w:t>
      </w:r>
      <w:r>
        <w:rPr>
          <w:sz w:val="20"/>
          <w:szCs w:val="20"/>
          <w:color w:val="auto"/>
        </w:rPr>
        <w:tab/>
      </w:r>
      <w:r>
        <w:rPr>
          <w:rFonts w:ascii="Arial" w:cs="Arial" w:eastAsia="Arial" w:hAnsi="Arial"/>
          <w:sz w:val="22"/>
          <w:szCs w:val="22"/>
          <w:color w:val="auto"/>
        </w:rPr>
        <w:t>SECURITY OWNERSHIP OF CERTAIN BENEFICIAL OWNERS AND MANAGEMENT AND RELATED STOCKHOLDER MATTERS.</w:t>
      </w:r>
    </w:p>
    <w:p>
      <w:pPr>
        <w:spacing w:after="0" w:line="187" w:lineRule="exact"/>
        <w:rPr>
          <w:sz w:val="20"/>
          <w:szCs w:val="20"/>
          <w:color w:val="auto"/>
        </w:rPr>
      </w:pPr>
    </w:p>
    <w:p>
      <w:pPr>
        <w:ind w:right="160" w:firstLine="645"/>
        <w:spacing w:after="0" w:line="296" w:lineRule="auto"/>
        <w:rPr>
          <w:sz w:val="20"/>
          <w:szCs w:val="20"/>
          <w:color w:val="auto"/>
        </w:rPr>
      </w:pPr>
      <w:r>
        <w:rPr>
          <w:rFonts w:ascii="Arial" w:cs="Arial" w:eastAsia="Arial" w:hAnsi="Arial"/>
          <w:sz w:val="17"/>
          <w:szCs w:val="17"/>
          <w:color w:val="auto"/>
        </w:rPr>
        <w:t>The information under the caption “Security Ownership of Management and Beneficial Ownership” and under the heading “Equity Compensation Plan Information” in the Proxy Statement for the 2007 Annual Meeting of Shareholders is incorporated herein by this reference.</w:t>
      </w:r>
    </w:p>
    <w:p>
      <w:pPr>
        <w:spacing w:after="0" w:line="150"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ITEM 13.</w:t>
      </w:r>
      <w:r>
        <w:rPr>
          <w:sz w:val="20"/>
          <w:szCs w:val="20"/>
          <w:color w:val="auto"/>
        </w:rPr>
        <w:tab/>
      </w:r>
      <w:r>
        <w:rPr>
          <w:rFonts w:ascii="Arial" w:cs="Arial" w:eastAsia="Arial" w:hAnsi="Arial"/>
          <w:sz w:val="20"/>
          <w:szCs w:val="20"/>
          <w:color w:val="auto"/>
        </w:rPr>
        <w:t>CERTAIN RELATIONSHIPS AND RELATED TRANSACTIONS, AND DIRECTOR INDEPENDENCE.</w:t>
      </w:r>
    </w:p>
    <w:p>
      <w:pPr>
        <w:spacing w:after="0" w:line="217" w:lineRule="exact"/>
        <w:rPr>
          <w:sz w:val="20"/>
          <w:szCs w:val="20"/>
          <w:color w:val="auto"/>
        </w:rPr>
      </w:pPr>
    </w:p>
    <w:p>
      <w:pPr>
        <w:ind w:right="340" w:firstLine="645"/>
        <w:spacing w:after="0" w:line="296" w:lineRule="auto"/>
        <w:rPr>
          <w:sz w:val="20"/>
          <w:szCs w:val="20"/>
          <w:color w:val="auto"/>
        </w:rPr>
      </w:pPr>
      <w:r>
        <w:rPr>
          <w:rFonts w:ascii="Arial" w:cs="Arial" w:eastAsia="Arial" w:hAnsi="Arial"/>
          <w:sz w:val="17"/>
          <w:szCs w:val="17"/>
          <w:color w:val="auto"/>
        </w:rPr>
        <w:t>The information under the captions “Election of Directors” and “Related Party Transactions” in the Proxy Statement for the 2007 Annual Meeting of Shareholders is incorporated herein by this reference.</w:t>
      </w:r>
    </w:p>
    <w:p>
      <w:pPr>
        <w:spacing w:after="0" w:line="150"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ITEM 14.</w:t>
      </w:r>
      <w:r>
        <w:rPr>
          <w:sz w:val="20"/>
          <w:szCs w:val="20"/>
          <w:color w:val="auto"/>
        </w:rPr>
        <w:tab/>
      </w:r>
      <w:r>
        <w:rPr>
          <w:rFonts w:ascii="Arial" w:cs="Arial" w:eastAsia="Arial" w:hAnsi="Arial"/>
          <w:sz w:val="20"/>
          <w:szCs w:val="20"/>
          <w:color w:val="auto"/>
        </w:rPr>
        <w:t>PRINCIPAL ACCOUNTANT FEES AND SERVICES.</w:t>
      </w:r>
    </w:p>
    <w:p>
      <w:pPr>
        <w:spacing w:after="0" w:line="217" w:lineRule="exact"/>
        <w:rPr>
          <w:sz w:val="20"/>
          <w:szCs w:val="20"/>
          <w:color w:val="auto"/>
        </w:rPr>
      </w:pPr>
    </w:p>
    <w:p>
      <w:pPr>
        <w:ind w:right="260" w:firstLine="645"/>
        <w:spacing w:after="0" w:line="296" w:lineRule="auto"/>
        <w:rPr>
          <w:sz w:val="20"/>
          <w:szCs w:val="20"/>
          <w:color w:val="auto"/>
        </w:rPr>
      </w:pPr>
      <w:r>
        <w:rPr>
          <w:rFonts w:ascii="Arial" w:cs="Arial" w:eastAsia="Arial" w:hAnsi="Arial"/>
          <w:sz w:val="17"/>
          <w:szCs w:val="17"/>
          <w:color w:val="auto"/>
        </w:rPr>
        <w:t>The information under the caption “Independent Auditors’ Fees” in the Proxy Statement for the 2007 Annual Meeting of Shareholders is incorporated herein by this reference.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PART IV</w:t>
      </w:r>
    </w:p>
    <w:p>
      <w:pPr>
        <w:spacing w:after="0" w:line="204"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ITEM 15.</w:t>
      </w:r>
      <w:r>
        <w:rPr>
          <w:sz w:val="20"/>
          <w:szCs w:val="20"/>
          <w:color w:val="auto"/>
        </w:rPr>
        <w:tab/>
      </w:r>
      <w:r>
        <w:rPr>
          <w:rFonts w:ascii="Arial" w:cs="Arial" w:eastAsia="Arial" w:hAnsi="Arial"/>
          <w:sz w:val="20"/>
          <w:szCs w:val="20"/>
          <w:color w:val="auto"/>
        </w:rPr>
        <w:t>EXHIBITS AND FINANCIAL STATEMENT SCHEDULES.</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(a)(1)</w:t>
        <w:tab/>
        <w:t>FINANCIAL STATEMENTS OF THE COMPANY.</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financial statements of Hawkins, Inc. are filed as part of this Annual Report on Form 10-K:</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Report of Independent Registered Public Accounting Firm.</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Balance Sheets at April 1, 2007 and April 2, 2006.</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Statements of Income for the fiscal years ended April 1, 2007, April 2, 2006, and April 3, 2005.</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Statements of Shareholders’ Equity for the fiscal years ended April 1, 2007, April 2, 2006, and April 3, 2005.</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Statements of Cash Flows for the fiscal years ended April 1, 2007, April 2, 2006, and April 3, 2005.</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Notes to Financial Statements.</w:t>
      </w:r>
    </w:p>
    <w:p>
      <w:pPr>
        <w:spacing w:after="0" w:line="200" w:lineRule="exact"/>
        <w:rPr>
          <w:sz w:val="20"/>
          <w:szCs w:val="20"/>
          <w:color w:val="auto"/>
        </w:rPr>
      </w:pPr>
    </w:p>
    <w:p>
      <w:pPr>
        <w:spacing w:after="0" w:line="250"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(a)(2)</w:t>
        <w:tab/>
        <w:t>FINANCIAL STATEMENT SCHEDULES OF THE COMPANY.</w:t>
      </w:r>
    </w:p>
    <w:p>
      <w:pPr>
        <w:spacing w:after="0" w:line="235" w:lineRule="exact"/>
        <w:rPr>
          <w:sz w:val="20"/>
          <w:szCs w:val="20"/>
          <w:color w:val="auto"/>
        </w:rPr>
      </w:pPr>
    </w:p>
    <w:p>
      <w:pPr>
        <w:ind w:left="660" w:right="460"/>
        <w:spacing w:after="0" w:line="280" w:lineRule="auto"/>
        <w:rPr>
          <w:sz w:val="20"/>
          <w:szCs w:val="20"/>
          <w:color w:val="auto"/>
        </w:rPr>
      </w:pPr>
      <w:r>
        <w:rPr>
          <w:rFonts w:ascii="Arial" w:cs="Arial" w:eastAsia="Arial" w:hAnsi="Arial"/>
          <w:sz w:val="17"/>
          <w:szCs w:val="17"/>
          <w:color w:val="auto"/>
        </w:rPr>
        <w:t>The additional financial data listed below is included as a schedule to this Annual Report on Form 10-K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Report of Independent Registered Public Accounting Firm.</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financial statement schedule for the fiscal years ended April 1, 2007, April 2, 2006, and April 3, 2005:</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Schedule II - 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(a)(3)</w:t>
        <w:tab/>
        <w:t>EXHIBITS.</w:t>
      </w:r>
    </w:p>
    <w:p>
      <w:pPr>
        <w:sectPr>
          <w:pgSz w:w="11900" w:h="16953"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37" w:lineRule="exact"/>
        <w:rPr>
          <w:sz w:val="20"/>
          <w:szCs w:val="20"/>
          <w:color w:val="auto"/>
        </w:rPr>
      </w:pPr>
    </w:p>
    <w:tbl>
      <w:tblPr>
        <w:tblLayout w:type="fixed"/>
        <w:tblInd w:w="740" w:type="dxa"/>
        <w:tblCellMar>
          <w:top w:w="0" w:type="dxa"/>
          <w:left w:w="0" w:type="dxa"/>
          <w:bottom w:w="0" w:type="dxa"/>
          <w:right w:w="0" w:type="dxa"/>
        </w:tblCellMar>
      </w:tblPr>
      <w:tr>
        <w:trPr>
          <w:trHeight w:val="195"/>
        </w:trPr>
        <w:tc>
          <w:tcPr>
            <w:tcW w:w="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7"/>
              </w:rPr>
              <w:t>Exhibit</w:t>
            </w:r>
          </w:p>
        </w:tc>
        <w:tc>
          <w:tcPr>
            <w:tcW w:w="1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Description</w:t>
            </w:r>
          </w:p>
        </w:tc>
        <w:tc>
          <w:tcPr>
            <w:tcW w:w="2980" w:type="dxa"/>
            <w:vAlign w:val="bottom"/>
          </w:tcPr>
          <w:p>
            <w:pPr>
              <w:spacing w:after="0"/>
              <w:rPr>
                <w:sz w:val="16"/>
                <w:szCs w:val="16"/>
                <w:color w:val="auto"/>
              </w:rPr>
            </w:pPr>
          </w:p>
        </w:tc>
      </w:tr>
      <w:tr>
        <w:trPr>
          <w:trHeight w:val="227"/>
        </w:trPr>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3.1</w:t>
            </w:r>
          </w:p>
        </w:tc>
        <w:tc>
          <w:tcPr>
            <w:tcW w:w="7160" w:type="dxa"/>
            <w:vAlign w:val="bottom"/>
            <w:gridSpan w:val="3"/>
          </w:tcPr>
          <w:p>
            <w:pPr>
              <w:ind w:left="100"/>
              <w:spacing w:after="0"/>
              <w:rPr>
                <w:sz w:val="20"/>
                <w:szCs w:val="20"/>
                <w:color w:val="auto"/>
              </w:rPr>
            </w:pPr>
            <w:r>
              <w:rPr>
                <w:rFonts w:ascii="Arial" w:cs="Arial" w:eastAsia="Arial" w:hAnsi="Arial"/>
                <w:sz w:val="17"/>
                <w:szCs w:val="17"/>
                <w:color w:val="auto"/>
                <w:w w:val="92"/>
              </w:rPr>
              <w:t>Amended and Second Restated Articles of Incorporation as amended through February 27, 2001. (1)</w:t>
            </w:r>
          </w:p>
        </w:tc>
      </w:tr>
      <w:tr>
        <w:trPr>
          <w:trHeight w:val="215"/>
        </w:trPr>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3.2</w:t>
            </w:r>
          </w:p>
        </w:tc>
        <w:tc>
          <w:tcPr>
            <w:tcW w:w="7160" w:type="dxa"/>
            <w:vAlign w:val="bottom"/>
            <w:gridSpan w:val="3"/>
          </w:tcPr>
          <w:p>
            <w:pPr>
              <w:ind w:left="100"/>
              <w:spacing w:after="0"/>
              <w:rPr>
                <w:sz w:val="20"/>
                <w:szCs w:val="20"/>
                <w:color w:val="auto"/>
              </w:rPr>
            </w:pPr>
            <w:r>
              <w:rPr>
                <w:rFonts w:ascii="Arial" w:cs="Arial" w:eastAsia="Arial" w:hAnsi="Arial"/>
                <w:sz w:val="17"/>
                <w:szCs w:val="17"/>
                <w:color w:val="auto"/>
              </w:rPr>
              <w:t>Second Amended and Superseding By-Laws as amended through February 15, 1995. (2)</w:t>
            </w:r>
          </w:p>
        </w:tc>
      </w:tr>
      <w:tr>
        <w:trPr>
          <w:trHeight w:val="215"/>
        </w:trPr>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10.1</w:t>
            </w:r>
          </w:p>
        </w:tc>
        <w:tc>
          <w:tcPr>
            <w:tcW w:w="7160" w:type="dxa"/>
            <w:vAlign w:val="bottom"/>
            <w:gridSpan w:val="3"/>
          </w:tcPr>
          <w:p>
            <w:pPr>
              <w:ind w:left="100"/>
              <w:spacing w:after="0"/>
              <w:rPr>
                <w:sz w:val="20"/>
                <w:szCs w:val="20"/>
                <w:color w:val="auto"/>
              </w:rPr>
            </w:pPr>
            <w:r>
              <w:rPr>
                <w:rFonts w:ascii="Arial" w:cs="Arial" w:eastAsia="Arial" w:hAnsi="Arial"/>
                <w:sz w:val="17"/>
                <w:szCs w:val="17"/>
                <w:color w:val="auto"/>
                <w:w w:val="93"/>
              </w:rPr>
              <w:t>Retirement Agreement dated December 2, 1998 between the Company and Howard M. Hawkins. (3)</w:t>
            </w:r>
          </w:p>
        </w:tc>
      </w:tr>
      <w:tr>
        <w:trPr>
          <w:trHeight w:val="222"/>
        </w:trPr>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10.2</w:t>
            </w:r>
          </w:p>
        </w:tc>
        <w:tc>
          <w:tcPr>
            <w:tcW w:w="7160" w:type="dxa"/>
            <w:vAlign w:val="bottom"/>
            <w:gridSpan w:val="3"/>
          </w:tcPr>
          <w:p>
            <w:pPr>
              <w:ind w:left="100"/>
              <w:spacing w:after="0"/>
              <w:rPr>
                <w:sz w:val="20"/>
                <w:szCs w:val="20"/>
                <w:color w:val="auto"/>
              </w:rPr>
            </w:pPr>
            <w:r>
              <w:rPr>
                <w:rFonts w:ascii="Arial" w:cs="Arial" w:eastAsia="Arial" w:hAnsi="Arial"/>
                <w:sz w:val="17"/>
                <w:szCs w:val="17"/>
                <w:color w:val="auto"/>
              </w:rPr>
              <w:t>Description of Director Compensation Arrangements. (4)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ind w:right="560" w:firstLine="482"/>
        <w:spacing w:after="0" w:line="316" w:lineRule="auto"/>
        <w:rPr>
          <w:sz w:val="20"/>
          <w:szCs w:val="20"/>
          <w:color w:val="auto"/>
        </w:rPr>
      </w:pPr>
      <w:r>
        <w:rPr>
          <w:rFonts w:ascii="Arial" w:cs="Arial" w:eastAsia="Arial" w:hAnsi="Arial"/>
          <w:sz w:val="15"/>
          <w:szCs w:val="15"/>
          <w:u w:val="single" w:color="auto"/>
          <w:color w:val="auto"/>
        </w:rPr>
        <w:t xml:space="preserve">Method of Filing </w:t>
      </w:r>
      <w:r>
        <w:rPr>
          <w:rFonts w:ascii="Arial" w:cs="Arial" w:eastAsia="Arial" w:hAnsi="Arial"/>
          <w:sz w:val="15"/>
          <w:szCs w:val="15"/>
          <w:color w:val="auto"/>
        </w:rPr>
        <w:t>Incorporated by Reference Incorporated by Reference Incorporated by Reference Incorporated by Reference</w:t>
      </w:r>
    </w:p>
    <w:p>
      <w:pPr>
        <w:sectPr>
          <w:pgSz w:w="11900" w:h="16953" w:orient="portrait"/>
          <w:cols w:equalWidth="0" w:num="2">
            <w:col w:w="8520" w:space="460"/>
            <w:col w:w="2420"/>
          </w:cols>
          <w:pgMar w:left="240" w:top="131" w:right="259" w:bottom="0" w:gutter="0" w:footer="0" w:header="0"/>
          <w:type w:val="continuous"/>
        </w:sectPr>
      </w:pPr>
    </w:p>
    <w:bookmarkStart w:id="26" w:name="page27"/>
    <w:bookmarkEnd w:id="26"/>
    <w:p>
      <w:pPr>
        <w:spacing w:after="0" w:line="139" w:lineRule="exact"/>
        <w:rPr>
          <w:sz w:val="20"/>
          <w:szCs w:val="20"/>
          <w:color w:val="auto"/>
        </w:rPr>
      </w:pPr>
    </w:p>
    <w:tbl>
      <w:tblPr>
        <w:tblLayout w:type="fixed"/>
        <w:tblInd w:w="960" w:type="dxa"/>
        <w:tblCellMar>
          <w:top w:w="0" w:type="dxa"/>
          <w:left w:w="0" w:type="dxa"/>
          <w:bottom w:w="0" w:type="dxa"/>
          <w:right w:w="0" w:type="dxa"/>
        </w:tblCellMar>
      </w:tblPr>
      <w:tr>
        <w:trPr>
          <w:trHeight w:val="215"/>
        </w:trPr>
        <w:tc>
          <w:tcPr>
            <w:tcW w:w="400" w:type="dxa"/>
            <w:vAlign w:val="bottom"/>
          </w:tcPr>
          <w:p>
            <w:pPr>
              <w:jc w:val="right"/>
              <w:ind w:right="13"/>
              <w:spacing w:after="0"/>
              <w:rPr>
                <w:sz w:val="20"/>
                <w:szCs w:val="20"/>
                <w:color w:val="auto"/>
              </w:rPr>
            </w:pPr>
            <w:r>
              <w:rPr>
                <w:rFonts w:ascii="Arial" w:cs="Arial" w:eastAsia="Arial" w:hAnsi="Arial"/>
                <w:sz w:val="17"/>
                <w:szCs w:val="17"/>
                <w:color w:val="auto"/>
                <w:w w:val="84"/>
              </w:rPr>
              <w:t>10.3</w:t>
            </w:r>
          </w:p>
        </w:tc>
        <w:tc>
          <w:tcPr>
            <w:tcW w:w="7000" w:type="dxa"/>
            <w:vAlign w:val="bottom"/>
            <w:gridSpan w:val="2"/>
          </w:tcPr>
          <w:p>
            <w:pPr>
              <w:ind w:left="100"/>
              <w:spacing w:after="0"/>
              <w:rPr>
                <w:sz w:val="20"/>
                <w:szCs w:val="20"/>
                <w:color w:val="auto"/>
              </w:rPr>
            </w:pPr>
            <w:r>
              <w:rPr>
                <w:rFonts w:ascii="Arial" w:cs="Arial" w:eastAsia="Arial" w:hAnsi="Arial"/>
                <w:sz w:val="17"/>
                <w:szCs w:val="17"/>
                <w:color w:val="auto"/>
              </w:rPr>
              <w:t>Description of Consulting Arrangement with John S. McKeon. (5)</w:t>
            </w:r>
          </w:p>
        </w:tc>
        <w:tc>
          <w:tcPr>
            <w:tcW w:w="2480" w:type="dxa"/>
            <w:vAlign w:val="bottom"/>
          </w:tcPr>
          <w:p>
            <w:pPr>
              <w:ind w:left="620"/>
              <w:spacing w:after="0"/>
              <w:rPr>
                <w:sz w:val="20"/>
                <w:szCs w:val="20"/>
                <w:color w:val="auto"/>
              </w:rPr>
            </w:pPr>
            <w:r>
              <w:rPr>
                <w:rFonts w:ascii="Arial" w:cs="Arial" w:eastAsia="Arial" w:hAnsi="Arial"/>
                <w:sz w:val="17"/>
                <w:szCs w:val="17"/>
                <w:color w:val="auto"/>
                <w:w w:val="91"/>
              </w:rPr>
              <w:t>Incorporated by Reference</w:t>
            </w:r>
          </w:p>
        </w:tc>
      </w:tr>
      <w:tr>
        <w:trPr>
          <w:trHeight w:val="215"/>
        </w:trPr>
        <w:tc>
          <w:tcPr>
            <w:tcW w:w="400" w:type="dxa"/>
            <w:vAlign w:val="bottom"/>
          </w:tcPr>
          <w:p>
            <w:pPr>
              <w:jc w:val="right"/>
              <w:ind w:right="13"/>
              <w:spacing w:after="0"/>
              <w:rPr>
                <w:sz w:val="20"/>
                <w:szCs w:val="20"/>
                <w:color w:val="auto"/>
              </w:rPr>
            </w:pPr>
            <w:r>
              <w:rPr>
                <w:rFonts w:ascii="Arial" w:cs="Arial" w:eastAsia="Arial" w:hAnsi="Arial"/>
                <w:sz w:val="17"/>
                <w:szCs w:val="17"/>
                <w:color w:val="auto"/>
                <w:w w:val="84"/>
              </w:rPr>
              <w:t>23.1</w:t>
            </w:r>
          </w:p>
        </w:tc>
        <w:tc>
          <w:tcPr>
            <w:tcW w:w="7000" w:type="dxa"/>
            <w:vAlign w:val="bottom"/>
            <w:gridSpan w:val="2"/>
          </w:tcPr>
          <w:p>
            <w:pPr>
              <w:ind w:left="100"/>
              <w:spacing w:after="0"/>
              <w:rPr>
                <w:sz w:val="20"/>
                <w:szCs w:val="20"/>
                <w:color w:val="auto"/>
              </w:rPr>
            </w:pPr>
            <w:r>
              <w:rPr>
                <w:rFonts w:ascii="Arial" w:cs="Arial" w:eastAsia="Arial" w:hAnsi="Arial"/>
                <w:sz w:val="17"/>
                <w:szCs w:val="17"/>
                <w:color w:val="auto"/>
              </w:rPr>
              <w:t>Consent of Independent Registered Public Accounting Firm.</w:t>
            </w:r>
          </w:p>
        </w:tc>
        <w:tc>
          <w:tcPr>
            <w:tcW w:w="2480" w:type="dxa"/>
            <w:vAlign w:val="bottom"/>
          </w:tcPr>
          <w:p>
            <w:pPr>
              <w:ind w:left="620"/>
              <w:spacing w:after="0"/>
              <w:rPr>
                <w:sz w:val="20"/>
                <w:szCs w:val="20"/>
                <w:color w:val="auto"/>
              </w:rPr>
            </w:pPr>
            <w:r>
              <w:rPr>
                <w:rFonts w:ascii="Arial" w:cs="Arial" w:eastAsia="Arial" w:hAnsi="Arial"/>
                <w:sz w:val="17"/>
                <w:szCs w:val="17"/>
                <w:color w:val="auto"/>
              </w:rPr>
              <w:t>Filed Electronically</w:t>
            </w:r>
          </w:p>
        </w:tc>
      </w:tr>
      <w:tr>
        <w:trPr>
          <w:trHeight w:val="215"/>
        </w:trPr>
        <w:tc>
          <w:tcPr>
            <w:tcW w:w="400" w:type="dxa"/>
            <w:vAlign w:val="bottom"/>
          </w:tcPr>
          <w:p>
            <w:pPr>
              <w:jc w:val="right"/>
              <w:ind w:right="13"/>
              <w:spacing w:after="0"/>
              <w:rPr>
                <w:sz w:val="20"/>
                <w:szCs w:val="20"/>
                <w:color w:val="auto"/>
              </w:rPr>
            </w:pPr>
            <w:r>
              <w:rPr>
                <w:rFonts w:ascii="Arial" w:cs="Arial" w:eastAsia="Arial" w:hAnsi="Arial"/>
                <w:sz w:val="17"/>
                <w:szCs w:val="17"/>
                <w:color w:val="auto"/>
                <w:w w:val="84"/>
              </w:rPr>
              <w:t>31.1</w:t>
            </w:r>
          </w:p>
        </w:tc>
        <w:tc>
          <w:tcPr>
            <w:tcW w:w="7000" w:type="dxa"/>
            <w:vAlign w:val="bottom"/>
            <w:gridSpan w:val="2"/>
          </w:tcPr>
          <w:p>
            <w:pPr>
              <w:ind w:left="100"/>
              <w:spacing w:after="0"/>
              <w:rPr>
                <w:sz w:val="20"/>
                <w:szCs w:val="20"/>
                <w:color w:val="auto"/>
              </w:rPr>
            </w:pPr>
            <w:r>
              <w:rPr>
                <w:rFonts w:ascii="Arial" w:cs="Arial" w:eastAsia="Arial" w:hAnsi="Arial"/>
                <w:sz w:val="17"/>
                <w:szCs w:val="17"/>
                <w:color w:val="auto"/>
              </w:rPr>
              <w:t>Certification by Chief Executive Officer pursuant to Rule 13a-14(a) of the Exchange Act.</w:t>
            </w:r>
          </w:p>
        </w:tc>
        <w:tc>
          <w:tcPr>
            <w:tcW w:w="2480" w:type="dxa"/>
            <w:vAlign w:val="bottom"/>
          </w:tcPr>
          <w:p>
            <w:pPr>
              <w:ind w:left="620"/>
              <w:spacing w:after="0"/>
              <w:rPr>
                <w:sz w:val="20"/>
                <w:szCs w:val="20"/>
                <w:color w:val="auto"/>
              </w:rPr>
            </w:pPr>
            <w:r>
              <w:rPr>
                <w:rFonts w:ascii="Arial" w:cs="Arial" w:eastAsia="Arial" w:hAnsi="Arial"/>
                <w:sz w:val="17"/>
                <w:szCs w:val="17"/>
                <w:color w:val="auto"/>
              </w:rPr>
              <w:t>Filed Electronically</w:t>
            </w:r>
          </w:p>
        </w:tc>
      </w:tr>
      <w:tr>
        <w:trPr>
          <w:trHeight w:val="215"/>
        </w:trPr>
        <w:tc>
          <w:tcPr>
            <w:tcW w:w="400" w:type="dxa"/>
            <w:vAlign w:val="bottom"/>
          </w:tcPr>
          <w:p>
            <w:pPr>
              <w:jc w:val="right"/>
              <w:ind w:right="13"/>
              <w:spacing w:after="0"/>
              <w:rPr>
                <w:sz w:val="20"/>
                <w:szCs w:val="20"/>
                <w:color w:val="auto"/>
              </w:rPr>
            </w:pPr>
            <w:r>
              <w:rPr>
                <w:rFonts w:ascii="Arial" w:cs="Arial" w:eastAsia="Arial" w:hAnsi="Arial"/>
                <w:sz w:val="17"/>
                <w:szCs w:val="17"/>
                <w:color w:val="auto"/>
                <w:w w:val="84"/>
              </w:rPr>
              <w:t>31.2</w:t>
            </w:r>
          </w:p>
        </w:tc>
        <w:tc>
          <w:tcPr>
            <w:tcW w:w="7000" w:type="dxa"/>
            <w:vAlign w:val="bottom"/>
            <w:gridSpan w:val="2"/>
          </w:tcPr>
          <w:p>
            <w:pPr>
              <w:ind w:left="100"/>
              <w:spacing w:after="0"/>
              <w:rPr>
                <w:sz w:val="20"/>
                <w:szCs w:val="20"/>
                <w:color w:val="auto"/>
              </w:rPr>
            </w:pPr>
            <w:r>
              <w:rPr>
                <w:rFonts w:ascii="Arial" w:cs="Arial" w:eastAsia="Arial" w:hAnsi="Arial"/>
                <w:sz w:val="17"/>
                <w:szCs w:val="17"/>
                <w:color w:val="auto"/>
              </w:rPr>
              <w:t>Certification by Chief Financial Officer pursuant to Rule 13a-14(a) of the Exchange Act.</w:t>
            </w:r>
          </w:p>
        </w:tc>
        <w:tc>
          <w:tcPr>
            <w:tcW w:w="2480" w:type="dxa"/>
            <w:vAlign w:val="bottom"/>
          </w:tcPr>
          <w:p>
            <w:pPr>
              <w:ind w:left="620"/>
              <w:spacing w:after="0"/>
              <w:rPr>
                <w:sz w:val="20"/>
                <w:szCs w:val="20"/>
                <w:color w:val="auto"/>
              </w:rPr>
            </w:pPr>
            <w:r>
              <w:rPr>
                <w:rFonts w:ascii="Arial" w:cs="Arial" w:eastAsia="Arial" w:hAnsi="Arial"/>
                <w:sz w:val="17"/>
                <w:szCs w:val="17"/>
                <w:color w:val="auto"/>
              </w:rPr>
              <w:t>Filed Electronically</w:t>
            </w:r>
          </w:p>
        </w:tc>
      </w:tr>
      <w:tr>
        <w:trPr>
          <w:trHeight w:val="215"/>
        </w:trPr>
        <w:tc>
          <w:tcPr>
            <w:tcW w:w="400" w:type="dxa"/>
            <w:vAlign w:val="bottom"/>
          </w:tcPr>
          <w:p>
            <w:pPr>
              <w:jc w:val="right"/>
              <w:ind w:right="13"/>
              <w:spacing w:after="0"/>
              <w:rPr>
                <w:sz w:val="20"/>
                <w:szCs w:val="20"/>
                <w:color w:val="auto"/>
              </w:rPr>
            </w:pPr>
            <w:r>
              <w:rPr>
                <w:rFonts w:ascii="Arial" w:cs="Arial" w:eastAsia="Arial" w:hAnsi="Arial"/>
                <w:sz w:val="17"/>
                <w:szCs w:val="17"/>
                <w:color w:val="auto"/>
                <w:w w:val="84"/>
              </w:rPr>
              <w:t>32.1</w:t>
            </w:r>
          </w:p>
        </w:tc>
        <w:tc>
          <w:tcPr>
            <w:tcW w:w="1040" w:type="dxa"/>
            <w:vAlign w:val="bottom"/>
          </w:tcPr>
          <w:p>
            <w:pPr>
              <w:ind w:left="100"/>
              <w:spacing w:after="0"/>
              <w:rPr>
                <w:sz w:val="20"/>
                <w:szCs w:val="20"/>
                <w:color w:val="auto"/>
              </w:rPr>
            </w:pPr>
            <w:r>
              <w:rPr>
                <w:rFonts w:ascii="Arial" w:cs="Arial" w:eastAsia="Arial" w:hAnsi="Arial"/>
                <w:sz w:val="17"/>
                <w:szCs w:val="17"/>
                <w:color w:val="auto"/>
                <w:w w:val="92"/>
              </w:rPr>
              <w:t>Section 1350</w:t>
            </w:r>
          </w:p>
        </w:tc>
        <w:tc>
          <w:tcPr>
            <w:tcW w:w="5960" w:type="dxa"/>
            <w:vAlign w:val="bottom"/>
          </w:tcPr>
          <w:p>
            <w:pPr>
              <w:ind w:left="20"/>
              <w:spacing w:after="0"/>
              <w:rPr>
                <w:sz w:val="20"/>
                <w:szCs w:val="20"/>
                <w:color w:val="auto"/>
              </w:rPr>
            </w:pPr>
            <w:r>
              <w:rPr>
                <w:rFonts w:ascii="Arial" w:cs="Arial" w:eastAsia="Arial" w:hAnsi="Arial"/>
                <w:sz w:val="17"/>
                <w:szCs w:val="17"/>
                <w:color w:val="auto"/>
              </w:rPr>
              <w:t>Certification by Chief Executive Officer.</w:t>
            </w:r>
          </w:p>
        </w:tc>
        <w:tc>
          <w:tcPr>
            <w:tcW w:w="2480" w:type="dxa"/>
            <w:vAlign w:val="bottom"/>
          </w:tcPr>
          <w:p>
            <w:pPr>
              <w:ind w:left="620"/>
              <w:spacing w:after="0"/>
              <w:rPr>
                <w:sz w:val="20"/>
                <w:szCs w:val="20"/>
                <w:color w:val="auto"/>
              </w:rPr>
            </w:pPr>
            <w:r>
              <w:rPr>
                <w:rFonts w:ascii="Arial" w:cs="Arial" w:eastAsia="Arial" w:hAnsi="Arial"/>
                <w:sz w:val="17"/>
                <w:szCs w:val="17"/>
                <w:color w:val="auto"/>
              </w:rPr>
              <w:t>Filed Electronically</w:t>
            </w:r>
          </w:p>
        </w:tc>
      </w:tr>
      <w:tr>
        <w:trPr>
          <w:trHeight w:val="222"/>
        </w:trPr>
        <w:tc>
          <w:tcPr>
            <w:tcW w:w="400" w:type="dxa"/>
            <w:vAlign w:val="bottom"/>
          </w:tcPr>
          <w:p>
            <w:pPr>
              <w:jc w:val="right"/>
              <w:ind w:right="13"/>
              <w:spacing w:after="0"/>
              <w:rPr>
                <w:sz w:val="20"/>
                <w:szCs w:val="20"/>
                <w:color w:val="auto"/>
              </w:rPr>
            </w:pPr>
            <w:r>
              <w:rPr>
                <w:rFonts w:ascii="Arial" w:cs="Arial" w:eastAsia="Arial" w:hAnsi="Arial"/>
                <w:sz w:val="17"/>
                <w:szCs w:val="17"/>
                <w:color w:val="auto"/>
                <w:w w:val="84"/>
              </w:rPr>
              <w:t>32.2</w:t>
            </w:r>
          </w:p>
        </w:tc>
        <w:tc>
          <w:tcPr>
            <w:tcW w:w="1040" w:type="dxa"/>
            <w:vAlign w:val="bottom"/>
          </w:tcPr>
          <w:p>
            <w:pPr>
              <w:ind w:left="100"/>
              <w:spacing w:after="0"/>
              <w:rPr>
                <w:sz w:val="20"/>
                <w:szCs w:val="20"/>
                <w:color w:val="auto"/>
              </w:rPr>
            </w:pPr>
            <w:r>
              <w:rPr>
                <w:rFonts w:ascii="Arial" w:cs="Arial" w:eastAsia="Arial" w:hAnsi="Arial"/>
                <w:sz w:val="17"/>
                <w:szCs w:val="17"/>
                <w:color w:val="auto"/>
                <w:w w:val="92"/>
              </w:rPr>
              <w:t>Section 1350</w:t>
            </w:r>
          </w:p>
        </w:tc>
        <w:tc>
          <w:tcPr>
            <w:tcW w:w="5960" w:type="dxa"/>
            <w:vAlign w:val="bottom"/>
          </w:tcPr>
          <w:p>
            <w:pPr>
              <w:ind w:left="20"/>
              <w:spacing w:after="0"/>
              <w:rPr>
                <w:sz w:val="20"/>
                <w:szCs w:val="20"/>
                <w:color w:val="auto"/>
              </w:rPr>
            </w:pPr>
            <w:r>
              <w:rPr>
                <w:rFonts w:ascii="Arial" w:cs="Arial" w:eastAsia="Arial" w:hAnsi="Arial"/>
                <w:sz w:val="17"/>
                <w:szCs w:val="17"/>
                <w:color w:val="auto"/>
              </w:rPr>
              <w:t>Certification by Chief Financial Officer.</w:t>
            </w:r>
          </w:p>
        </w:tc>
        <w:tc>
          <w:tcPr>
            <w:tcW w:w="2480" w:type="dxa"/>
            <w:vAlign w:val="bottom"/>
          </w:tcPr>
          <w:p>
            <w:pPr>
              <w:ind w:left="620"/>
              <w:spacing w:after="0"/>
              <w:rPr>
                <w:sz w:val="20"/>
                <w:szCs w:val="20"/>
                <w:color w:val="auto"/>
              </w:rPr>
            </w:pPr>
            <w:r>
              <w:rPr>
                <w:rFonts w:ascii="Arial" w:cs="Arial" w:eastAsia="Arial" w:hAnsi="Arial"/>
                <w:sz w:val="17"/>
                <w:szCs w:val="17"/>
                <w:color w:val="auto"/>
              </w:rPr>
              <w:t>Filed Electronically</w:t>
            </w:r>
          </w:p>
        </w:tc>
      </w:tr>
    </w:tbl>
    <w:p>
      <w:pPr>
        <w:spacing w:after="0" w:line="141" w:lineRule="exact"/>
        <w:rPr>
          <w:sz w:val="20"/>
          <w:szCs w:val="20"/>
          <w:color w:val="auto"/>
        </w:rPr>
      </w:pPr>
    </w:p>
    <w:p>
      <w:pPr>
        <w:ind w:left="980" w:hanging="327"/>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Incorporated by reference to Exhibit 3.1 to the Company’s Annual Report on Form 10-K for the year ended September 30, 2001.</w:t>
      </w:r>
    </w:p>
    <w:p>
      <w:pPr>
        <w:spacing w:after="0" w:line="26" w:lineRule="exact"/>
        <w:rPr>
          <w:rFonts w:ascii="Arial" w:cs="Arial" w:eastAsia="Arial" w:hAnsi="Arial"/>
          <w:sz w:val="17"/>
          <w:szCs w:val="17"/>
          <w:color w:val="auto"/>
        </w:rPr>
      </w:pPr>
    </w:p>
    <w:p>
      <w:pPr>
        <w:ind w:left="980" w:hanging="327"/>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Incorporated by reference to Exhibit 3.2 to the Company’s Annual Report on Form 10-K for the year ended October 1, 1995.</w:t>
      </w:r>
    </w:p>
    <w:p>
      <w:pPr>
        <w:spacing w:after="0" w:line="19" w:lineRule="exact"/>
        <w:rPr>
          <w:rFonts w:ascii="Arial" w:cs="Arial" w:eastAsia="Arial" w:hAnsi="Arial"/>
          <w:sz w:val="17"/>
          <w:szCs w:val="17"/>
          <w:color w:val="auto"/>
        </w:rPr>
      </w:pPr>
    </w:p>
    <w:p>
      <w:pPr>
        <w:ind w:left="980" w:hanging="327"/>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Annual Report on Form 10-K for the year ended April 3, 2005.</w:t>
      </w:r>
    </w:p>
    <w:p>
      <w:pPr>
        <w:spacing w:after="0" w:line="19" w:lineRule="exact"/>
        <w:rPr>
          <w:rFonts w:ascii="Arial" w:cs="Arial" w:eastAsia="Arial" w:hAnsi="Arial"/>
          <w:sz w:val="17"/>
          <w:szCs w:val="17"/>
          <w:color w:val="auto"/>
        </w:rPr>
      </w:pPr>
    </w:p>
    <w:p>
      <w:pPr>
        <w:ind w:left="980" w:hanging="327"/>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Item 1.01 of the Company’s Current Report on Form 8-K dated September 21, 2005 and filed September 26, 2005.</w:t>
      </w:r>
    </w:p>
    <w:p>
      <w:pPr>
        <w:spacing w:after="0" w:line="31" w:lineRule="exact"/>
        <w:rPr>
          <w:rFonts w:ascii="Arial" w:cs="Arial" w:eastAsia="Arial" w:hAnsi="Arial"/>
          <w:sz w:val="16"/>
          <w:szCs w:val="16"/>
          <w:color w:val="auto"/>
        </w:rPr>
      </w:pPr>
    </w:p>
    <w:p>
      <w:pPr>
        <w:ind w:left="980" w:hanging="327"/>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Incorporated by reference to Item 1.01 of the Company’s Current Report on Form 8-K dated May 3, 2006 and filed May 8,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7"/>
          <w:szCs w:val="17"/>
          <w:i w:val="1"/>
          <w:iCs w:val="1"/>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SIGNATURES</w:t>
      </w:r>
    </w:p>
    <w:p>
      <w:pPr>
        <w:spacing w:after="0" w:line="235" w:lineRule="exact"/>
        <w:rPr>
          <w:sz w:val="20"/>
          <w:szCs w:val="20"/>
          <w:color w:val="auto"/>
        </w:rPr>
      </w:pPr>
    </w:p>
    <w:p>
      <w:pPr>
        <w:ind w:firstLine="645"/>
        <w:spacing w:after="0" w:line="296" w:lineRule="auto"/>
        <w:rPr>
          <w:sz w:val="20"/>
          <w:szCs w:val="20"/>
          <w:color w:val="auto"/>
        </w:rPr>
      </w:pPr>
      <w:r>
        <w:rPr>
          <w:rFonts w:ascii="Arial" w:cs="Arial" w:eastAsia="Arial" w:hAnsi="Arial"/>
          <w:sz w:val="17"/>
          <w:szCs w:val="17"/>
          <w:color w:val="auto"/>
        </w:rPr>
        <w:t>Pursuant to the requirements of Section 13 or 15(d) of the Securities Exchange Act of 1934, the Company has duly caused this report to be signed on its behalf by the undersigned, thereunto duly authorized, on June 15, 2007.</w:t>
      </w:r>
    </w:p>
    <w:p>
      <w:pPr>
        <w:spacing w:after="0" w:line="163"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HAWKINS, INC.</w:t>
      </w:r>
    </w:p>
    <w:p>
      <w:pPr>
        <w:spacing w:after="0" w:line="26" w:lineRule="exact"/>
        <w:rPr>
          <w:sz w:val="20"/>
          <w:szCs w:val="20"/>
          <w:color w:val="auto"/>
        </w:rPr>
      </w:pPr>
    </w:p>
    <w:p>
      <w:pPr>
        <w:ind w:left="6300"/>
        <w:spacing w:after="0"/>
        <w:tabs>
          <w:tab w:leader="none" w:pos="67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4307205</wp:posOffset>
            </wp:positionH>
            <wp:positionV relativeFrom="paragraph">
              <wp:posOffset>22225</wp:posOffset>
            </wp:positionV>
            <wp:extent cx="2219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19325" cy="8255"/>
                    </a:xfrm>
                    <a:prstGeom prst="rect">
                      <a:avLst/>
                    </a:prstGeom>
                    <a:noFill/>
                  </pic:spPr>
                </pic:pic>
              </a:graphicData>
            </a:graphic>
          </wp:anchor>
        </w:drawing>
      </w:r>
    </w:p>
    <w:p>
      <w:pPr>
        <w:spacing w:after="0" w:line="20"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John R. Hawkins, Chief Executive Officer</w:t>
      </w:r>
    </w:p>
    <w:p>
      <w:pPr>
        <w:spacing w:after="0" w:line="235" w:lineRule="exact"/>
        <w:rPr>
          <w:sz w:val="20"/>
          <w:szCs w:val="20"/>
          <w:color w:val="auto"/>
        </w:rPr>
      </w:pPr>
    </w:p>
    <w:p>
      <w:pPr>
        <w:ind w:right="160" w:firstLine="645"/>
        <w:spacing w:after="0" w:line="296" w:lineRule="auto"/>
        <w:rPr>
          <w:sz w:val="20"/>
          <w:szCs w:val="20"/>
          <w:color w:val="auto"/>
        </w:rPr>
      </w:pPr>
      <w:r>
        <w:rPr>
          <w:rFonts w:ascii="Arial" w:cs="Arial" w:eastAsia="Arial" w:hAnsi="Arial"/>
          <w:sz w:val="17"/>
          <w:szCs w:val="17"/>
          <w:color w:val="auto"/>
        </w:rPr>
        <w:t>Pursuant to the requirements of the Securities Exchange Act of 1934, this report has also been signed below by the following persons on behalf of the Company and in the capacities indicated on June 15, 2007.</w:t>
      </w:r>
    </w:p>
    <w:p>
      <w:pPr>
        <w:spacing w:after="0" w:line="3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17780</wp:posOffset>
            </wp:positionV>
            <wp:extent cx="26803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John R. Hawkins, Chief Executive Officer (Principal</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Executive Officer) and Director</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17780</wp:posOffset>
            </wp:positionV>
            <wp:extent cx="26803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Marvin E. Dee, Chief Financial Officer, Vice President,</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Secretary and Treasurer (Principal Financial Officer and</w:t>
      </w:r>
    </w:p>
    <w:p>
      <w:pPr>
        <w:spacing w:after="0" w:line="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Principal Accounting Officer)</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 John S. McKeon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17780</wp:posOffset>
            </wp:positionV>
            <wp:extent cx="26803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John S. McKeon, Director</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 Howard M.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17780</wp:posOffset>
            </wp:positionV>
            <wp:extent cx="26803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Howard M. Hawkins, Director</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 Duane M. Jergenson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17780</wp:posOffset>
            </wp:positionV>
            <wp:extent cx="26803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Duane M. Jergenson, Director</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 G. Robert Gey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17780</wp:posOffset>
            </wp:positionV>
            <wp:extent cx="26803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G. Robert Gey, Director</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 Daryl I. Skaar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17780</wp:posOffset>
            </wp:positionV>
            <wp:extent cx="26803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Daryl I. Skaar, Director</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 Eapen Chacko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17780</wp:posOffset>
            </wp:positionV>
            <wp:extent cx="26803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Eapen Chacko, Director</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 James A. Faulconbridge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17780</wp:posOffset>
            </wp:positionV>
            <wp:extent cx="26803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James A. Faulconbridge, Director</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7"/>
          <w:szCs w:val="17"/>
          <w:i w:val="1"/>
          <w:iCs w:val="1"/>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25106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Hawkins,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Minneapolis, MN</w:t>
      </w:r>
    </w:p>
    <w:p>
      <w:pPr>
        <w:spacing w:after="0" w:line="228" w:lineRule="exact"/>
        <w:rPr>
          <w:sz w:val="20"/>
          <w:szCs w:val="20"/>
          <w:color w:val="auto"/>
        </w:rPr>
      </w:pPr>
    </w:p>
    <w:p>
      <w:pPr>
        <w:ind w:right="200"/>
        <w:spacing w:after="0" w:line="367" w:lineRule="auto"/>
        <w:rPr>
          <w:sz w:val="20"/>
          <w:szCs w:val="20"/>
          <w:color w:val="auto"/>
        </w:rPr>
      </w:pPr>
      <w:r>
        <w:rPr>
          <w:rFonts w:ascii="Arial" w:cs="Arial" w:eastAsia="Arial" w:hAnsi="Arial"/>
          <w:sz w:val="15"/>
          <w:szCs w:val="15"/>
          <w:color w:val="auto"/>
        </w:rPr>
        <w:t>We have audited the financial statements of Hawkins, Inc. (the “Company”) as of April 1, 2007 and April 2, 2006, and for each of the three years in the period ended April 1, 2007, management’s assessment of the effectiveness of the Company’s internal control over financial reporting as of April 1, 2007, and the</w:t>
      </w:r>
    </w:p>
    <w:p>
      <w:pPr>
        <w:sectPr>
          <w:pgSz w:w="11900" w:h="16977" w:orient="portrait"/>
          <w:cols w:equalWidth="0" w:num="1">
            <w:col w:w="11280"/>
          </w:cols>
          <w:pgMar w:left="240" w:top="131" w:right="379" w:bottom="0" w:gutter="0" w:footer="0" w:header="0"/>
        </w:sectPr>
      </w:pPr>
    </w:p>
    <w:bookmarkStart w:id="27" w:name="page28"/>
    <w:bookmarkEnd w:id="27"/>
    <w:p>
      <w:pPr>
        <w:ind w:right="40"/>
        <w:spacing w:after="0" w:line="272" w:lineRule="auto"/>
        <w:rPr>
          <w:sz w:val="20"/>
          <w:szCs w:val="20"/>
          <w:color w:val="auto"/>
        </w:rPr>
      </w:pPr>
      <w:r>
        <w:rPr>
          <w:rFonts w:ascii="Arial" w:cs="Arial" w:eastAsia="Arial" w:hAnsi="Arial"/>
          <w:sz w:val="17"/>
          <w:szCs w:val="17"/>
          <w:color w:val="auto"/>
        </w:rPr>
        <w:t>effectiveness of the Company’s internal control over financial reporting as of April 1, 2007, and have issued our reports thereon dated June 13, 2007; such financial statements and reports are included elsewhere in this Form 10-K. Our audits also included the financial statement schedule of the Company listed in Item 15(a)(2). This financial statement schedule is the responsibility of the Company’s management. Our responsibility is to express an opinion based on our audits. In our opinion, such financial statement schedule, when considered in relation to the basic financial statements taken as a whole, presents fairly, in all material respects, the information set forth therein.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Minneapolis, Minnesota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June 13, 2007</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280"/>
        <w:spacing w:after="0"/>
        <w:rPr>
          <w:sz w:val="20"/>
          <w:szCs w:val="20"/>
          <w:color w:val="auto"/>
        </w:rPr>
      </w:pPr>
      <w:r>
        <w:rPr>
          <w:rFonts w:ascii="Arial" w:cs="Arial" w:eastAsia="Arial" w:hAnsi="Arial"/>
          <w:sz w:val="17"/>
          <w:szCs w:val="17"/>
          <w:b w:val="1"/>
          <w:bCs w:val="1"/>
          <w:color w:val="auto"/>
        </w:rPr>
        <w:t>SCHEDULE II</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HAWKINS, INC.</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VALUATION AND QUALIFYING ACCOUNTS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FISCAL YEARS ENDED APRIL 1, 2007, APRIL 2, 2006 AND APRIL 3,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7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2"/>
            <w:vMerge w:val="restart"/>
          </w:tcPr>
          <w:p>
            <w:pPr>
              <w:ind w:left="1960"/>
              <w:spacing w:after="0"/>
              <w:rPr>
                <w:sz w:val="20"/>
                <w:szCs w:val="20"/>
                <w:color w:val="auto"/>
              </w:rPr>
            </w:pPr>
            <w:r>
              <w:rPr>
                <w:rFonts w:ascii="Arial" w:cs="Arial" w:eastAsia="Arial" w:hAnsi="Arial"/>
                <w:sz w:val="13"/>
                <w:szCs w:val="13"/>
                <w:b w:val="1"/>
                <w:bCs w:val="1"/>
                <w:color w:val="auto"/>
              </w:rPr>
              <w:t>Description</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2"/>
              </w:rPr>
              <w:t>Balance at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3"/>
                <w:szCs w:val="13"/>
                <w:b w:val="1"/>
                <w:bCs w:val="1"/>
                <w:color w:val="auto"/>
              </w:rPr>
              <w:t>Additions</w:t>
            </w:r>
          </w:p>
        </w:tc>
        <w:tc>
          <w:tcPr>
            <w:tcW w:w="80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3"/>
          </w:tcPr>
          <w:p>
            <w:pPr>
              <w:jc w:val="center"/>
              <w:ind w:right="620"/>
              <w:spacing w:after="0" w:line="129" w:lineRule="exact"/>
              <w:rPr>
                <w:sz w:val="20"/>
                <w:szCs w:val="20"/>
                <w:color w:val="auto"/>
              </w:rPr>
            </w:pPr>
            <w:r>
              <w:rPr>
                <w:rFonts w:ascii="Arial" w:cs="Arial" w:eastAsia="Arial" w:hAnsi="Arial"/>
                <w:sz w:val="13"/>
                <w:szCs w:val="13"/>
                <w:b w:val="1"/>
                <w:bCs w:val="1"/>
                <w:color w:val="auto"/>
                <w:w w:val="96"/>
              </w:rPr>
              <w:t>Charged to</w:t>
            </w:r>
          </w:p>
        </w:tc>
        <w:tc>
          <w:tcPr>
            <w:tcW w:w="800" w:type="dxa"/>
            <w:vAlign w:val="bottom"/>
          </w:tcPr>
          <w:p>
            <w:pPr>
              <w:ind w:left="80"/>
              <w:spacing w:after="0" w:line="129" w:lineRule="exact"/>
              <w:rPr>
                <w:sz w:val="20"/>
                <w:szCs w:val="20"/>
                <w:color w:val="auto"/>
              </w:rPr>
            </w:pPr>
            <w:r>
              <w:rPr>
                <w:rFonts w:ascii="Arial" w:cs="Arial" w:eastAsia="Arial" w:hAnsi="Arial"/>
                <w:sz w:val="13"/>
                <w:szCs w:val="13"/>
                <w:b w:val="1"/>
                <w:bCs w:val="1"/>
                <w:color w:val="auto"/>
              </w:rPr>
              <w:t>Charged</w:t>
            </w:r>
          </w:p>
        </w:tc>
        <w:tc>
          <w:tcPr>
            <w:tcW w:w="48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40"/>
              <w:spacing w:after="0" w:line="148" w:lineRule="exact"/>
              <w:rPr>
                <w:sz w:val="20"/>
                <w:szCs w:val="20"/>
                <w:color w:val="auto"/>
              </w:rPr>
            </w:pPr>
            <w:r>
              <w:rPr>
                <w:rFonts w:ascii="Arial" w:cs="Arial" w:eastAsia="Arial" w:hAnsi="Arial"/>
                <w:sz w:val="13"/>
                <w:szCs w:val="13"/>
                <w:b w:val="1"/>
                <w:bCs w:val="1"/>
                <w:color w:val="auto"/>
                <w:w w:val="91"/>
              </w:rPr>
              <w:t>Beginning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620"/>
              <w:spacing w:after="0" w:line="148" w:lineRule="exact"/>
              <w:rPr>
                <w:sz w:val="20"/>
                <w:szCs w:val="20"/>
                <w:color w:val="auto"/>
              </w:rPr>
            </w:pPr>
            <w:r>
              <w:rPr>
                <w:rFonts w:ascii="Arial" w:cs="Arial" w:eastAsia="Arial" w:hAnsi="Arial"/>
                <w:sz w:val="13"/>
                <w:szCs w:val="13"/>
                <w:b w:val="1"/>
                <w:bCs w:val="1"/>
                <w:color w:val="auto"/>
                <w:w w:val="92"/>
              </w:rPr>
              <w:t>Costs and</w:t>
            </w:r>
          </w:p>
        </w:tc>
        <w:tc>
          <w:tcPr>
            <w:tcW w:w="1280" w:type="dxa"/>
            <w:vAlign w:val="bottom"/>
            <w:gridSpan w:val="3"/>
          </w:tcPr>
          <w:p>
            <w:pPr>
              <w:ind w:left="80"/>
              <w:spacing w:after="0" w:line="148" w:lineRule="exact"/>
              <w:rPr>
                <w:sz w:val="20"/>
                <w:szCs w:val="20"/>
                <w:color w:val="auto"/>
              </w:rPr>
            </w:pPr>
            <w:r>
              <w:rPr>
                <w:rFonts w:ascii="Arial" w:cs="Arial" w:eastAsia="Arial" w:hAnsi="Arial"/>
                <w:sz w:val="13"/>
                <w:szCs w:val="13"/>
                <w:b w:val="1"/>
                <w:bCs w:val="1"/>
                <w:color w:val="auto"/>
              </w:rPr>
              <w:t>to Other</w:t>
            </w:r>
          </w:p>
        </w:tc>
        <w:tc>
          <w:tcPr>
            <w:tcW w:w="1200" w:type="dxa"/>
            <w:vAlign w:val="bottom"/>
            <w:gridSpan w:val="2"/>
          </w:tcPr>
          <w:p>
            <w:pPr>
              <w:ind w:left="40"/>
              <w:spacing w:after="0" w:line="148" w:lineRule="exact"/>
              <w:rPr>
                <w:sz w:val="20"/>
                <w:szCs w:val="20"/>
                <w:color w:val="auto"/>
              </w:rPr>
            </w:pPr>
            <w:r>
              <w:rPr>
                <w:rFonts w:ascii="Arial" w:cs="Arial" w:eastAsia="Arial" w:hAnsi="Arial"/>
                <w:sz w:val="13"/>
                <w:szCs w:val="13"/>
                <w:b w:val="1"/>
                <w:bCs w:val="1"/>
                <w:color w:val="auto"/>
              </w:rPr>
              <w:t>Deductions</w:t>
            </w:r>
          </w:p>
        </w:tc>
        <w:tc>
          <w:tcPr>
            <w:tcW w:w="120" w:type="dxa"/>
            <w:vAlign w:val="bottom"/>
          </w:tcPr>
          <w:p>
            <w:pPr>
              <w:spacing w:after="0"/>
              <w:rPr>
                <w:sz w:val="12"/>
                <w:szCs w:val="12"/>
                <w:color w:val="auto"/>
              </w:rPr>
            </w:pPr>
          </w:p>
        </w:tc>
        <w:tc>
          <w:tcPr>
            <w:tcW w:w="1000" w:type="dxa"/>
            <w:vAlign w:val="bottom"/>
            <w:gridSpan w:val="2"/>
          </w:tcPr>
          <w:p>
            <w:pPr>
              <w:ind w:left="80"/>
              <w:spacing w:after="0" w:line="148" w:lineRule="exact"/>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61"/>
        </w:trPr>
        <w:tc>
          <w:tcPr>
            <w:tcW w:w="45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5"/>
              </w:rPr>
              <w:t>of Year</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88"/>
              </w:rPr>
              <w:t>Expenses</w:t>
            </w:r>
          </w:p>
        </w:tc>
        <w:tc>
          <w:tcPr>
            <w:tcW w:w="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Accounts</w:t>
            </w: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Write-Offs</w:t>
            </w:r>
          </w:p>
        </w:tc>
        <w:tc>
          <w:tcPr>
            <w:tcW w:w="3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End of Year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4920" w:type="dxa"/>
            <w:vAlign w:val="bottom"/>
            <w:gridSpan w:val="2"/>
          </w:tcPr>
          <w:p>
            <w:pPr>
              <w:spacing w:after="0"/>
              <w:rPr>
                <w:sz w:val="20"/>
                <w:szCs w:val="20"/>
                <w:color w:val="auto"/>
              </w:rPr>
            </w:pPr>
            <w:r>
              <w:rPr>
                <w:rFonts w:ascii="Arial" w:cs="Arial" w:eastAsia="Arial" w:hAnsi="Arial"/>
                <w:sz w:val="17"/>
                <w:szCs w:val="17"/>
                <w:color w:val="auto"/>
              </w:rPr>
              <w:t>Reserve deducted from asset to which it applies: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920" w:type="dxa"/>
            <w:vAlign w:val="bottom"/>
            <w:gridSpan w:val="2"/>
            <w:shd w:val="clear" w:color="auto" w:fill="D6F3E8"/>
          </w:tcPr>
          <w:p>
            <w:pPr>
              <w:spacing w:after="0"/>
              <w:rPr>
                <w:sz w:val="20"/>
                <w:szCs w:val="20"/>
                <w:color w:val="auto"/>
              </w:rPr>
            </w:pPr>
            <w:r>
              <w:rPr>
                <w:rFonts w:ascii="Arial" w:cs="Arial" w:eastAsia="Arial" w:hAnsi="Arial"/>
                <w:sz w:val="17"/>
                <w:szCs w:val="17"/>
                <w:color w:val="auto"/>
              </w:rPr>
              <w:t>Year Ended April 1, 2007:</w:t>
            </w:r>
          </w:p>
        </w:tc>
        <w:tc>
          <w:tcPr>
            <w:tcW w:w="160" w:type="dxa"/>
            <w:vAlign w:val="bottom"/>
            <w:shd w:val="clear" w:color="auto" w:fill="D6F3E8"/>
          </w:tcPr>
          <w:p>
            <w:pPr>
              <w:spacing w:after="0"/>
              <w:rPr>
                <w:sz w:val="17"/>
                <w:szCs w:val="17"/>
                <w:color w:val="auto"/>
              </w:rPr>
            </w:pPr>
          </w:p>
        </w:tc>
        <w:tc>
          <w:tcPr>
            <w:tcW w:w="880" w:type="dxa"/>
            <w:vAlign w:val="bottom"/>
            <w:shd w:val="clear" w:color="auto" w:fill="D6F3E8"/>
          </w:tcPr>
          <w:p>
            <w:pPr>
              <w:spacing w:after="0"/>
              <w:rPr>
                <w:sz w:val="17"/>
                <w:szCs w:val="17"/>
                <w:color w:val="auto"/>
              </w:rPr>
            </w:pPr>
          </w:p>
        </w:tc>
        <w:tc>
          <w:tcPr>
            <w:tcW w:w="20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140" w:type="dxa"/>
            <w:vAlign w:val="bottom"/>
            <w:shd w:val="clear" w:color="auto" w:fill="D6F3E8"/>
          </w:tcPr>
          <w:p>
            <w:pPr>
              <w:spacing w:after="0"/>
              <w:rPr>
                <w:sz w:val="17"/>
                <w:szCs w:val="17"/>
                <w:color w:val="auto"/>
              </w:rPr>
            </w:pPr>
          </w:p>
        </w:tc>
        <w:tc>
          <w:tcPr>
            <w:tcW w:w="880" w:type="dxa"/>
            <w:vAlign w:val="bottom"/>
            <w:shd w:val="clear" w:color="auto" w:fill="D6F3E8"/>
          </w:tcPr>
          <w:p>
            <w:pPr>
              <w:spacing w:after="0"/>
              <w:rPr>
                <w:sz w:val="17"/>
                <w:szCs w:val="17"/>
                <w:color w:val="auto"/>
              </w:rPr>
            </w:pPr>
          </w:p>
        </w:tc>
        <w:tc>
          <w:tcPr>
            <w:tcW w:w="36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800" w:type="dxa"/>
            <w:vAlign w:val="bottom"/>
            <w:shd w:val="clear" w:color="auto" w:fill="D6F3E8"/>
          </w:tcPr>
          <w:p>
            <w:pPr>
              <w:spacing w:after="0"/>
              <w:rPr>
                <w:sz w:val="17"/>
                <w:szCs w:val="17"/>
                <w:color w:val="auto"/>
              </w:rPr>
            </w:pPr>
          </w:p>
        </w:tc>
        <w:tc>
          <w:tcPr>
            <w:tcW w:w="340" w:type="dxa"/>
            <w:vAlign w:val="bottom"/>
            <w:shd w:val="clear" w:color="auto" w:fill="D6F3E8"/>
          </w:tcPr>
          <w:p>
            <w:pPr>
              <w:spacing w:after="0"/>
              <w:rPr>
                <w:sz w:val="17"/>
                <w:szCs w:val="17"/>
                <w:color w:val="auto"/>
              </w:rPr>
            </w:pPr>
          </w:p>
        </w:tc>
        <w:tc>
          <w:tcPr>
            <w:tcW w:w="140" w:type="dxa"/>
            <w:vAlign w:val="bottom"/>
            <w:shd w:val="clear" w:color="auto" w:fill="D6F3E8"/>
          </w:tcPr>
          <w:p>
            <w:pPr>
              <w:spacing w:after="0"/>
              <w:rPr>
                <w:sz w:val="17"/>
                <w:szCs w:val="17"/>
                <w:color w:val="auto"/>
              </w:rPr>
            </w:pPr>
          </w:p>
        </w:tc>
        <w:tc>
          <w:tcPr>
            <w:tcW w:w="860" w:type="dxa"/>
            <w:vAlign w:val="bottom"/>
            <w:shd w:val="clear" w:color="auto" w:fill="D6F3E8"/>
          </w:tcPr>
          <w:p>
            <w:pPr>
              <w:spacing w:after="0"/>
              <w:rPr>
                <w:sz w:val="17"/>
                <w:szCs w:val="17"/>
                <w:color w:val="auto"/>
              </w:rPr>
            </w:pPr>
          </w:p>
        </w:tc>
        <w:tc>
          <w:tcPr>
            <w:tcW w:w="34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90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20" w:type="dxa"/>
            <w:vAlign w:val="bottom"/>
            <w:gridSpan w:val="2"/>
            <w:shd w:val="clear" w:color="auto" w:fill="D6F3E8"/>
          </w:tcPr>
          <w:p>
            <w:pPr>
              <w:ind w:left="180"/>
              <w:spacing w:after="0"/>
              <w:rPr>
                <w:sz w:val="20"/>
                <w:szCs w:val="20"/>
                <w:color w:val="auto"/>
              </w:rPr>
            </w:pPr>
            <w:r>
              <w:rPr>
                <w:rFonts w:ascii="Arial" w:cs="Arial" w:eastAsia="Arial" w:hAnsi="Arial"/>
                <w:sz w:val="17"/>
                <w:szCs w:val="17"/>
                <w:color w:val="auto"/>
              </w:rPr>
              <w:t>Allowance for doubtful accounts</w:t>
            </w:r>
          </w:p>
        </w:tc>
        <w:tc>
          <w:tcPr>
            <w:tcW w:w="160" w:type="dxa"/>
            <w:vAlign w:val="bottom"/>
            <w:shd w:val="clear" w:color="auto" w:fill="D6F3E8"/>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7"/>
                <w:szCs w:val="17"/>
                <w:color w:val="auto"/>
              </w:rPr>
              <w:t>225,000</w:t>
            </w:r>
          </w:p>
        </w:tc>
        <w:tc>
          <w:tcPr>
            <w:tcW w:w="200" w:type="dxa"/>
            <w:vAlign w:val="bottom"/>
            <w:shd w:val="clear" w:color="auto" w:fill="D6F3E8"/>
          </w:tcPr>
          <w:p>
            <w:pPr>
              <w:spacing w:after="0"/>
              <w:rPr>
                <w:sz w:val="19"/>
                <w:szCs w:val="19"/>
                <w:color w:val="auto"/>
              </w:rPr>
            </w:pPr>
          </w:p>
        </w:tc>
        <w:tc>
          <w:tcPr>
            <w:tcW w:w="300" w:type="dxa"/>
            <w:vAlign w:val="bottom"/>
            <w:gridSpan w:val="2"/>
            <w:shd w:val="clear" w:color="auto" w:fill="D6F3E8"/>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7"/>
                <w:szCs w:val="17"/>
                <w:color w:val="auto"/>
              </w:rPr>
              <w:t>55,806</w:t>
            </w:r>
          </w:p>
        </w:tc>
        <w:tc>
          <w:tcPr>
            <w:tcW w:w="36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1280" w:type="dxa"/>
            <w:vAlign w:val="bottom"/>
            <w:gridSpan w:val="3"/>
            <w:shd w:val="clear" w:color="auto" w:fill="D6F3E8"/>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55,806</w:t>
            </w:r>
          </w:p>
        </w:tc>
        <w:tc>
          <w:tcPr>
            <w:tcW w:w="340" w:type="dxa"/>
            <w:vAlign w:val="bottom"/>
            <w:shd w:val="clear" w:color="auto" w:fill="D6F3E8"/>
          </w:tcPr>
          <w:p>
            <w:pPr>
              <w:spacing w:after="0"/>
              <w:rPr>
                <w:sz w:val="19"/>
                <w:szCs w:val="19"/>
                <w:color w:val="auto"/>
              </w:rPr>
            </w:pPr>
          </w:p>
        </w:tc>
        <w:tc>
          <w:tcPr>
            <w:tcW w:w="120" w:type="dxa"/>
            <w:vAlign w:val="bottom"/>
            <w:shd w:val="clear" w:color="auto" w:fill="D6F3E8"/>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225,000</w:t>
            </w:r>
          </w:p>
        </w:tc>
        <w:tc>
          <w:tcPr>
            <w:tcW w:w="0" w:type="dxa"/>
            <w:vAlign w:val="bottom"/>
          </w:tcPr>
          <w:p>
            <w:pPr>
              <w:spacing w:after="0"/>
              <w:rPr>
                <w:sz w:val="1"/>
                <w:szCs w:val="1"/>
                <w:color w:val="auto"/>
              </w:rPr>
            </w:pPr>
          </w:p>
        </w:tc>
      </w:tr>
      <w:tr>
        <w:trPr>
          <w:trHeight w:val="215"/>
        </w:trPr>
        <w:tc>
          <w:tcPr>
            <w:tcW w:w="4920" w:type="dxa"/>
            <w:vAlign w:val="bottom"/>
            <w:tcBorders>
              <w:bottom w:val="single" w:sz="8" w:color="auto"/>
            </w:tcBorders>
            <w:gridSpan w:val="2"/>
          </w:tcPr>
          <w:p>
            <w:pPr>
              <w:ind w:left="180"/>
              <w:spacing w:after="0"/>
              <w:rPr>
                <w:sz w:val="20"/>
                <w:szCs w:val="20"/>
                <w:color w:val="auto"/>
              </w:rPr>
            </w:pPr>
            <w:r>
              <w:rPr>
                <w:rFonts w:ascii="Arial" w:cs="Arial" w:eastAsia="Arial" w:hAnsi="Arial"/>
                <w:sz w:val="17"/>
                <w:szCs w:val="17"/>
                <w:color w:val="auto"/>
              </w:rPr>
              <w:t>Reserve for note receivable</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9"/>
        </w:trPr>
        <w:tc>
          <w:tcPr>
            <w:tcW w:w="45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60" w:type="dxa"/>
            <w:vAlign w:val="bottom"/>
            <w:shd w:val="clear" w:color="auto" w:fill="D6F3E8"/>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7"/>
                <w:szCs w:val="17"/>
                <w:color w:val="auto"/>
              </w:rPr>
              <w:t>225,000</w:t>
            </w:r>
          </w:p>
        </w:tc>
        <w:tc>
          <w:tcPr>
            <w:tcW w:w="200" w:type="dxa"/>
            <w:vAlign w:val="bottom"/>
            <w:shd w:val="clear" w:color="auto" w:fill="D6F3E8"/>
          </w:tcPr>
          <w:p>
            <w:pPr>
              <w:spacing w:after="0"/>
              <w:rPr>
                <w:sz w:val="18"/>
                <w:szCs w:val="18"/>
                <w:color w:val="auto"/>
              </w:rPr>
            </w:pPr>
          </w:p>
        </w:tc>
        <w:tc>
          <w:tcPr>
            <w:tcW w:w="300" w:type="dxa"/>
            <w:vAlign w:val="bottom"/>
            <w:gridSpan w:val="2"/>
            <w:shd w:val="clear" w:color="auto" w:fill="D6F3E8"/>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7"/>
                <w:szCs w:val="17"/>
                <w:color w:val="auto"/>
              </w:rPr>
              <w:t>55,806</w:t>
            </w:r>
          </w:p>
        </w:tc>
        <w:tc>
          <w:tcPr>
            <w:tcW w:w="3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80" w:type="dxa"/>
            <w:vAlign w:val="bottom"/>
            <w:gridSpan w:val="3"/>
            <w:shd w:val="clear" w:color="auto" w:fill="D6F3E8"/>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55,806</w:t>
            </w:r>
          </w:p>
        </w:tc>
        <w:tc>
          <w:tcPr>
            <w:tcW w:w="340" w:type="dxa"/>
            <w:vAlign w:val="bottom"/>
            <w:shd w:val="clear" w:color="auto" w:fill="D6F3E8"/>
          </w:tcPr>
          <w:p>
            <w:pPr>
              <w:spacing w:after="0"/>
              <w:rPr>
                <w:sz w:val="18"/>
                <w:szCs w:val="18"/>
                <w:color w:val="auto"/>
              </w:rPr>
            </w:pPr>
          </w:p>
        </w:tc>
        <w:tc>
          <w:tcPr>
            <w:tcW w:w="120" w:type="dxa"/>
            <w:vAlign w:val="bottom"/>
            <w:shd w:val="clear" w:color="auto" w:fill="D6F3E8"/>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225,000</w:t>
            </w:r>
          </w:p>
        </w:tc>
        <w:tc>
          <w:tcPr>
            <w:tcW w:w="0" w:type="dxa"/>
            <w:vAlign w:val="bottom"/>
          </w:tcPr>
          <w:p>
            <w:pPr>
              <w:spacing w:after="0"/>
              <w:rPr>
                <w:sz w:val="1"/>
                <w:szCs w:val="1"/>
                <w:color w:val="auto"/>
              </w:rPr>
            </w:pPr>
          </w:p>
        </w:tc>
      </w:tr>
      <w:tr>
        <w:trPr>
          <w:trHeight w:val="395"/>
        </w:trPr>
        <w:tc>
          <w:tcPr>
            <w:tcW w:w="4920" w:type="dxa"/>
            <w:vAlign w:val="bottom"/>
            <w:gridSpan w:val="2"/>
          </w:tcPr>
          <w:p>
            <w:pPr>
              <w:spacing w:after="0"/>
              <w:rPr>
                <w:sz w:val="20"/>
                <w:szCs w:val="20"/>
                <w:color w:val="auto"/>
              </w:rPr>
            </w:pPr>
            <w:r>
              <w:rPr>
                <w:rFonts w:ascii="Arial" w:cs="Arial" w:eastAsia="Arial" w:hAnsi="Arial"/>
                <w:sz w:val="17"/>
                <w:szCs w:val="17"/>
                <w:color w:val="auto"/>
              </w:rPr>
              <w:t>Year Ended April 2, 2006:</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ind w:left="180"/>
              <w:spacing w:after="0"/>
              <w:rPr>
                <w:sz w:val="20"/>
                <w:szCs w:val="20"/>
                <w:color w:val="auto"/>
              </w:rPr>
            </w:pPr>
            <w:r>
              <w:rPr>
                <w:rFonts w:ascii="Arial" w:cs="Arial" w:eastAsia="Arial" w:hAnsi="Arial"/>
                <w:sz w:val="17"/>
                <w:szCs w:val="17"/>
                <w:color w:val="auto"/>
              </w:rPr>
              <w:t>Allowance for doubtful accounts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225,000</w:t>
            </w:r>
          </w:p>
        </w:tc>
        <w:tc>
          <w:tcPr>
            <w:tcW w:w="20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546,730</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546,730</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225,000</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auto"/>
            </w:tcBorders>
            <w:gridSpan w:val="2"/>
            <w:shd w:val="clear" w:color="auto" w:fill="D6F3E8"/>
          </w:tcPr>
          <w:p>
            <w:pPr>
              <w:ind w:left="180"/>
              <w:spacing w:after="0"/>
              <w:rPr>
                <w:sz w:val="20"/>
                <w:szCs w:val="20"/>
                <w:color w:val="auto"/>
              </w:rPr>
            </w:pPr>
            <w:r>
              <w:rPr>
                <w:rFonts w:ascii="Arial" w:cs="Arial" w:eastAsia="Arial" w:hAnsi="Arial"/>
                <w:sz w:val="17"/>
                <w:szCs w:val="17"/>
                <w:color w:val="auto"/>
              </w:rPr>
              <w:t>Reserve for note receivable</w:t>
            </w:r>
          </w:p>
        </w:tc>
        <w:tc>
          <w:tcPr>
            <w:tcW w:w="160" w:type="dxa"/>
            <w:vAlign w:val="bottom"/>
            <w:tcBorders>
              <w:bottom w:val="single" w:sz="8" w:color="auto"/>
            </w:tcBorders>
            <w:shd w:val="clear" w:color="auto" w:fill="D6F3E8"/>
          </w:tcPr>
          <w:p>
            <w:pPr>
              <w:spacing w:after="0"/>
              <w:rPr>
                <w:sz w:val="18"/>
                <w:szCs w:val="18"/>
                <w:color w:val="auto"/>
              </w:rPr>
            </w:pP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7"/>
                <w:szCs w:val="17"/>
                <w:color w:val="auto"/>
              </w:rPr>
              <w:t>0</w:t>
            </w:r>
          </w:p>
        </w:tc>
        <w:tc>
          <w:tcPr>
            <w:tcW w:w="200" w:type="dxa"/>
            <w:vAlign w:val="bottom"/>
            <w:tcBorders>
              <w:bottom w:val="single" w:sz="8" w:color="auto"/>
            </w:tcBorders>
            <w:shd w:val="clear" w:color="auto" w:fill="D6F3E8"/>
          </w:tcPr>
          <w:p>
            <w:pPr>
              <w:spacing w:after="0"/>
              <w:rPr>
                <w:sz w:val="18"/>
                <w:szCs w:val="18"/>
                <w:color w:val="auto"/>
              </w:rPr>
            </w:pPr>
          </w:p>
        </w:tc>
        <w:tc>
          <w:tcPr>
            <w:tcW w:w="160" w:type="dxa"/>
            <w:vAlign w:val="bottom"/>
            <w:tcBorders>
              <w:bottom w:val="single" w:sz="8" w:color="auto"/>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880" w:type="dxa"/>
            <w:vAlign w:val="bottom"/>
            <w:tcBorders>
              <w:bottom w:val="single" w:sz="8" w:color="auto"/>
            </w:tcBorders>
            <w:shd w:val="clear" w:color="auto" w:fill="D6F3E8"/>
          </w:tcPr>
          <w:p>
            <w:pPr>
              <w:spacing w:after="0"/>
              <w:rPr>
                <w:sz w:val="18"/>
                <w:szCs w:val="18"/>
                <w:color w:val="auto"/>
              </w:rPr>
            </w:pPr>
          </w:p>
        </w:tc>
        <w:tc>
          <w:tcPr>
            <w:tcW w:w="360" w:type="dxa"/>
            <w:vAlign w:val="bottom"/>
            <w:tcBorders>
              <w:bottom w:val="single" w:sz="8" w:color="auto"/>
            </w:tcBorders>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spacing w:after="0"/>
              <w:rPr>
                <w:sz w:val="18"/>
                <w:szCs w:val="18"/>
                <w:color w:val="auto"/>
              </w:rPr>
            </w:pPr>
          </w:p>
        </w:tc>
        <w:tc>
          <w:tcPr>
            <w:tcW w:w="800" w:type="dxa"/>
            <w:vAlign w:val="bottom"/>
            <w:tcBorders>
              <w:bottom w:val="single" w:sz="8" w:color="auto"/>
            </w:tcBorders>
            <w:shd w:val="clear" w:color="auto" w:fill="D6F3E8"/>
          </w:tcPr>
          <w:p>
            <w:pPr>
              <w:spacing w:after="0"/>
              <w:rPr>
                <w:sz w:val="18"/>
                <w:szCs w:val="18"/>
                <w:color w:val="auto"/>
              </w:rPr>
            </w:pPr>
          </w:p>
        </w:tc>
        <w:tc>
          <w:tcPr>
            <w:tcW w:w="340" w:type="dxa"/>
            <w:vAlign w:val="bottom"/>
            <w:tcBorders>
              <w:bottom w:val="single" w:sz="8" w:color="auto"/>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860" w:type="dxa"/>
            <w:vAlign w:val="bottom"/>
            <w:tcBorders>
              <w:bottom w:val="single" w:sz="8" w:color="auto"/>
            </w:tcBorders>
            <w:shd w:val="clear" w:color="auto" w:fill="D6F3E8"/>
          </w:tcPr>
          <w:p>
            <w:pPr>
              <w:spacing w:after="0"/>
              <w:rPr>
                <w:sz w:val="18"/>
                <w:szCs w:val="18"/>
                <w:color w:val="auto"/>
              </w:rPr>
            </w:pPr>
          </w:p>
        </w:tc>
        <w:tc>
          <w:tcPr>
            <w:tcW w:w="340" w:type="dxa"/>
            <w:vAlign w:val="bottom"/>
            <w:tcBorders>
              <w:bottom w:val="single" w:sz="8" w:color="auto"/>
            </w:tcBorders>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spacing w:after="0"/>
              <w:rPr>
                <w:sz w:val="18"/>
                <w:szCs w:val="18"/>
                <w:color w:val="auto"/>
              </w:rPr>
            </w:pPr>
          </w:p>
        </w:tc>
        <w:tc>
          <w:tcPr>
            <w:tcW w:w="1000" w:type="dxa"/>
            <w:vAlign w:val="bottom"/>
            <w:tcBorders>
              <w:bottom w:val="single" w:sz="8" w:color="auto"/>
            </w:tcBorders>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5"/>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225,000</w:t>
            </w:r>
          </w:p>
        </w:tc>
        <w:tc>
          <w:tcPr>
            <w:tcW w:w="20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546,730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546,730</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225,000</w:t>
            </w:r>
          </w:p>
        </w:tc>
        <w:tc>
          <w:tcPr>
            <w:tcW w:w="0" w:type="dxa"/>
            <w:vAlign w:val="bottom"/>
          </w:tcPr>
          <w:p>
            <w:pPr>
              <w:spacing w:after="0"/>
              <w:rPr>
                <w:sz w:val="1"/>
                <w:szCs w:val="1"/>
                <w:color w:val="auto"/>
              </w:rPr>
            </w:pPr>
          </w:p>
        </w:tc>
      </w:tr>
      <w:tr>
        <w:trPr>
          <w:trHeight w:val="182"/>
        </w:trPr>
        <w:tc>
          <w:tcPr>
            <w:tcW w:w="4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920" w:type="dxa"/>
            <w:vAlign w:val="bottom"/>
            <w:gridSpan w:val="2"/>
            <w:shd w:val="clear" w:color="auto" w:fill="D6F3E8"/>
          </w:tcPr>
          <w:p>
            <w:pPr>
              <w:spacing w:after="0"/>
              <w:rPr>
                <w:sz w:val="20"/>
                <w:szCs w:val="20"/>
                <w:color w:val="auto"/>
              </w:rPr>
            </w:pPr>
            <w:r>
              <w:rPr>
                <w:rFonts w:ascii="Arial" w:cs="Arial" w:eastAsia="Arial" w:hAnsi="Arial"/>
                <w:sz w:val="17"/>
                <w:szCs w:val="17"/>
                <w:color w:val="auto"/>
              </w:rPr>
              <w:t>Year Ended April 3, 2005:</w:t>
            </w:r>
          </w:p>
        </w:tc>
        <w:tc>
          <w:tcPr>
            <w:tcW w:w="160" w:type="dxa"/>
            <w:vAlign w:val="bottom"/>
            <w:shd w:val="clear" w:color="auto" w:fill="D6F3E8"/>
          </w:tcPr>
          <w:p>
            <w:pPr>
              <w:spacing w:after="0"/>
              <w:rPr>
                <w:sz w:val="17"/>
                <w:szCs w:val="17"/>
                <w:color w:val="auto"/>
              </w:rPr>
            </w:pPr>
          </w:p>
        </w:tc>
        <w:tc>
          <w:tcPr>
            <w:tcW w:w="880" w:type="dxa"/>
            <w:vAlign w:val="bottom"/>
            <w:shd w:val="clear" w:color="auto" w:fill="D6F3E8"/>
          </w:tcPr>
          <w:p>
            <w:pPr>
              <w:spacing w:after="0"/>
              <w:rPr>
                <w:sz w:val="17"/>
                <w:szCs w:val="17"/>
                <w:color w:val="auto"/>
              </w:rPr>
            </w:pPr>
          </w:p>
        </w:tc>
        <w:tc>
          <w:tcPr>
            <w:tcW w:w="20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140" w:type="dxa"/>
            <w:vAlign w:val="bottom"/>
            <w:shd w:val="clear" w:color="auto" w:fill="D6F3E8"/>
          </w:tcPr>
          <w:p>
            <w:pPr>
              <w:spacing w:after="0"/>
              <w:rPr>
                <w:sz w:val="17"/>
                <w:szCs w:val="17"/>
                <w:color w:val="auto"/>
              </w:rPr>
            </w:pPr>
          </w:p>
        </w:tc>
        <w:tc>
          <w:tcPr>
            <w:tcW w:w="1240" w:type="dxa"/>
            <w:vAlign w:val="bottom"/>
            <w:gridSpan w:val="2"/>
            <w:vMerge w:val="restart"/>
            <w:shd w:val="clear" w:color="auto" w:fill="D6F3E8"/>
          </w:tcPr>
          <w:p>
            <w:pPr>
              <w:jc w:val="right"/>
              <w:ind w:right="300"/>
              <w:spacing w:after="0"/>
              <w:rPr>
                <w:sz w:val="20"/>
                <w:szCs w:val="20"/>
                <w:color w:val="auto"/>
              </w:rPr>
            </w:pPr>
            <w:r>
              <w:rPr>
                <w:rFonts w:ascii="Arial" w:cs="Arial" w:eastAsia="Arial" w:hAnsi="Arial"/>
                <w:sz w:val="17"/>
                <w:szCs w:val="17"/>
                <w:color w:val="auto"/>
              </w:rPr>
              <w:t>(17,715)</w:t>
            </w:r>
          </w:p>
        </w:tc>
        <w:tc>
          <w:tcPr>
            <w:tcW w:w="120" w:type="dxa"/>
            <w:vAlign w:val="bottom"/>
            <w:shd w:val="clear" w:color="auto" w:fill="D6F3E8"/>
          </w:tcPr>
          <w:p>
            <w:pPr>
              <w:spacing w:after="0"/>
              <w:rPr>
                <w:sz w:val="17"/>
                <w:szCs w:val="17"/>
                <w:color w:val="auto"/>
              </w:rPr>
            </w:pPr>
          </w:p>
        </w:tc>
        <w:tc>
          <w:tcPr>
            <w:tcW w:w="800" w:type="dxa"/>
            <w:vAlign w:val="bottom"/>
            <w:shd w:val="clear" w:color="auto" w:fill="D6F3E8"/>
          </w:tcPr>
          <w:p>
            <w:pPr>
              <w:spacing w:after="0"/>
              <w:rPr>
                <w:sz w:val="17"/>
                <w:szCs w:val="17"/>
                <w:color w:val="auto"/>
              </w:rPr>
            </w:pPr>
          </w:p>
        </w:tc>
        <w:tc>
          <w:tcPr>
            <w:tcW w:w="340" w:type="dxa"/>
            <w:vAlign w:val="bottom"/>
            <w:shd w:val="clear" w:color="auto" w:fill="D6F3E8"/>
          </w:tcPr>
          <w:p>
            <w:pPr>
              <w:spacing w:after="0"/>
              <w:rPr>
                <w:sz w:val="17"/>
                <w:szCs w:val="17"/>
                <w:color w:val="auto"/>
              </w:rPr>
            </w:pPr>
          </w:p>
        </w:tc>
        <w:tc>
          <w:tcPr>
            <w:tcW w:w="140" w:type="dxa"/>
            <w:vAlign w:val="bottom"/>
            <w:shd w:val="clear" w:color="auto" w:fill="D6F3E8"/>
          </w:tcPr>
          <w:p>
            <w:pPr>
              <w:spacing w:after="0"/>
              <w:rPr>
                <w:sz w:val="17"/>
                <w:szCs w:val="17"/>
                <w:color w:val="auto"/>
              </w:rPr>
            </w:pPr>
          </w:p>
        </w:tc>
        <w:tc>
          <w:tcPr>
            <w:tcW w:w="860" w:type="dxa"/>
            <w:vAlign w:val="bottom"/>
            <w:shd w:val="clear" w:color="auto" w:fill="D6F3E8"/>
          </w:tcPr>
          <w:p>
            <w:pPr>
              <w:spacing w:after="0"/>
              <w:rPr>
                <w:sz w:val="17"/>
                <w:szCs w:val="17"/>
                <w:color w:val="auto"/>
              </w:rPr>
            </w:pPr>
          </w:p>
        </w:tc>
        <w:tc>
          <w:tcPr>
            <w:tcW w:w="34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90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20" w:type="dxa"/>
            <w:vAlign w:val="bottom"/>
            <w:gridSpan w:val="2"/>
            <w:shd w:val="clear" w:color="auto" w:fill="D6F3E8"/>
          </w:tcPr>
          <w:p>
            <w:pPr>
              <w:ind w:left="180"/>
              <w:spacing w:after="0"/>
              <w:rPr>
                <w:sz w:val="20"/>
                <w:szCs w:val="20"/>
                <w:color w:val="auto"/>
              </w:rPr>
            </w:pPr>
            <w:r>
              <w:rPr>
                <w:rFonts w:ascii="Arial" w:cs="Arial" w:eastAsia="Arial" w:hAnsi="Arial"/>
                <w:sz w:val="17"/>
                <w:szCs w:val="17"/>
                <w:color w:val="auto"/>
              </w:rPr>
              <w:t>Allowance for doubtful accounts</w:t>
            </w:r>
          </w:p>
        </w:tc>
        <w:tc>
          <w:tcPr>
            <w:tcW w:w="160" w:type="dxa"/>
            <w:vAlign w:val="bottom"/>
            <w:shd w:val="clear" w:color="auto" w:fill="D6F3E8"/>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7"/>
                <w:szCs w:val="17"/>
                <w:color w:val="auto"/>
              </w:rPr>
              <w:t>275,000</w:t>
            </w:r>
          </w:p>
        </w:tc>
        <w:tc>
          <w:tcPr>
            <w:tcW w:w="200" w:type="dxa"/>
            <w:vAlign w:val="bottom"/>
            <w:shd w:val="clear" w:color="auto" w:fill="D6F3E8"/>
          </w:tcPr>
          <w:p>
            <w:pPr>
              <w:spacing w:after="0"/>
              <w:rPr>
                <w:sz w:val="19"/>
                <w:szCs w:val="19"/>
                <w:color w:val="auto"/>
              </w:rPr>
            </w:pPr>
          </w:p>
        </w:tc>
        <w:tc>
          <w:tcPr>
            <w:tcW w:w="300" w:type="dxa"/>
            <w:vAlign w:val="bottom"/>
            <w:gridSpan w:val="2"/>
            <w:shd w:val="clear" w:color="auto" w:fill="D6F3E8"/>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vMerge w:val="continue"/>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1280" w:type="dxa"/>
            <w:vAlign w:val="bottom"/>
            <w:gridSpan w:val="3"/>
            <w:shd w:val="clear" w:color="auto" w:fill="D6F3E8"/>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32,285</w:t>
            </w:r>
          </w:p>
        </w:tc>
        <w:tc>
          <w:tcPr>
            <w:tcW w:w="340" w:type="dxa"/>
            <w:vAlign w:val="bottom"/>
            <w:shd w:val="clear" w:color="auto" w:fill="D6F3E8"/>
          </w:tcPr>
          <w:p>
            <w:pPr>
              <w:spacing w:after="0"/>
              <w:rPr>
                <w:sz w:val="19"/>
                <w:szCs w:val="19"/>
                <w:color w:val="auto"/>
              </w:rPr>
            </w:pPr>
          </w:p>
        </w:tc>
        <w:tc>
          <w:tcPr>
            <w:tcW w:w="120" w:type="dxa"/>
            <w:vAlign w:val="bottom"/>
            <w:shd w:val="clear" w:color="auto" w:fill="D6F3E8"/>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225,000</w:t>
            </w:r>
          </w:p>
        </w:tc>
        <w:tc>
          <w:tcPr>
            <w:tcW w:w="0" w:type="dxa"/>
            <w:vAlign w:val="bottom"/>
          </w:tcPr>
          <w:p>
            <w:pPr>
              <w:spacing w:after="0"/>
              <w:rPr>
                <w:sz w:val="1"/>
                <w:szCs w:val="1"/>
                <w:color w:val="auto"/>
              </w:rPr>
            </w:pPr>
          </w:p>
        </w:tc>
      </w:tr>
      <w:tr>
        <w:trPr>
          <w:trHeight w:val="215"/>
        </w:trPr>
        <w:tc>
          <w:tcPr>
            <w:tcW w:w="4920" w:type="dxa"/>
            <w:vAlign w:val="bottom"/>
            <w:tcBorders>
              <w:bottom w:val="single" w:sz="8" w:color="auto"/>
            </w:tcBorders>
            <w:gridSpan w:val="2"/>
          </w:tcPr>
          <w:p>
            <w:pPr>
              <w:ind w:left="180"/>
              <w:spacing w:after="0"/>
              <w:rPr>
                <w:sz w:val="20"/>
                <w:szCs w:val="20"/>
                <w:color w:val="auto"/>
              </w:rPr>
            </w:pPr>
            <w:r>
              <w:rPr>
                <w:rFonts w:ascii="Arial" w:cs="Arial" w:eastAsia="Arial" w:hAnsi="Arial"/>
                <w:sz w:val="17"/>
                <w:szCs w:val="17"/>
                <w:color w:val="auto"/>
              </w:rPr>
              <w:t>Reserve for note receivable</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658,134</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658,134</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49"/>
        </w:trPr>
        <w:tc>
          <w:tcPr>
            <w:tcW w:w="4580" w:type="dxa"/>
            <w:vAlign w:val="bottom"/>
            <w:shd w:val="clear" w:color="auto" w:fill="D6F3E8"/>
          </w:tcPr>
          <w:p>
            <w:pPr>
              <w:spacing w:after="0"/>
              <w:rPr>
                <w:sz w:val="21"/>
                <w:szCs w:val="21"/>
                <w:color w:val="auto"/>
              </w:rPr>
            </w:pPr>
          </w:p>
        </w:tc>
        <w:tc>
          <w:tcPr>
            <w:tcW w:w="340" w:type="dxa"/>
            <w:vAlign w:val="bottom"/>
            <w:shd w:val="clear" w:color="auto" w:fill="D6F3E8"/>
          </w:tcPr>
          <w:p>
            <w:pPr>
              <w:spacing w:after="0"/>
              <w:rPr>
                <w:sz w:val="21"/>
                <w:szCs w:val="21"/>
                <w:color w:val="auto"/>
              </w:rPr>
            </w:pPr>
          </w:p>
        </w:tc>
        <w:tc>
          <w:tcPr>
            <w:tcW w:w="160" w:type="dxa"/>
            <w:vAlign w:val="bottom"/>
            <w:shd w:val="clear" w:color="auto" w:fill="D6F3E8"/>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7"/>
                <w:szCs w:val="17"/>
                <w:color w:val="auto"/>
              </w:rPr>
              <w:t>933,134</w:t>
            </w:r>
          </w:p>
        </w:tc>
        <w:tc>
          <w:tcPr>
            <w:tcW w:w="200" w:type="dxa"/>
            <w:vAlign w:val="bottom"/>
            <w:shd w:val="clear" w:color="auto" w:fill="D6F3E8"/>
          </w:tcPr>
          <w:p>
            <w:pPr>
              <w:spacing w:after="0"/>
              <w:rPr>
                <w:sz w:val="21"/>
                <w:szCs w:val="21"/>
                <w:color w:val="auto"/>
              </w:rPr>
            </w:pPr>
          </w:p>
        </w:tc>
        <w:tc>
          <w:tcPr>
            <w:tcW w:w="300" w:type="dxa"/>
            <w:vAlign w:val="bottom"/>
            <w:gridSpan w:val="2"/>
            <w:shd w:val="clear" w:color="auto" w:fill="D6F3E8"/>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D6F3E8"/>
          </w:tcPr>
          <w:p>
            <w:pPr>
              <w:jc w:val="right"/>
              <w:ind w:right="300"/>
              <w:spacing w:after="0"/>
              <w:rPr>
                <w:sz w:val="20"/>
                <w:szCs w:val="20"/>
                <w:color w:val="auto"/>
              </w:rPr>
            </w:pPr>
            <w:r>
              <w:rPr>
                <w:rFonts w:ascii="Arial" w:cs="Arial" w:eastAsia="Arial" w:hAnsi="Arial"/>
                <w:sz w:val="17"/>
                <w:szCs w:val="17"/>
                <w:color w:val="auto"/>
              </w:rPr>
              <w:t>(17,715)</w:t>
            </w:r>
          </w:p>
        </w:tc>
        <w:tc>
          <w:tcPr>
            <w:tcW w:w="120" w:type="dxa"/>
            <w:vAlign w:val="bottom"/>
            <w:shd w:val="clear" w:color="auto" w:fill="D6F3E8"/>
          </w:tcPr>
          <w:p>
            <w:pPr>
              <w:spacing w:after="0"/>
              <w:rPr>
                <w:sz w:val="21"/>
                <w:szCs w:val="21"/>
                <w:color w:val="auto"/>
              </w:rPr>
            </w:pPr>
          </w:p>
        </w:tc>
        <w:tc>
          <w:tcPr>
            <w:tcW w:w="1280" w:type="dxa"/>
            <w:vAlign w:val="bottom"/>
            <w:gridSpan w:val="3"/>
            <w:shd w:val="clear" w:color="auto" w:fill="D6F3E8"/>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7"/>
                <w:szCs w:val="17"/>
                <w:color w:val="auto"/>
              </w:rPr>
              <w:t>690,419</w:t>
            </w:r>
          </w:p>
        </w:tc>
        <w:tc>
          <w:tcPr>
            <w:tcW w:w="340" w:type="dxa"/>
            <w:vAlign w:val="bottom"/>
            <w:shd w:val="clear" w:color="auto" w:fill="D6F3E8"/>
          </w:tcPr>
          <w:p>
            <w:pPr>
              <w:spacing w:after="0"/>
              <w:rPr>
                <w:sz w:val="21"/>
                <w:szCs w:val="21"/>
                <w:color w:val="auto"/>
              </w:rPr>
            </w:pPr>
          </w:p>
        </w:tc>
        <w:tc>
          <w:tcPr>
            <w:tcW w:w="120" w:type="dxa"/>
            <w:vAlign w:val="bottom"/>
            <w:shd w:val="clear" w:color="auto" w:fill="D6F3E8"/>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7"/>
                <w:szCs w:val="17"/>
                <w:color w:val="auto"/>
              </w:rPr>
              <w:t>225,000</w:t>
            </w:r>
          </w:p>
        </w:tc>
        <w:tc>
          <w:tcPr>
            <w:tcW w:w="0" w:type="dxa"/>
            <w:vAlign w:val="bottom"/>
          </w:tcPr>
          <w:p>
            <w:pPr>
              <w:spacing w:after="0"/>
              <w:rPr>
                <w:sz w:val="1"/>
                <w:szCs w:val="1"/>
                <w:color w:val="auto"/>
              </w:rPr>
            </w:pPr>
          </w:p>
        </w:tc>
      </w:tr>
      <w:tr>
        <w:trPr>
          <w:trHeight w:val="643"/>
        </w:trPr>
        <w:tc>
          <w:tcPr>
            <w:tcW w:w="4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ind w:left="340"/>
              <w:spacing w:after="0"/>
              <w:rPr>
                <w:sz w:val="20"/>
                <w:szCs w:val="20"/>
                <w:color w:val="auto"/>
              </w:rPr>
            </w:pPr>
            <w:r>
              <w:rPr>
                <w:rFonts w:ascii="Arial" w:cs="Arial" w:eastAsia="Arial" w:hAnsi="Arial"/>
                <w:sz w:val="17"/>
                <w:szCs w:val="17"/>
                <w:i w:val="1"/>
                <w:iCs w:val="1"/>
                <w:color w:val="auto"/>
              </w:rPr>
              <w:t>Page 39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220980</wp:posOffset>
            </wp:positionV>
            <wp:extent cx="725106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Index</w:t>
      </w:r>
    </w:p>
    <w:p>
      <w:pPr>
        <w:spacing w:after="0" w:line="205" w:lineRule="exact"/>
        <w:rPr>
          <w:sz w:val="20"/>
          <w:szCs w:val="20"/>
          <w:color w:val="auto"/>
        </w:rPr>
      </w:pPr>
    </w:p>
    <w:tbl>
      <w:tblPr>
        <w:tblLayout w:type="fixed"/>
        <w:tblInd w:w="740" w:type="dxa"/>
        <w:tblCellMar>
          <w:top w:w="0" w:type="dxa"/>
          <w:left w:w="0" w:type="dxa"/>
          <w:bottom w:w="0" w:type="dxa"/>
          <w:right w:w="0" w:type="dxa"/>
        </w:tblCellMar>
      </w:tblPr>
      <w:tr>
        <w:trPr>
          <w:trHeight w:val="195"/>
        </w:trPr>
        <w:tc>
          <w:tcPr>
            <w:tcW w:w="520" w:type="dxa"/>
            <w:vAlign w:val="bottom"/>
          </w:tcPr>
          <w:p>
            <w:pPr>
              <w:spacing w:after="0"/>
              <w:rPr>
                <w:sz w:val="20"/>
                <w:szCs w:val="20"/>
                <w:color w:val="auto"/>
              </w:rPr>
            </w:pPr>
            <w:r>
              <w:rPr>
                <w:rFonts w:ascii="Arial" w:cs="Arial" w:eastAsia="Arial" w:hAnsi="Arial"/>
                <w:sz w:val="17"/>
                <w:szCs w:val="17"/>
                <w:color w:val="auto"/>
                <w:w w:val="97"/>
              </w:rPr>
              <w:t>Exhibit</w:t>
            </w:r>
          </w:p>
        </w:tc>
        <w:tc>
          <w:tcPr>
            <w:tcW w:w="1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7"/>
                <w:szCs w:val="17"/>
                <w:color w:val="auto"/>
                <w:w w:val="94"/>
              </w:rPr>
              <w:t>Description</w:t>
            </w:r>
          </w:p>
        </w:tc>
        <w:tc>
          <w:tcPr>
            <w:tcW w:w="3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7"/>
        </w:trPr>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3.1</w:t>
            </w:r>
          </w:p>
        </w:tc>
        <w:tc>
          <w:tcPr>
            <w:tcW w:w="7380" w:type="dxa"/>
            <w:vAlign w:val="bottom"/>
            <w:gridSpan w:val="3"/>
          </w:tcPr>
          <w:p>
            <w:pPr>
              <w:ind w:left="100"/>
              <w:spacing w:after="0"/>
              <w:rPr>
                <w:sz w:val="20"/>
                <w:szCs w:val="20"/>
                <w:color w:val="auto"/>
              </w:rPr>
            </w:pPr>
            <w:r>
              <w:rPr>
                <w:rFonts w:ascii="Arial" w:cs="Arial" w:eastAsia="Arial" w:hAnsi="Arial"/>
                <w:sz w:val="17"/>
                <w:szCs w:val="17"/>
                <w:color w:val="auto"/>
                <w:w w:val="95"/>
              </w:rPr>
              <w:t>Amended and Second Restated Articles of Incorporation as amended through February 27, 2001. (1)</w:t>
            </w:r>
          </w:p>
        </w:tc>
        <w:tc>
          <w:tcPr>
            <w:tcW w:w="2100" w:type="dxa"/>
            <w:vAlign w:val="bottom"/>
            <w:gridSpan w:val="3"/>
          </w:tcPr>
          <w:p>
            <w:pPr>
              <w:ind w:left="240"/>
              <w:spacing w:after="0"/>
              <w:rPr>
                <w:sz w:val="20"/>
                <w:szCs w:val="20"/>
                <w:color w:val="auto"/>
              </w:rPr>
            </w:pPr>
            <w:r>
              <w:rPr>
                <w:rFonts w:ascii="Arial" w:cs="Arial" w:eastAsia="Arial" w:hAnsi="Arial"/>
                <w:sz w:val="17"/>
                <w:szCs w:val="17"/>
                <w:color w:val="auto"/>
                <w:w w:val="91"/>
              </w:rPr>
              <w:t>Incorporated by Reference</w:t>
            </w:r>
          </w:p>
        </w:tc>
      </w:tr>
      <w:tr>
        <w:trPr>
          <w:trHeight w:val="215"/>
        </w:trPr>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3.2</w:t>
            </w:r>
          </w:p>
        </w:tc>
        <w:tc>
          <w:tcPr>
            <w:tcW w:w="7380" w:type="dxa"/>
            <w:vAlign w:val="bottom"/>
            <w:gridSpan w:val="3"/>
          </w:tcPr>
          <w:p>
            <w:pPr>
              <w:ind w:left="100"/>
              <w:spacing w:after="0"/>
              <w:rPr>
                <w:sz w:val="20"/>
                <w:szCs w:val="20"/>
                <w:color w:val="auto"/>
              </w:rPr>
            </w:pPr>
            <w:r>
              <w:rPr>
                <w:rFonts w:ascii="Arial" w:cs="Arial" w:eastAsia="Arial" w:hAnsi="Arial"/>
                <w:sz w:val="17"/>
                <w:szCs w:val="17"/>
                <w:color w:val="auto"/>
              </w:rPr>
              <w:t>Second Amended and Superseding By-Laws as amended through February 15, 1995. (2)</w:t>
            </w:r>
          </w:p>
        </w:tc>
        <w:tc>
          <w:tcPr>
            <w:tcW w:w="2100" w:type="dxa"/>
            <w:vAlign w:val="bottom"/>
            <w:gridSpan w:val="3"/>
          </w:tcPr>
          <w:p>
            <w:pPr>
              <w:ind w:left="240"/>
              <w:spacing w:after="0"/>
              <w:rPr>
                <w:sz w:val="20"/>
                <w:szCs w:val="20"/>
                <w:color w:val="auto"/>
              </w:rPr>
            </w:pPr>
            <w:r>
              <w:rPr>
                <w:rFonts w:ascii="Arial" w:cs="Arial" w:eastAsia="Arial" w:hAnsi="Arial"/>
                <w:sz w:val="17"/>
                <w:szCs w:val="17"/>
                <w:color w:val="auto"/>
                <w:w w:val="91"/>
              </w:rPr>
              <w:t>Incorporated by Reference</w:t>
            </w:r>
          </w:p>
        </w:tc>
      </w:tr>
      <w:tr>
        <w:trPr>
          <w:trHeight w:val="215"/>
        </w:trPr>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10.1</w:t>
            </w:r>
          </w:p>
        </w:tc>
        <w:tc>
          <w:tcPr>
            <w:tcW w:w="7380" w:type="dxa"/>
            <w:vAlign w:val="bottom"/>
            <w:gridSpan w:val="3"/>
          </w:tcPr>
          <w:p>
            <w:pPr>
              <w:ind w:left="100"/>
              <w:spacing w:after="0"/>
              <w:rPr>
                <w:sz w:val="20"/>
                <w:szCs w:val="20"/>
                <w:color w:val="auto"/>
              </w:rPr>
            </w:pPr>
            <w:r>
              <w:rPr>
                <w:rFonts w:ascii="Arial" w:cs="Arial" w:eastAsia="Arial" w:hAnsi="Arial"/>
                <w:sz w:val="17"/>
                <w:szCs w:val="17"/>
                <w:color w:val="auto"/>
                <w:w w:val="95"/>
              </w:rPr>
              <w:t>Retirement Agreement dated December 2, 1998 between the Company and Howard M. Hawkins. (3)</w:t>
            </w:r>
          </w:p>
        </w:tc>
        <w:tc>
          <w:tcPr>
            <w:tcW w:w="2100" w:type="dxa"/>
            <w:vAlign w:val="bottom"/>
            <w:gridSpan w:val="3"/>
          </w:tcPr>
          <w:p>
            <w:pPr>
              <w:ind w:left="240"/>
              <w:spacing w:after="0"/>
              <w:rPr>
                <w:sz w:val="20"/>
                <w:szCs w:val="20"/>
                <w:color w:val="auto"/>
              </w:rPr>
            </w:pPr>
            <w:r>
              <w:rPr>
                <w:rFonts w:ascii="Arial" w:cs="Arial" w:eastAsia="Arial" w:hAnsi="Arial"/>
                <w:sz w:val="17"/>
                <w:szCs w:val="17"/>
                <w:color w:val="auto"/>
                <w:w w:val="91"/>
              </w:rPr>
              <w:t>Incorporated by Reference</w:t>
            </w:r>
          </w:p>
        </w:tc>
      </w:tr>
      <w:tr>
        <w:trPr>
          <w:trHeight w:val="215"/>
        </w:trPr>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10.2</w:t>
            </w:r>
          </w:p>
        </w:tc>
        <w:tc>
          <w:tcPr>
            <w:tcW w:w="7380" w:type="dxa"/>
            <w:vAlign w:val="bottom"/>
            <w:gridSpan w:val="3"/>
          </w:tcPr>
          <w:p>
            <w:pPr>
              <w:ind w:left="100"/>
              <w:spacing w:after="0"/>
              <w:rPr>
                <w:sz w:val="20"/>
                <w:szCs w:val="20"/>
                <w:color w:val="auto"/>
              </w:rPr>
            </w:pPr>
            <w:r>
              <w:rPr>
                <w:rFonts w:ascii="Arial" w:cs="Arial" w:eastAsia="Arial" w:hAnsi="Arial"/>
                <w:sz w:val="17"/>
                <w:szCs w:val="17"/>
                <w:color w:val="auto"/>
              </w:rPr>
              <w:t>Description of Director Compensation Arrangements. (4)</w:t>
            </w:r>
          </w:p>
        </w:tc>
        <w:tc>
          <w:tcPr>
            <w:tcW w:w="2100" w:type="dxa"/>
            <w:vAlign w:val="bottom"/>
            <w:gridSpan w:val="3"/>
          </w:tcPr>
          <w:p>
            <w:pPr>
              <w:ind w:left="240"/>
              <w:spacing w:after="0"/>
              <w:rPr>
                <w:sz w:val="20"/>
                <w:szCs w:val="20"/>
                <w:color w:val="auto"/>
              </w:rPr>
            </w:pPr>
            <w:r>
              <w:rPr>
                <w:rFonts w:ascii="Arial" w:cs="Arial" w:eastAsia="Arial" w:hAnsi="Arial"/>
                <w:sz w:val="17"/>
                <w:szCs w:val="17"/>
                <w:color w:val="auto"/>
                <w:w w:val="91"/>
              </w:rPr>
              <w:t>Incorporated by Reference</w:t>
            </w:r>
          </w:p>
        </w:tc>
      </w:tr>
      <w:tr>
        <w:trPr>
          <w:trHeight w:val="215"/>
        </w:trPr>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10.3</w:t>
            </w:r>
          </w:p>
        </w:tc>
        <w:tc>
          <w:tcPr>
            <w:tcW w:w="7380" w:type="dxa"/>
            <w:vAlign w:val="bottom"/>
            <w:gridSpan w:val="3"/>
          </w:tcPr>
          <w:p>
            <w:pPr>
              <w:ind w:left="100"/>
              <w:spacing w:after="0"/>
              <w:rPr>
                <w:sz w:val="20"/>
                <w:szCs w:val="20"/>
                <w:color w:val="auto"/>
              </w:rPr>
            </w:pPr>
            <w:r>
              <w:rPr>
                <w:rFonts w:ascii="Arial" w:cs="Arial" w:eastAsia="Arial" w:hAnsi="Arial"/>
                <w:sz w:val="17"/>
                <w:szCs w:val="17"/>
                <w:color w:val="auto"/>
              </w:rPr>
              <w:t>Description of Consulting Arrangement with John S. McKeon. (5)</w:t>
            </w:r>
          </w:p>
        </w:tc>
        <w:tc>
          <w:tcPr>
            <w:tcW w:w="2100" w:type="dxa"/>
            <w:vAlign w:val="bottom"/>
            <w:gridSpan w:val="3"/>
          </w:tcPr>
          <w:p>
            <w:pPr>
              <w:ind w:left="240"/>
              <w:spacing w:after="0"/>
              <w:rPr>
                <w:sz w:val="20"/>
                <w:szCs w:val="20"/>
                <w:color w:val="auto"/>
              </w:rPr>
            </w:pPr>
            <w:r>
              <w:rPr>
                <w:rFonts w:ascii="Arial" w:cs="Arial" w:eastAsia="Arial" w:hAnsi="Arial"/>
                <w:sz w:val="17"/>
                <w:szCs w:val="17"/>
                <w:color w:val="auto"/>
                <w:w w:val="91"/>
              </w:rPr>
              <w:t>Incorporated by Reference</w:t>
            </w:r>
          </w:p>
        </w:tc>
      </w:tr>
      <w:tr>
        <w:trPr>
          <w:trHeight w:val="215"/>
        </w:trPr>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23.1</w:t>
            </w:r>
          </w:p>
        </w:tc>
        <w:tc>
          <w:tcPr>
            <w:tcW w:w="7380" w:type="dxa"/>
            <w:vAlign w:val="bottom"/>
            <w:gridSpan w:val="3"/>
          </w:tcPr>
          <w:p>
            <w:pPr>
              <w:ind w:left="100"/>
              <w:spacing w:after="0"/>
              <w:rPr>
                <w:sz w:val="20"/>
                <w:szCs w:val="20"/>
                <w:color w:val="auto"/>
              </w:rPr>
            </w:pPr>
            <w:r>
              <w:rPr>
                <w:rFonts w:ascii="Arial" w:cs="Arial" w:eastAsia="Arial" w:hAnsi="Arial"/>
                <w:sz w:val="17"/>
                <w:szCs w:val="17"/>
                <w:color w:val="auto"/>
              </w:rPr>
              <w:t>Consent of Independent Registered Public Accounting Firm.</w:t>
            </w:r>
          </w:p>
        </w:tc>
        <w:tc>
          <w:tcPr>
            <w:tcW w:w="2100" w:type="dxa"/>
            <w:vAlign w:val="bottom"/>
            <w:gridSpan w:val="3"/>
          </w:tcPr>
          <w:p>
            <w:pPr>
              <w:ind w:left="240"/>
              <w:spacing w:after="0"/>
              <w:rPr>
                <w:sz w:val="20"/>
                <w:szCs w:val="20"/>
                <w:color w:val="auto"/>
              </w:rPr>
            </w:pPr>
            <w:r>
              <w:rPr>
                <w:rFonts w:ascii="Arial" w:cs="Arial" w:eastAsia="Arial" w:hAnsi="Arial"/>
                <w:sz w:val="17"/>
                <w:szCs w:val="17"/>
                <w:color w:val="auto"/>
              </w:rPr>
              <w:t>Filed Electronically</w:t>
            </w:r>
          </w:p>
        </w:tc>
      </w:tr>
      <w:tr>
        <w:trPr>
          <w:trHeight w:val="215"/>
        </w:trPr>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31.1</w:t>
            </w:r>
          </w:p>
        </w:tc>
        <w:tc>
          <w:tcPr>
            <w:tcW w:w="7380" w:type="dxa"/>
            <w:vAlign w:val="bottom"/>
            <w:gridSpan w:val="3"/>
          </w:tcPr>
          <w:p>
            <w:pPr>
              <w:ind w:left="100"/>
              <w:spacing w:after="0"/>
              <w:rPr>
                <w:sz w:val="20"/>
                <w:szCs w:val="20"/>
                <w:color w:val="auto"/>
              </w:rPr>
            </w:pPr>
            <w:r>
              <w:rPr>
                <w:rFonts w:ascii="Arial" w:cs="Arial" w:eastAsia="Arial" w:hAnsi="Arial"/>
                <w:sz w:val="17"/>
                <w:szCs w:val="17"/>
                <w:color w:val="auto"/>
              </w:rPr>
              <w:t>Certification by Chief Executive Officer pursuant to Rule 13a-14(a) of the Exchange Act.</w:t>
            </w:r>
          </w:p>
        </w:tc>
        <w:tc>
          <w:tcPr>
            <w:tcW w:w="2100" w:type="dxa"/>
            <w:vAlign w:val="bottom"/>
            <w:gridSpan w:val="3"/>
          </w:tcPr>
          <w:p>
            <w:pPr>
              <w:ind w:left="240"/>
              <w:spacing w:after="0"/>
              <w:rPr>
                <w:sz w:val="20"/>
                <w:szCs w:val="20"/>
                <w:color w:val="auto"/>
              </w:rPr>
            </w:pPr>
            <w:r>
              <w:rPr>
                <w:rFonts w:ascii="Arial" w:cs="Arial" w:eastAsia="Arial" w:hAnsi="Arial"/>
                <w:sz w:val="17"/>
                <w:szCs w:val="17"/>
                <w:color w:val="auto"/>
              </w:rPr>
              <w:t>Filed Electronically</w:t>
            </w:r>
          </w:p>
        </w:tc>
      </w:tr>
      <w:tr>
        <w:trPr>
          <w:trHeight w:val="215"/>
        </w:trPr>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31.2</w:t>
            </w:r>
          </w:p>
        </w:tc>
        <w:tc>
          <w:tcPr>
            <w:tcW w:w="7380" w:type="dxa"/>
            <w:vAlign w:val="bottom"/>
            <w:gridSpan w:val="3"/>
          </w:tcPr>
          <w:p>
            <w:pPr>
              <w:ind w:left="100"/>
              <w:spacing w:after="0"/>
              <w:rPr>
                <w:sz w:val="20"/>
                <w:szCs w:val="20"/>
                <w:color w:val="auto"/>
              </w:rPr>
            </w:pPr>
            <w:r>
              <w:rPr>
                <w:rFonts w:ascii="Arial" w:cs="Arial" w:eastAsia="Arial" w:hAnsi="Arial"/>
                <w:sz w:val="17"/>
                <w:szCs w:val="17"/>
                <w:color w:val="auto"/>
              </w:rPr>
              <w:t>Certification by Chief Financial Officer pursuant to Rule 13a-14(a) of the Exchange Act.</w:t>
            </w:r>
          </w:p>
        </w:tc>
        <w:tc>
          <w:tcPr>
            <w:tcW w:w="2100" w:type="dxa"/>
            <w:vAlign w:val="bottom"/>
            <w:gridSpan w:val="3"/>
          </w:tcPr>
          <w:p>
            <w:pPr>
              <w:ind w:left="240"/>
              <w:spacing w:after="0"/>
              <w:rPr>
                <w:sz w:val="20"/>
                <w:szCs w:val="20"/>
                <w:color w:val="auto"/>
              </w:rPr>
            </w:pPr>
            <w:r>
              <w:rPr>
                <w:rFonts w:ascii="Arial" w:cs="Arial" w:eastAsia="Arial" w:hAnsi="Arial"/>
                <w:sz w:val="17"/>
                <w:szCs w:val="17"/>
                <w:color w:val="auto"/>
              </w:rPr>
              <w:t>Filed Electronically</w:t>
            </w:r>
          </w:p>
        </w:tc>
      </w:tr>
      <w:tr>
        <w:trPr>
          <w:trHeight w:val="215"/>
        </w:trPr>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32.1</w:t>
            </w:r>
          </w:p>
        </w:tc>
        <w:tc>
          <w:tcPr>
            <w:tcW w:w="7380" w:type="dxa"/>
            <w:vAlign w:val="bottom"/>
            <w:gridSpan w:val="3"/>
          </w:tcPr>
          <w:p>
            <w:pPr>
              <w:ind w:left="100"/>
              <w:spacing w:after="0"/>
              <w:rPr>
                <w:sz w:val="20"/>
                <w:szCs w:val="20"/>
                <w:color w:val="auto"/>
              </w:rPr>
            </w:pPr>
            <w:r>
              <w:rPr>
                <w:rFonts w:ascii="Arial" w:cs="Arial" w:eastAsia="Arial" w:hAnsi="Arial"/>
                <w:sz w:val="17"/>
                <w:szCs w:val="17"/>
                <w:color w:val="auto"/>
              </w:rPr>
              <w:t>Section 1350 Certification by Chief Executive Officer.</w:t>
            </w:r>
          </w:p>
        </w:tc>
        <w:tc>
          <w:tcPr>
            <w:tcW w:w="2100" w:type="dxa"/>
            <w:vAlign w:val="bottom"/>
            <w:gridSpan w:val="3"/>
          </w:tcPr>
          <w:p>
            <w:pPr>
              <w:ind w:left="240"/>
              <w:spacing w:after="0"/>
              <w:rPr>
                <w:sz w:val="20"/>
                <w:szCs w:val="20"/>
                <w:color w:val="auto"/>
              </w:rPr>
            </w:pPr>
            <w:r>
              <w:rPr>
                <w:rFonts w:ascii="Arial" w:cs="Arial" w:eastAsia="Arial" w:hAnsi="Arial"/>
                <w:sz w:val="17"/>
                <w:szCs w:val="17"/>
                <w:color w:val="auto"/>
              </w:rPr>
              <w:t>Filed Electronically</w:t>
            </w:r>
          </w:p>
        </w:tc>
      </w:tr>
      <w:tr>
        <w:trPr>
          <w:trHeight w:val="222"/>
        </w:trPr>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32.2</w:t>
            </w:r>
          </w:p>
        </w:tc>
        <w:tc>
          <w:tcPr>
            <w:tcW w:w="7380" w:type="dxa"/>
            <w:vAlign w:val="bottom"/>
            <w:gridSpan w:val="3"/>
          </w:tcPr>
          <w:p>
            <w:pPr>
              <w:ind w:left="100"/>
              <w:spacing w:after="0"/>
              <w:rPr>
                <w:sz w:val="20"/>
                <w:szCs w:val="20"/>
                <w:color w:val="auto"/>
              </w:rPr>
            </w:pPr>
            <w:r>
              <w:rPr>
                <w:rFonts w:ascii="Arial" w:cs="Arial" w:eastAsia="Arial" w:hAnsi="Arial"/>
                <w:sz w:val="17"/>
                <w:szCs w:val="17"/>
                <w:color w:val="auto"/>
              </w:rPr>
              <w:t>Section 1350 Certification by Chief Financial Officer.</w:t>
            </w:r>
          </w:p>
        </w:tc>
        <w:tc>
          <w:tcPr>
            <w:tcW w:w="2100" w:type="dxa"/>
            <w:vAlign w:val="bottom"/>
            <w:gridSpan w:val="3"/>
          </w:tcPr>
          <w:p>
            <w:pPr>
              <w:ind w:left="240"/>
              <w:spacing w:after="0"/>
              <w:rPr>
                <w:sz w:val="20"/>
                <w:szCs w:val="20"/>
                <w:color w:val="auto"/>
              </w:rPr>
            </w:pPr>
            <w:r>
              <w:rPr>
                <w:rFonts w:ascii="Arial" w:cs="Arial" w:eastAsia="Arial" w:hAnsi="Arial"/>
                <w:sz w:val="17"/>
                <w:szCs w:val="17"/>
                <w:color w:val="auto"/>
              </w:rPr>
              <w:t>Filed Electronically</w:t>
            </w:r>
          </w:p>
        </w:tc>
      </w:tr>
    </w:tbl>
    <w:p>
      <w:pPr>
        <w:spacing w:after="0" w:line="141" w:lineRule="exact"/>
        <w:rPr>
          <w:sz w:val="20"/>
          <w:szCs w:val="20"/>
          <w:color w:val="auto"/>
        </w:rPr>
      </w:pPr>
    </w:p>
    <w:p>
      <w:pPr>
        <w:ind w:left="980" w:hanging="327"/>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Incorporated by reference to Exhibit 3.1 to the Company’s Annual Report on Form 10-K for the year ended September 30, 2001.</w:t>
      </w:r>
    </w:p>
    <w:p>
      <w:pPr>
        <w:spacing w:after="0" w:line="26" w:lineRule="exact"/>
        <w:rPr>
          <w:rFonts w:ascii="Arial" w:cs="Arial" w:eastAsia="Arial" w:hAnsi="Arial"/>
          <w:sz w:val="17"/>
          <w:szCs w:val="17"/>
          <w:color w:val="auto"/>
        </w:rPr>
      </w:pPr>
    </w:p>
    <w:p>
      <w:pPr>
        <w:ind w:left="980" w:hanging="327"/>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Incorporated by reference to Exhibit 3.2 to the Company’s Annual Report on Form 10-K for the year ended October 1, 1995.</w:t>
      </w:r>
    </w:p>
    <w:p>
      <w:pPr>
        <w:spacing w:after="0" w:line="19" w:lineRule="exact"/>
        <w:rPr>
          <w:rFonts w:ascii="Arial" w:cs="Arial" w:eastAsia="Arial" w:hAnsi="Arial"/>
          <w:sz w:val="17"/>
          <w:szCs w:val="17"/>
          <w:color w:val="auto"/>
        </w:rPr>
      </w:pPr>
    </w:p>
    <w:p>
      <w:pPr>
        <w:ind w:left="980" w:hanging="327"/>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Annual Report on Form 10-K for the year ended April 3, 2005.</w:t>
      </w:r>
    </w:p>
    <w:p>
      <w:pPr>
        <w:spacing w:after="0" w:line="19" w:lineRule="exact"/>
        <w:rPr>
          <w:rFonts w:ascii="Arial" w:cs="Arial" w:eastAsia="Arial" w:hAnsi="Arial"/>
          <w:sz w:val="17"/>
          <w:szCs w:val="17"/>
          <w:color w:val="auto"/>
        </w:rPr>
      </w:pPr>
    </w:p>
    <w:p>
      <w:pPr>
        <w:ind w:left="980" w:hanging="327"/>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Incorporated by reference to Item 1.01 of the Company’s Current Report on Form 8-K dated September 21, 2005 and filed September 26, 2005.</w:t>
      </w:r>
    </w:p>
    <w:p>
      <w:pPr>
        <w:spacing w:after="0" w:line="31" w:lineRule="exact"/>
        <w:rPr>
          <w:rFonts w:ascii="Arial" w:cs="Arial" w:eastAsia="Arial" w:hAnsi="Arial"/>
          <w:sz w:val="16"/>
          <w:szCs w:val="16"/>
          <w:color w:val="auto"/>
        </w:rPr>
      </w:pPr>
    </w:p>
    <w:p>
      <w:pPr>
        <w:ind w:left="980" w:hanging="327"/>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Incorporated by reference to Item 1.01 of the Company’s Current Report on Form 8-K dated May 3, 2006 and filed May 8, 2006.</w:t>
      </w:r>
    </w:p>
    <w:p>
      <w:pPr>
        <w:sectPr>
          <w:pgSz w:w="11900" w:h="16838" w:orient="portrait"/>
          <w:cols w:equalWidth="0" w:num="1">
            <w:col w:w="11420"/>
          </w:cols>
          <w:pgMar w:left="240" w:top="131" w:right="239" w:bottom="5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252095</wp:posOffset>
            </wp:positionV>
            <wp:extent cx="725106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ectPr>
          <w:pgSz w:w="11900" w:h="16838" w:orient="portrait"/>
          <w:cols w:equalWidth="0" w:num="1">
            <w:col w:w="11420"/>
          </w:cols>
          <w:pgMar w:left="240" w:top="131" w:right="239" w:bottom="551"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w:t>Exhibit 23.1</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23"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color w:val="auto"/>
        </w:rPr>
        <w:t>We consent to the incorporation by reference in Registration Statement No. 33-41323 on Form S-8 of our reports dated June 13, 2007, relating to the financial statements and financial statement schedule of Hawkins, Inc., and management’s report on the effectiveness of internal control over financial reporting appearing in this Annual Report on Form 10-K of Hawkins, Inc. for the year ended April 1, 2007.</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Minneapolis, Minnesota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June 13,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1462405</wp:posOffset>
            </wp:positionV>
            <wp:extent cx="725106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29" w:name="page30"/>
    <w:bookmarkEnd w:id="29"/>
    <w:p>
      <w:pPr>
        <w:ind w:left="10300"/>
        <w:spacing w:after="0"/>
        <w:rPr>
          <w:sz w:val="20"/>
          <w:szCs w:val="20"/>
          <w:color w:val="auto"/>
        </w:rPr>
      </w:pPr>
      <w:r>
        <w:rPr>
          <w:rFonts w:ascii="Arial" w:cs="Arial" w:eastAsia="Arial" w:hAnsi="Arial"/>
          <w:sz w:val="20"/>
          <w:szCs w:val="20"/>
          <w:b w:val="1"/>
          <w:bCs w:val="1"/>
          <w:color w:val="auto"/>
        </w:rPr>
        <w:t>Exhibit 31.1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jc w:val="center"/>
        <w:spacing w:after="0" w:line="229" w:lineRule="auto"/>
        <w:rPr>
          <w:sz w:val="20"/>
          <w:szCs w:val="20"/>
          <w:color w:val="auto"/>
        </w:rPr>
      </w:pPr>
      <w:r>
        <w:rPr>
          <w:rFonts w:ascii="Arial" w:cs="Arial" w:eastAsia="Arial" w:hAnsi="Arial"/>
          <w:sz w:val="22"/>
          <w:szCs w:val="22"/>
          <w:b w:val="1"/>
          <w:bCs w:val="1"/>
          <w:color w:val="auto"/>
        </w:rPr>
        <w:t>SECTION 302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I, John R. Hawkins, Chief Executive Officer of Hawkins, Inc., certify that:</w:t>
      </w:r>
    </w:p>
    <w:p>
      <w:pPr>
        <w:spacing w:after="0" w:line="235" w:lineRule="exact"/>
        <w:rPr>
          <w:sz w:val="20"/>
          <w:szCs w:val="20"/>
          <w:color w:val="auto"/>
        </w:rPr>
      </w:pPr>
    </w:p>
    <w:p>
      <w:pPr>
        <w:ind w:left="800" w:hanging="309"/>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Hawkins, Inc.;</w:t>
      </w:r>
    </w:p>
    <w:p>
      <w:pPr>
        <w:spacing w:after="0" w:line="234" w:lineRule="exact"/>
        <w:rPr>
          <w:rFonts w:ascii="Arial" w:cs="Arial" w:eastAsia="Arial" w:hAnsi="Arial"/>
          <w:sz w:val="17"/>
          <w:szCs w:val="17"/>
          <w:color w:val="auto"/>
        </w:rPr>
      </w:pPr>
    </w:p>
    <w:p>
      <w:pPr>
        <w:jc w:val="both"/>
        <w:ind w:left="820" w:hanging="329"/>
        <w:spacing w:after="0" w:line="280" w:lineRule="auto"/>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7"/>
          <w:szCs w:val="17"/>
          <w:color w:val="auto"/>
        </w:rPr>
      </w:pPr>
    </w:p>
    <w:p>
      <w:pPr>
        <w:ind w:left="820" w:hanging="329"/>
        <w:spacing w:after="0" w:line="296" w:lineRule="auto"/>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7"/>
          <w:szCs w:val="17"/>
          <w:color w:val="auto"/>
        </w:rPr>
      </w:pPr>
    </w:p>
    <w:p>
      <w:pPr>
        <w:jc w:val="both"/>
        <w:ind w:left="820" w:hanging="329"/>
        <w:spacing w:after="0" w:line="280" w:lineRule="auto"/>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6" w:lineRule="exact"/>
        <w:rPr>
          <w:rFonts w:ascii="Arial" w:cs="Arial" w:eastAsia="Arial" w:hAnsi="Arial"/>
          <w:sz w:val="17"/>
          <w:szCs w:val="17"/>
          <w:color w:val="auto"/>
        </w:rPr>
      </w:pPr>
    </w:p>
    <w:p>
      <w:pPr>
        <w:jc w:val="both"/>
        <w:ind w:left="1140" w:hanging="326"/>
        <w:spacing w:after="0" w:line="280" w:lineRule="auto"/>
        <w:tabs>
          <w:tab w:leader="none" w:pos="11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jc w:val="both"/>
        <w:ind w:left="1140" w:hanging="326"/>
        <w:spacing w:after="0" w:line="280" w:lineRule="auto"/>
        <w:tabs>
          <w:tab w:leader="none" w:pos="11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left="1140" w:hanging="326"/>
        <w:spacing w:after="0" w:line="296" w:lineRule="auto"/>
        <w:tabs>
          <w:tab w:leader="none" w:pos="11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jc w:val="both"/>
        <w:ind w:left="1140" w:hanging="326"/>
        <w:spacing w:after="0" w:line="280" w:lineRule="auto"/>
        <w:tabs>
          <w:tab w:leader="none" w:pos="11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Arial" w:cs="Arial" w:eastAsia="Arial" w:hAnsi="Arial"/>
          <w:sz w:val="17"/>
          <w:szCs w:val="17"/>
          <w:color w:val="auto"/>
        </w:rPr>
      </w:pPr>
    </w:p>
    <w:p>
      <w:pPr>
        <w:ind w:left="820" w:hanging="329"/>
        <w:spacing w:after="0" w:line="296" w:lineRule="auto"/>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7"/>
          <w:szCs w:val="17"/>
          <w:color w:val="auto"/>
        </w:rPr>
      </w:pPr>
    </w:p>
    <w:p>
      <w:pPr>
        <w:ind w:left="1140" w:right="20" w:hanging="326"/>
        <w:spacing w:after="0" w:line="296" w:lineRule="auto"/>
        <w:tabs>
          <w:tab w:leader="none" w:pos="11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7"/>
          <w:szCs w:val="17"/>
          <w:color w:val="auto"/>
        </w:rPr>
      </w:pPr>
    </w:p>
    <w:p>
      <w:pPr>
        <w:ind w:left="1140" w:hanging="326"/>
        <w:spacing w:after="0" w:line="296" w:lineRule="auto"/>
        <w:tabs>
          <w:tab w:leader="none" w:pos="11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Date: June 15, 2007</w:t>
      </w:r>
    </w:p>
    <w:p>
      <w:pPr>
        <w:spacing w:after="0" w:line="26"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13335</wp:posOffset>
            </wp:positionV>
            <wp:extent cx="20485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6"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John R. Hawkins</w:t>
      </w:r>
    </w:p>
    <w:p>
      <w:pPr>
        <w:spacing w:after="0" w:line="26"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387350</wp:posOffset>
            </wp:positionV>
            <wp:extent cx="725106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30" w:name="page31"/>
    <w:bookmarkEnd w:id="30"/>
    <w:p>
      <w:pPr>
        <w:ind w:left="10300"/>
        <w:spacing w:after="0"/>
        <w:rPr>
          <w:sz w:val="20"/>
          <w:szCs w:val="20"/>
          <w:color w:val="auto"/>
        </w:rPr>
      </w:pPr>
      <w:r>
        <w:rPr>
          <w:rFonts w:ascii="Arial" w:cs="Arial" w:eastAsia="Arial" w:hAnsi="Arial"/>
          <w:sz w:val="20"/>
          <w:szCs w:val="20"/>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jc w:val="center"/>
        <w:spacing w:after="0" w:line="229" w:lineRule="auto"/>
        <w:rPr>
          <w:sz w:val="20"/>
          <w:szCs w:val="20"/>
          <w:color w:val="auto"/>
        </w:rPr>
      </w:pPr>
      <w:r>
        <w:rPr>
          <w:rFonts w:ascii="Arial" w:cs="Arial" w:eastAsia="Arial" w:hAnsi="Arial"/>
          <w:sz w:val="22"/>
          <w:szCs w:val="22"/>
          <w:b w:val="1"/>
          <w:bCs w:val="1"/>
          <w:color w:val="auto"/>
        </w:rPr>
        <w:t>SECTION 302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I, Marvin E. Dee, Chief Financial Officer of Hawkins, Inc., certify that:</w:t>
      </w:r>
    </w:p>
    <w:p>
      <w:pPr>
        <w:spacing w:after="0" w:line="235" w:lineRule="exact"/>
        <w:rPr>
          <w:sz w:val="20"/>
          <w:szCs w:val="20"/>
          <w:color w:val="auto"/>
        </w:rPr>
      </w:pPr>
    </w:p>
    <w:p>
      <w:pPr>
        <w:ind w:left="800" w:hanging="309"/>
        <w:spacing w:after="0"/>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Hawkins, Inc.;</w:t>
      </w:r>
    </w:p>
    <w:p>
      <w:pPr>
        <w:spacing w:after="0" w:line="234" w:lineRule="exact"/>
        <w:rPr>
          <w:rFonts w:ascii="Arial" w:cs="Arial" w:eastAsia="Arial" w:hAnsi="Arial"/>
          <w:sz w:val="17"/>
          <w:szCs w:val="17"/>
          <w:color w:val="auto"/>
        </w:rPr>
      </w:pPr>
    </w:p>
    <w:p>
      <w:pPr>
        <w:jc w:val="both"/>
        <w:ind w:left="820" w:hanging="329"/>
        <w:spacing w:after="0" w:line="280" w:lineRule="auto"/>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7"/>
          <w:szCs w:val="17"/>
          <w:color w:val="auto"/>
        </w:rPr>
      </w:pPr>
    </w:p>
    <w:p>
      <w:pPr>
        <w:ind w:left="820" w:hanging="329"/>
        <w:spacing w:after="0" w:line="296" w:lineRule="auto"/>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7"/>
          <w:szCs w:val="17"/>
          <w:color w:val="auto"/>
        </w:rPr>
      </w:pPr>
    </w:p>
    <w:p>
      <w:pPr>
        <w:jc w:val="both"/>
        <w:ind w:left="820" w:hanging="329"/>
        <w:spacing w:after="0" w:line="280" w:lineRule="auto"/>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6" w:lineRule="exact"/>
        <w:rPr>
          <w:rFonts w:ascii="Arial" w:cs="Arial" w:eastAsia="Arial" w:hAnsi="Arial"/>
          <w:sz w:val="17"/>
          <w:szCs w:val="17"/>
          <w:color w:val="auto"/>
        </w:rPr>
      </w:pPr>
    </w:p>
    <w:p>
      <w:pPr>
        <w:jc w:val="both"/>
        <w:ind w:left="1140" w:hanging="326"/>
        <w:spacing w:after="0" w:line="280" w:lineRule="auto"/>
        <w:tabs>
          <w:tab w:leader="none" w:pos="11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jc w:val="both"/>
        <w:ind w:left="1140" w:hanging="326"/>
        <w:spacing w:after="0" w:line="280" w:lineRule="auto"/>
        <w:tabs>
          <w:tab w:leader="none" w:pos="11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left="1140" w:hanging="326"/>
        <w:spacing w:after="0" w:line="296" w:lineRule="auto"/>
        <w:tabs>
          <w:tab w:leader="none" w:pos="11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jc w:val="both"/>
        <w:ind w:left="1140" w:hanging="326"/>
        <w:spacing w:after="0" w:line="280" w:lineRule="auto"/>
        <w:tabs>
          <w:tab w:leader="none" w:pos="11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Arial" w:cs="Arial" w:eastAsia="Arial" w:hAnsi="Arial"/>
          <w:sz w:val="17"/>
          <w:szCs w:val="17"/>
          <w:color w:val="auto"/>
        </w:rPr>
      </w:pPr>
    </w:p>
    <w:p>
      <w:pPr>
        <w:ind w:left="820" w:hanging="329"/>
        <w:spacing w:after="0" w:line="296" w:lineRule="auto"/>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7"/>
          <w:szCs w:val="17"/>
          <w:color w:val="auto"/>
        </w:rPr>
      </w:pPr>
    </w:p>
    <w:p>
      <w:pPr>
        <w:ind w:left="1140" w:right="20" w:hanging="326"/>
        <w:spacing w:after="0" w:line="296" w:lineRule="auto"/>
        <w:tabs>
          <w:tab w:leader="none" w:pos="11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7"/>
          <w:szCs w:val="17"/>
          <w:color w:val="auto"/>
        </w:rPr>
      </w:pPr>
    </w:p>
    <w:p>
      <w:pPr>
        <w:ind w:left="1140" w:hanging="326"/>
        <w:spacing w:after="0" w:line="296" w:lineRule="auto"/>
        <w:tabs>
          <w:tab w:leader="none" w:pos="11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Date: June 15, 2007</w:t>
      </w:r>
    </w:p>
    <w:p>
      <w:pPr>
        <w:spacing w:after="0" w:line="26"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13335</wp:posOffset>
            </wp:positionV>
            <wp:extent cx="20485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6"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Marvin E. Dee</w:t>
      </w:r>
    </w:p>
    <w:p>
      <w:pPr>
        <w:spacing w:after="0" w:line="26"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387350</wp:posOffset>
            </wp:positionV>
            <wp:extent cx="725106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b w:val="1"/>
          <w:bCs w:val="1"/>
          <w:color w:val="auto"/>
        </w:rPr>
        <w:t>Exhibit 32.1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jc w:val="center"/>
        <w:spacing w:after="0" w:line="229" w:lineRule="auto"/>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0" w:lineRule="exact"/>
        <w:rPr>
          <w:sz w:val="20"/>
          <w:szCs w:val="20"/>
          <w:color w:val="auto"/>
        </w:rPr>
      </w:pPr>
    </w:p>
    <w:p>
      <w:pPr>
        <w:spacing w:after="0" w:line="214"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In connection with the Annual Report of Hawkins, Inc. (the Company) on Form 10-K for the period ended April 1, 2007 as filed with the Securities and Exchange Commission on the date hereof (the Report), I, John R. Hawkins, Chief Executive Officer of the Company, certify, pursuant to 18 U.S.C. § 1350, as adopted pursuant to § 906 of the Sarbanes-Oxley Act of 2002, that:</w:t>
      </w:r>
    </w:p>
    <w:p>
      <w:pPr>
        <w:spacing w:after="0" w:line="176" w:lineRule="exact"/>
        <w:rPr>
          <w:sz w:val="20"/>
          <w:szCs w:val="20"/>
          <w:color w:val="auto"/>
        </w:rPr>
      </w:pPr>
    </w:p>
    <w:p>
      <w:pPr>
        <w:ind w:left="900" w:hanging="247"/>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4" w:lineRule="exact"/>
        <w:rPr>
          <w:rFonts w:ascii="Arial" w:cs="Arial" w:eastAsia="Arial" w:hAnsi="Arial"/>
          <w:sz w:val="17"/>
          <w:szCs w:val="17"/>
          <w:color w:val="auto"/>
        </w:rPr>
      </w:pPr>
    </w:p>
    <w:p>
      <w:pPr>
        <w:ind w:left="900" w:hanging="247"/>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6389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38935"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John R. Hawkins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June 15,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1001395</wp:posOffset>
            </wp:positionV>
            <wp:extent cx="725106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t>Exhibit 32.2</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jc w:val="center"/>
        <w:spacing w:after="0" w:line="229" w:lineRule="auto"/>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0" w:lineRule="exact"/>
        <w:rPr>
          <w:sz w:val="20"/>
          <w:szCs w:val="20"/>
          <w:color w:val="auto"/>
        </w:rPr>
      </w:pPr>
    </w:p>
    <w:p>
      <w:pPr>
        <w:spacing w:after="0" w:line="214" w:lineRule="exact"/>
        <w:rPr>
          <w:sz w:val="20"/>
          <w:szCs w:val="20"/>
          <w:color w:val="auto"/>
        </w:rPr>
      </w:pPr>
    </w:p>
    <w:p>
      <w:pPr>
        <w:jc w:val="both"/>
        <w:ind w:right="60"/>
        <w:spacing w:after="0" w:line="280" w:lineRule="auto"/>
        <w:rPr>
          <w:sz w:val="20"/>
          <w:szCs w:val="20"/>
          <w:color w:val="auto"/>
        </w:rPr>
      </w:pPr>
      <w:r>
        <w:rPr>
          <w:rFonts w:ascii="Arial" w:cs="Arial" w:eastAsia="Arial" w:hAnsi="Arial"/>
          <w:sz w:val="17"/>
          <w:szCs w:val="17"/>
          <w:color w:val="auto"/>
        </w:rPr>
        <w:t>In connection with the Annual Report of Hawkins, Inc. (the Company) on Form 10-K for the period ended April 1, 2007 as filed with the Securities and Exchange Commission on the date hereof (the Report), I, Marvin E. Dee, Chief Financial Officer of the Company, certify, pursuant to 18 U.S.C. § 1350, as adopted pursuant to § 906 of the Sarbanes-Oxley Act of 2002, that:</w:t>
      </w:r>
    </w:p>
    <w:p>
      <w:pPr>
        <w:spacing w:after="0" w:line="176" w:lineRule="exact"/>
        <w:rPr>
          <w:sz w:val="20"/>
          <w:szCs w:val="20"/>
          <w:color w:val="auto"/>
        </w:rPr>
      </w:pPr>
    </w:p>
    <w:p>
      <w:pPr>
        <w:ind w:left="900" w:hanging="247"/>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4" w:lineRule="exact"/>
        <w:rPr>
          <w:rFonts w:ascii="Arial" w:cs="Arial" w:eastAsia="Arial" w:hAnsi="Arial"/>
          <w:sz w:val="17"/>
          <w:szCs w:val="17"/>
          <w:color w:val="auto"/>
        </w:rPr>
      </w:pPr>
    </w:p>
    <w:p>
      <w:pPr>
        <w:ind w:left="900" w:hanging="247"/>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6389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38935"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Marvin E. Dee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June 15,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1001395</wp:posOffset>
            </wp:positionV>
            <wp:extent cx="725106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sectPr>
      <w:pgSz w:w="11900" w:h="16838" w:orient="portrait"/>
      <w:cols w:equalWidth="0" w:num="1">
        <w:col w:w="11420"/>
      </w:cols>
      <w:pgMar w:left="240" w:top="3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
    <w:nsid w:val="1190CDE7"/>
    <w:multiLevelType w:val="hybridMultilevel"/>
    <w:lvl w:ilvl="0">
      <w:lvlJc w:val="left"/>
      <w:lvlText w:val="(%1)"/>
      <w:numFmt w:val="upperLetter"/>
      <w:start w:val="3"/>
    </w:lvl>
  </w:abstractNum>
  <w:abstractNum w:abstractNumId="2">
    <w:nsid w:val="66EF438D"/>
    <w:multiLevelType w:val="hybridMultilevel"/>
    <w:lvl w:ilvl="0">
      <w:lvlJc w:val="left"/>
      <w:lvlText w:val="(%1)"/>
      <w:numFmt w:val="lowerRoman"/>
      <w:start w:val="2"/>
    </w:lvl>
  </w:abstractNum>
  <w:abstractNum w:abstractNumId="3">
    <w:nsid w:val="140E0F76"/>
    <w:multiLevelType w:val="hybridMultilevel"/>
    <w:lvl w:ilvl="0">
      <w:lvlJc w:val="left"/>
      <w:lvlText w:val="%1"/>
      <w:numFmt w:val="lowerLetter"/>
      <w:start w:val="1"/>
    </w:lvl>
    <w:lvl w:ilvl="1">
      <w:lvlJc w:val="left"/>
      <w:lvlText w:val="(%2)"/>
      <w:numFmt w:val="lowerRoman"/>
      <w:start w:val="7"/>
    </w:lvl>
  </w:abstractNum>
  <w:abstractNum w:abstractNumId="4">
    <w:nsid w:val="3352255A"/>
    <w:multiLevelType w:val="hybridMultilevel"/>
    <w:lvl w:ilvl="0">
      <w:lvlJc w:val="left"/>
      <w:lvlText w:val="(%1)"/>
      <w:numFmt w:val="lowerLetter"/>
      <w:start w:val="4"/>
    </w:lvl>
    <w:lvl w:ilvl="1">
      <w:lvlJc w:val="left"/>
      <w:lvlText w:val="%2"/>
      <w:numFmt w:val="lowerRoman"/>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2"/>
    </w:lvl>
  </w:abstractNum>
  <w:abstractNum w:abstractNumId="9">
    <w:nsid w:val="41A7C4C9"/>
    <w:multiLevelType w:val="hybridMultilevel"/>
    <w:lvl w:ilvl="0">
      <w:lvlJc w:val="left"/>
      <w:lvlText w:val="%1."/>
      <w:numFmt w:val="decimal"/>
      <w:start w:val="3"/>
    </w:lvl>
  </w:abstractNum>
  <w:abstractNum w:abstractNumId="10">
    <w:nsid w:val="6B68079A"/>
    <w:multiLevelType w:val="hybridMultilevel"/>
    <w:lvl w:ilvl="0">
      <w:lvlJc w:val="left"/>
      <w:lvlText w:val="%1."/>
      <w:numFmt w:val="decimal"/>
      <w:start w:val="4"/>
    </w:lvl>
  </w:abstractNum>
  <w:abstractNum w:abstractNumId="11">
    <w:nsid w:val="4E6AFB66"/>
    <w:multiLevelType w:val="hybridMultilevel"/>
    <w:lvl w:ilvl="0">
      <w:lvlJc w:val="left"/>
      <w:lvlText w:val="%1."/>
      <w:numFmt w:val="decimal"/>
      <w:start w:val="5"/>
    </w:lvl>
    <w:lvl w:ilvl="1">
      <w:lvlJc w:val="left"/>
      <w:lvlText w:val="**"/>
      <w:numFmt w:val="bullet"/>
      <w:start w:val="1"/>
    </w:lvl>
  </w:abstractNum>
  <w:abstractNum w:abstractNumId="12">
    <w:nsid w:val="25E45D32"/>
    <w:multiLevelType w:val="hybridMultilevel"/>
    <w:lvl w:ilvl="0">
      <w:lvlJc w:val="left"/>
      <w:lvlText w:val="%1."/>
      <w:numFmt w:val="decimal"/>
      <w:start w:val="7"/>
    </w:lvl>
  </w:abstractNum>
  <w:abstractNum w:abstractNumId="13">
    <w:nsid w:val="519B500D"/>
    <w:multiLevelType w:val="hybridMultilevel"/>
    <w:lvl w:ilvl="0">
      <w:lvlJc w:val="left"/>
      <w:lvlText w:val="%1."/>
      <w:numFmt w:val="decimal"/>
      <w:start w:val="9"/>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2019-12-13T01:47:13Z</dcterms:created>
  <dcterms:modified xsi:type="dcterms:W3CDTF">2019-12-13T01:47:13Z</dcterms:modified>
</cp:coreProperties>
</file>