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440"/>
        <w:spacing w:after="0"/>
        <w:tabs>
          <w:tab w:leader="none" w:pos="4060" w:val="left"/>
        </w:tabs>
        <w:rPr>
          <w:sz w:val="20"/>
          <w:szCs w:val="20"/>
          <w:color w:val="auto"/>
        </w:rPr>
      </w:pPr>
      <w:r>
        <w:rPr>
          <w:rFonts w:ascii="Courier New" w:cs="Courier New" w:eastAsia="Courier New" w:hAnsi="Courier New"/>
          <w:sz w:val="14"/>
          <w:szCs w:val="14"/>
          <w:color w:val="auto"/>
        </w:rPr>
        <w:t>Washington, D. C.</w:t>
        <w:tab/>
        <w:t>20549</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 - - - - - - - - - - - -</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ANNUAL REPORT PURSUANT TO SECTION 13 OR 15(d) OF</w:t>
      </w:r>
    </w:p>
    <w:p>
      <w:pPr>
        <w:spacing w:after="0" w:line="8"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September 28, 1997, Commission File No. 0-7647</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HAWKINS CHEMICAL,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4" w:right="1440" w:bottom="1440" w:gutter="0" w:footer="0" w:header="0"/>
        </w:sectPr>
      </w:pP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MINNESOTA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41-0771293</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75" w:lineRule="exact"/>
        <w:rPr>
          <w:sz w:val="24"/>
          <w:szCs w:val="24"/>
          <w:color w:val="auto"/>
        </w:rPr>
      </w:pPr>
    </w:p>
    <w:p>
      <w:pPr>
        <w:sectPr>
          <w:pgSz w:w="11900" w:h="16838" w:orient="portrait"/>
          <w:cols w:equalWidth="0" w:num="2">
            <w:col w:w="2760" w:space="720"/>
            <w:col w:w="6759"/>
          </w:cols>
          <w:pgMar w:left="220" w:top="564" w:right="1440" w:bottom="1440" w:gutter="0" w:footer="0" w:header="0"/>
          <w:type w:val="continuous"/>
        </w:sectPr>
      </w:pPr>
    </w:p>
    <w:p>
      <w:pPr>
        <w:spacing w:after="0"/>
        <w:tabs>
          <w:tab w:leader="none" w:pos="5200" w:val="left"/>
        </w:tabs>
        <w:rPr>
          <w:sz w:val="20"/>
          <w:szCs w:val="20"/>
          <w:color w:val="auto"/>
        </w:rPr>
      </w:pPr>
      <w:r>
        <w:rPr>
          <w:rFonts w:ascii="Courier New" w:cs="Courier New" w:eastAsia="Courier New" w:hAnsi="Courier New"/>
          <w:sz w:val="14"/>
          <w:szCs w:val="14"/>
          <w:color w:val="auto"/>
        </w:rPr>
        <w:t>3100 East Hennepin Avenue, Minneapolis, Minnesota</w:t>
      </w:r>
      <w:r>
        <w:rPr>
          <w:sz w:val="20"/>
          <w:szCs w:val="20"/>
          <w:color w:val="auto"/>
        </w:rPr>
        <w:tab/>
      </w:r>
      <w:r>
        <w:rPr>
          <w:rFonts w:ascii="Courier New" w:cs="Courier New" w:eastAsia="Courier New" w:hAnsi="Courier New"/>
          <w:sz w:val="14"/>
          <w:szCs w:val="14"/>
          <w:color w:val="auto"/>
        </w:rPr>
        <w:t>55413</w:t>
      </w:r>
    </w:p>
    <w:p>
      <w:pPr>
        <w:sectPr>
          <w:pgSz w:w="11900" w:h="16838" w:orient="portrait"/>
          <w:cols w:equalWidth="0" w:num="1">
            <w:col w:w="10239"/>
          </w:cols>
          <w:pgMar w:left="220" w:top="564" w:right="1440"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476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(612) 331-6910</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5" w:lineRule="exact"/>
        <w:rPr>
          <w:sz w:val="24"/>
          <w:szCs w:val="24"/>
          <w:color w:val="auto"/>
        </w:rPr>
      </w:pPr>
    </w:p>
    <w:p>
      <w:pPr>
        <w:ind w:right="4579"/>
        <w:spacing w:after="0" w:line="258" w:lineRule="auto"/>
        <w:rPr>
          <w:sz w:val="20"/>
          <w:szCs w:val="20"/>
          <w:color w:val="auto"/>
        </w:rPr>
      </w:pPr>
      <w:r>
        <w:rPr>
          <w:rFonts w:ascii="Courier New" w:cs="Courier New" w:eastAsia="Courier New" w:hAnsi="Courier New"/>
          <w:sz w:val="14"/>
          <w:szCs w:val="14"/>
          <w:color w:val="auto"/>
        </w:rPr>
        <w:t>Securities registered pursuant to Section 12(b) of the Act: NONE Securities registered pursuant to Section 12(g)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Common Stock,</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Par Value $.05 per share</w:t>
            </w:r>
          </w:p>
        </w:tc>
      </w:tr>
      <w:tr>
        <w:trPr>
          <w:trHeight w:val="167"/>
        </w:trPr>
        <w:tc>
          <w:tcPr>
            <w:tcW w:w="1780" w:type="dxa"/>
            <w:vAlign w:val="bottom"/>
          </w:tcPr>
          <w:p>
            <w:pPr>
              <w:spacing w:after="0"/>
              <w:rPr>
                <w:sz w:val="14"/>
                <w:szCs w:val="14"/>
                <w:color w:val="auto"/>
              </w:rPr>
            </w:pPr>
          </w:p>
        </w:tc>
        <w:tc>
          <w:tcPr>
            <w:tcW w:w="51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14"/>
                <w:szCs w:val="14"/>
                <w:color w:val="auto"/>
              </w:rPr>
            </w:pPr>
          </w:p>
        </w:tc>
        <w:tc>
          <w:tcPr>
            <w:tcW w:w="27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(Title of Class)</w:t>
            </w:r>
          </w:p>
        </w:tc>
        <w:tc>
          <w:tcPr>
            <w:tcW w:w="2480" w:type="dxa"/>
            <w:vAlign w:val="bottom"/>
          </w:tcPr>
          <w:p>
            <w:pPr>
              <w:spacing w:after="0"/>
              <w:rPr>
                <w:sz w:val="14"/>
                <w:szCs w:val="14"/>
                <w:color w:val="auto"/>
              </w:rPr>
            </w:pPr>
          </w:p>
        </w:tc>
      </w:tr>
      <w:tr>
        <w:trPr>
          <w:trHeight w:val="334"/>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Indicate by check mark whether the</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Registrant</w:t>
            </w:r>
          </w:p>
        </w:tc>
        <w:tc>
          <w:tcPr>
            <w:tcW w:w="3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 has filed all reports required</w:t>
            </w:r>
          </w:p>
        </w:tc>
      </w:tr>
      <w:tr>
        <w:trPr>
          <w:trHeight w:val="167"/>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to be filed by Section 13 or 15(d)</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the Securities Exchange Act of 1934 during</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the preceding twelve</w:t>
            </w:r>
          </w:p>
        </w:tc>
        <w:tc>
          <w:tcPr>
            <w:tcW w:w="51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months (or for such shorter period that the Registrant was</w:t>
            </w:r>
          </w:p>
        </w:tc>
      </w:tr>
      <w:tr>
        <w:trPr>
          <w:trHeight w:val="167"/>
        </w:trPr>
        <w:tc>
          <w:tcPr>
            <w:tcW w:w="3000" w:type="dxa"/>
            <w:vAlign w:val="bottom"/>
            <w:gridSpan w:val="2"/>
          </w:tcPr>
          <w:p>
            <w:pPr>
              <w:spacing w:after="0"/>
              <w:rPr>
                <w:sz w:val="20"/>
                <w:szCs w:val="20"/>
                <w:color w:val="auto"/>
              </w:rPr>
            </w:pPr>
            <w:r>
              <w:rPr>
                <w:rFonts w:ascii="Courier New" w:cs="Courier New" w:eastAsia="Courier New" w:hAnsi="Courier New"/>
                <w:sz w:val="14"/>
                <w:szCs w:val="14"/>
                <w:color w:val="auto"/>
              </w:rPr>
              <w:t>required to file such reports) and</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 has been subject to such filing</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requirements for the</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past 90 days.</w:t>
            </w:r>
          </w:p>
        </w:tc>
        <w:tc>
          <w:tcPr>
            <w:tcW w:w="920" w:type="dxa"/>
            <w:vAlign w:val="bottom"/>
          </w:tcPr>
          <w:p>
            <w:pPr>
              <w:ind w:left="480"/>
              <w:spacing w:after="0"/>
              <w:rPr>
                <w:sz w:val="20"/>
                <w:szCs w:val="20"/>
                <w:color w:val="auto"/>
              </w:rPr>
            </w:pPr>
            <w:r>
              <w:rPr>
                <w:rFonts w:ascii="Courier New" w:cs="Courier New" w:eastAsia="Courier New" w:hAnsi="Courier New"/>
                <w:sz w:val="14"/>
                <w:szCs w:val="14"/>
                <w:color w:val="auto"/>
              </w:rPr>
              <w:t>Yes</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X</w:t>
            </w:r>
          </w:p>
        </w:tc>
        <w:tc>
          <w:tcPr>
            <w:tcW w:w="248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No</w:t>
            </w:r>
          </w:p>
        </w:tc>
      </w:tr>
      <w:tr>
        <w:trPr>
          <w:trHeight w:val="167"/>
        </w:trPr>
        <w:tc>
          <w:tcPr>
            <w:tcW w:w="1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248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63"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on November 30, 1997, was $72,600,295. For purposes of this calculation, all shares held by officers and directors of the Registrant and by the Trustees of the Registrant's Employee Stock Ownership Plan and Money Purchase Pension Plan were deemed to be shares held by affiliates.</w:t>
      </w:r>
    </w:p>
    <w:p>
      <w:pPr>
        <w:spacing w:after="0" w:line="162" w:lineRule="exact"/>
        <w:rPr>
          <w:sz w:val="24"/>
          <w:szCs w:val="24"/>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number of shares outstanding of the Registrant's only class of common stock on November 30, 1997, was 11,603,895.</w:t>
      </w:r>
    </w:p>
    <w:p>
      <w:pPr>
        <w:sectPr>
          <w:pgSz w:w="11900" w:h="16838" w:orient="portrait"/>
          <w:cols w:equalWidth="0" w:num="1">
            <w:col w:w="10239"/>
          </w:cols>
          <w:pgMar w:left="220" w:top="564" w:right="1440" w:bottom="1440" w:gutter="0" w:footer="0" w:header="0"/>
          <w:type w:val="continuous"/>
        </w:sectPr>
      </w:pPr>
    </w:p>
    <w:bookmarkStart w:id="1" w:name="page2"/>
    <w:bookmarkEnd w:id="1"/>
    <w:p>
      <w:pPr>
        <w:jc w:val="center"/>
        <w:ind w:right="317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portions of the Registrant's Annual Report to Shareholders for the year ended September 28, 1997 (which portions are filed as an exhibit to this Form 10-K in accordance with Item 601(b)(13)(ii) of Regulation S-K) and Proxy Statement for the 1998 Annual Meeting of Shareholders (to be filed with the Commission on January 5, 1998) are incorporated by the reference below as the Item of this Form l0-K indicated.</w:t>
      </w:r>
    </w:p>
    <w:p>
      <w:pPr>
        <w:sectPr>
          <w:pgSz w:w="11900" w:h="16838" w:orient="portrait"/>
          <w:cols w:equalWidth="0" w:num="1">
            <w:col w:w="10239"/>
          </w:cols>
          <w:pgMar w:left="220" w:top="620"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of Form 10-K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 Item 5.</w:t>
      </w:r>
    </w:p>
    <w:p>
      <w:pPr>
        <w:spacing w:after="0" w:line="8" w:lineRule="exact"/>
        <w:rPr>
          <w:rFonts w:ascii="Courier New" w:cs="Courier New" w:eastAsia="Courier New" w:hAnsi="Courier New"/>
          <w:sz w:val="14"/>
          <w:szCs w:val="14"/>
          <w:color w:val="auto"/>
        </w:rPr>
      </w:pPr>
    </w:p>
    <w:p>
      <w:pPr>
        <w:jc w:val="both"/>
        <w:ind w:left="440" w:right="10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Market for Registrant's Common Equity and Related Stockholder Matters.</w:t>
      </w:r>
    </w:p>
    <w:p>
      <w:pPr>
        <w:spacing w:after="0" w:line="162" w:lineRule="exact"/>
        <w:rPr>
          <w:rFonts w:ascii="Courier New" w:cs="Courier New" w:eastAsia="Courier New" w:hAnsi="Courier New"/>
          <w:sz w:val="14"/>
          <w:szCs w:val="14"/>
          <w:color w:val="auto"/>
        </w:rPr>
      </w:pPr>
    </w:p>
    <w:p>
      <w:pPr>
        <w:ind w:left="440" w:right="620"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 Item 6. Selected Financial Data.</w:t>
      </w:r>
    </w:p>
    <w:p>
      <w:pPr>
        <w:spacing w:after="0" w:line="159" w:lineRule="exact"/>
        <w:rPr>
          <w:rFonts w:ascii="Courier New" w:cs="Courier New" w:eastAsia="Courier New" w:hAnsi="Courier New"/>
          <w:sz w:val="14"/>
          <w:szCs w:val="14"/>
          <w:color w:val="auto"/>
        </w:rPr>
      </w:pPr>
    </w:p>
    <w:p>
      <w:pPr>
        <w:ind w:left="440" w:hanging="431"/>
        <w:spacing w:after="0" w:line="254"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 Item 7. Management's Discussion and Analysis of Financial Condition and Results of Operations</w:t>
      </w:r>
    </w:p>
    <w:p>
      <w:pPr>
        <w:spacing w:after="0" w:line="163" w:lineRule="exact"/>
        <w:rPr>
          <w:rFonts w:ascii="Courier New" w:cs="Courier New" w:eastAsia="Courier New" w:hAnsi="Courier New"/>
          <w:sz w:val="14"/>
          <w:szCs w:val="14"/>
          <w:color w:val="auto"/>
        </w:rPr>
      </w:pPr>
    </w:p>
    <w:p>
      <w:pPr>
        <w:ind w:left="440" w:right="620" w:hanging="431"/>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 w:right="360" w:hanging="431"/>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III, Item 10. Directors and Executive Officers of the Registrant.</w:t>
      </w:r>
    </w:p>
    <w:p>
      <w:pPr>
        <w:spacing w:after="0" w:line="162" w:lineRule="exact"/>
        <w:rPr>
          <w:rFonts w:ascii="Courier New" w:cs="Courier New" w:eastAsia="Courier New" w:hAnsi="Courier New"/>
          <w:sz w:val="14"/>
          <w:szCs w:val="14"/>
          <w:color w:val="auto"/>
        </w:rPr>
      </w:pPr>
    </w:p>
    <w:p>
      <w:pPr>
        <w:ind w:left="440" w:right="700" w:hanging="431"/>
        <w:spacing w:after="0" w:line="25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III, Item 11. Executive Compensation.</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440" w:right="520" w:hanging="431"/>
        <w:spacing w:after="0" w:line="254"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III, Item 12. Security Ownership of Certain Beneficial Owners and Management.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Portion of Annual Report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639" w:hanging="439"/>
        <w:spacing w:after="0" w:line="258"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caption entitled "Quarterly Stock Data."</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440" w:right="3719" w:hanging="439"/>
        <w:spacing w:after="0" w:line="258"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caption entitled "Selected Financial Data."</w:t>
      </w:r>
    </w:p>
    <w:p>
      <w:pPr>
        <w:spacing w:after="0" w:line="159" w:lineRule="exact"/>
        <w:rPr>
          <w:rFonts w:ascii="Courier New" w:cs="Courier New" w:eastAsia="Courier New" w:hAnsi="Courier New"/>
          <w:sz w:val="14"/>
          <w:szCs w:val="14"/>
          <w:color w:val="auto"/>
        </w:rPr>
      </w:pPr>
    </w:p>
    <w:p>
      <w:pPr>
        <w:ind w:left="440" w:right="3379" w:hanging="439"/>
        <w:spacing w:after="0" w:line="258"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caption entitled "Management's Discussion and Analysis."</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440" w:right="3459" w:hanging="439"/>
        <w:spacing w:after="0" w:line="253"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Consolidated Balance Sheets, Consolidated Statements of Income &amp; Retained Earnings, Consolidated Statements of Cash Flows, Notes to Consolidated Financial Statements, and Independent Auditors' Report.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Portion of Proxy Statement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60" w:right="3799" w:hanging="425"/>
        <w:spacing w:after="0" w:line="258"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caption entitled "Election of Directors."</w:t>
      </w:r>
    </w:p>
    <w:p>
      <w:pPr>
        <w:spacing w:after="0" w:line="326" w:lineRule="exact"/>
        <w:rPr>
          <w:rFonts w:ascii="Courier New" w:cs="Courier New" w:eastAsia="Courier New" w:hAnsi="Courier New"/>
          <w:sz w:val="14"/>
          <w:szCs w:val="14"/>
          <w:color w:val="auto"/>
        </w:rPr>
      </w:pPr>
    </w:p>
    <w:p>
      <w:pPr>
        <w:ind w:left="860" w:right="3899" w:hanging="425"/>
        <w:spacing w:after="0" w:line="254"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caption entitled "Compensation of Execu-tive Officers and Directors."</w:t>
      </w:r>
    </w:p>
    <w:p>
      <w:pPr>
        <w:spacing w:after="0" w:line="163" w:lineRule="exact"/>
        <w:rPr>
          <w:rFonts w:ascii="Courier New" w:cs="Courier New" w:eastAsia="Courier New" w:hAnsi="Courier New"/>
          <w:sz w:val="14"/>
          <w:szCs w:val="14"/>
          <w:color w:val="auto"/>
        </w:rPr>
      </w:pPr>
    </w:p>
    <w:p>
      <w:pPr>
        <w:ind w:left="860" w:right="3719" w:hanging="425"/>
        <w:spacing w:after="0" w:line="254"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caption entitled "Security Ownership of Management and Beneficial Ownership."</w:t>
      </w:r>
    </w:p>
    <w:p>
      <w:pPr>
        <w:spacing w:after="0" w:line="200" w:lineRule="exact"/>
        <w:rPr>
          <w:sz w:val="20"/>
          <w:szCs w:val="20"/>
          <w:color w:val="auto"/>
        </w:rPr>
      </w:pPr>
    </w:p>
    <w:p>
      <w:pPr>
        <w:sectPr>
          <w:pgSz w:w="11900" w:h="16838" w:orient="portrait"/>
          <w:cols w:equalWidth="0" w:num="2">
            <w:col w:w="3140" w:space="340"/>
            <w:col w:w="6759"/>
          </w:cols>
          <w:pgMar w:left="220" w:top="620" w:right="1440" w:bottom="1440" w:gutter="0" w:footer="0" w:header="0"/>
          <w:type w:val="continuous"/>
        </w:sectPr>
      </w:pPr>
    </w:p>
    <w:p>
      <w:pPr>
        <w:spacing w:after="0" w:line="1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2" w:name="page3"/>
    <w:bookmarkEnd w:id="2"/>
    <w:p>
      <w:pPr>
        <w:spacing w:after="0"/>
        <w:tabs>
          <w:tab w:leader="none" w:pos="420" w:val="left"/>
        </w:tabs>
        <w:rPr>
          <w:sz w:val="20"/>
          <w:szCs w:val="20"/>
          <w:color w:val="auto"/>
        </w:rPr>
      </w:pPr>
      <w:r>
        <w:rPr>
          <w:rFonts w:ascii="Courier New" w:cs="Courier New" w:eastAsia="Courier New" w:hAnsi="Courier New"/>
          <w:sz w:val="14"/>
          <w:szCs w:val="14"/>
          <w:color w:val="auto"/>
        </w:rPr>
        <w:t>8.</w:t>
        <w:tab/>
        <w:t>Part III, Item 13.</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Certain Relationships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Related Transactions.</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4"/>
          <w:szCs w:val="14"/>
          <w:color w:val="auto"/>
        </w:rPr>
        <w:t>8.</w:t>
        <w:tab/>
        <w:t>See captions entitled</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"Election of Directors"</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"Related Party</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Transactions."</w:t>
      </w:r>
    </w:p>
    <w:p>
      <w:pPr>
        <w:spacing w:after="0" w:line="200" w:lineRule="exact"/>
        <w:rPr>
          <w:sz w:val="20"/>
          <w:szCs w:val="20"/>
          <w:color w:val="auto"/>
        </w:rPr>
      </w:pPr>
    </w:p>
    <w:p>
      <w:pPr>
        <w:sectPr>
          <w:pgSz w:w="11900" w:h="16838" w:orient="portrait"/>
          <w:cols w:equalWidth="0" w:num="2">
            <w:col w:w="3200" w:space="720"/>
            <w:col w:w="6319"/>
          </w:cols>
          <w:pgMar w:left="220" w:top="620" w:right="1440" w:bottom="1440" w:gutter="0" w:footer="0" w:header="0"/>
        </w:sectPr>
      </w:pPr>
    </w:p>
    <w:p>
      <w:pPr>
        <w:spacing w:after="0" w:line="1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ectPr>
          <w:pgSz w:w="11900" w:h="16838" w:orient="portrait"/>
          <w:cols w:equalWidth="0" w:num="1">
            <w:col w:w="10239"/>
          </w:cols>
          <w:pgMar w:left="220" w:top="620" w:right="1440" w:bottom="1440" w:gutter="0" w:footer="0" w:header="0"/>
          <w:type w:val="continuous"/>
        </w:sectPr>
      </w:pPr>
    </w:p>
    <w:p>
      <w:pPr>
        <w:spacing w:after="0" w:line="34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ind w:right="3279" w:firstLine="443"/>
        <w:spacing w:after="0" w:line="253" w:lineRule="auto"/>
        <w:tabs>
          <w:tab w:leader="none" w:pos="86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THE BUSINESS. The Registrant was incorporated under the laws of the State of Minnesota in 1955. In the past year the Registrant has not changed its form of organization or mode of conducting business and has not acquired or disposed of any material amount of assets other than in the ordinary course of business. Following the end of fiscal 1997, on October 1, 1997 the Registrant merged three of its former subsidiaries, Feed-Rite Controls, Inc., Mon-Dak Chemical, Inc., Dakota Chemical, Inc., and its Arrowhead Chemical Division together to form a single wholly owned subsidiary known as Hawkins Water Treatment Group, Inc.</w:t>
      </w:r>
    </w:p>
    <w:p>
      <w:pPr>
        <w:spacing w:after="0" w:line="331" w:lineRule="exact"/>
        <w:rPr>
          <w:rFonts w:ascii="Courier New" w:cs="Courier New" w:eastAsia="Courier New" w:hAnsi="Courier New"/>
          <w:sz w:val="14"/>
          <w:szCs w:val="14"/>
          <w:color w:val="auto"/>
        </w:rPr>
      </w:pPr>
    </w:p>
    <w:p>
      <w:pPr>
        <w:ind w:right="3459" w:firstLine="443"/>
        <w:spacing w:after="0" w:line="253" w:lineRule="auto"/>
        <w:tabs>
          <w:tab w:leader="none" w:pos="86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INDUSTRY SEGMENTS. Although the Registrant operates through several divisions and subsidiaries, its principal business is the formulation, blending and distribution of bulk specialty chemicals. Throughout its operations the Registrant provides related products and services which share similar raw materials, production methods and distribution channels. In the judgment of the Registrant, therefore, it is operating in a single industry segment.</w:t>
      </w:r>
    </w:p>
    <w:p>
      <w:pPr>
        <w:spacing w:after="0" w:line="164"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THE BUSINESS.</w:t>
      </w:r>
    </w:p>
    <w:p>
      <w:pPr>
        <w:spacing w:after="0" w:line="175" w:lineRule="exact"/>
        <w:rPr>
          <w:sz w:val="20"/>
          <w:szCs w:val="20"/>
          <w:color w:val="auto"/>
        </w:rPr>
      </w:pPr>
    </w:p>
    <w:p>
      <w:pPr>
        <w:ind w:right="3459" w:firstLine="443"/>
        <w:spacing w:after="0" w:line="254" w:lineRule="auto"/>
        <w:tabs>
          <w:tab w:leader="none" w:pos="86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PRODUCTS AND MARKETS. The Registrant's business is conducted throughout the nine-state area of Minnesota, Wisconsin, Iowa, North Dakota, South Dakota, Montana, Nebraska, Michigan and Wyoming through its wholly owned subsidiary and three divisions described below:</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HAWKINS WATER TREATMENT GROUP, INC. This wholly owned subsidiary specializes in providing water and waste-water treatment equipment and chemicals and in services relating to the testing of water samples in Minnesota, Wisconsin, Iowa, North Dakota, South Dakota, Nebraska and Wyoming. It also operates as a distributor of the Registrant's products, and a regional distributor of laundry, dry cleaning, and janitorial supplies in Montana, Wyoming, the Dakotas, Minnesota, northern Wisconsin and the upper peninsula of Michigan.</w:t>
      </w:r>
    </w:p>
    <w:p>
      <w:pPr>
        <w:spacing w:after="0" w:line="164" w:lineRule="exact"/>
        <w:rPr>
          <w:rFonts w:ascii="Courier New" w:cs="Courier New" w:eastAsia="Courier New" w:hAnsi="Courier New"/>
          <w:sz w:val="14"/>
          <w:szCs w:val="14"/>
          <w:color w:val="auto"/>
        </w:rPr>
      </w:pPr>
    </w:p>
    <w:p>
      <w:pPr>
        <w:ind w:left="440" w:right="3539" w:firstLine="437"/>
        <w:spacing w:after="0" w:line="253" w:lineRule="auto"/>
        <w:tabs>
          <w:tab w:leader="none" w:pos="1308"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HAWKINS TERMINAL DIVISION. This division receives, stores and distributes various chemicals in bulk, including liquid caustic soda, phosphoric acid and aqua ammonia; manufactures sodium hypochlorite (bleach); repackages liquid chlorine; and performs custom blending of certain chemicals for customers according to customer formulas. Approximately 80% of the business of the Hawkins Terminal Division is related to liquid caustic soda. Hawkins Terminal Division operates a liquid caustic soda barge terminal to receive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3" w:name="page4"/>
    <w:bookmarkEnd w:id="3"/>
    <w:p>
      <w:pPr>
        <w:ind w:right="3379"/>
        <w:spacing w:after="0" w:line="253" w:lineRule="auto"/>
        <w:rPr>
          <w:sz w:val="20"/>
          <w:szCs w:val="20"/>
          <w:color w:val="auto"/>
        </w:rPr>
      </w:pPr>
      <w:r>
        <w:rPr>
          <w:rFonts w:ascii="Courier New" w:cs="Courier New" w:eastAsia="Courier New" w:hAnsi="Courier New"/>
          <w:sz w:val="14"/>
          <w:szCs w:val="14"/>
          <w:color w:val="auto"/>
        </w:rPr>
        <w:t>shipments during the period the Mississippi River is open to barge traffic (approximately April 1 through November 15). During the remainder of the year the Division relies on stockpiles, as well as supplies shipped in by railroad tank car. Pursuant to operating agreements it has with other chemical companies, the Registrant also receives, stores and ships liquid caustic soda and other chemicals at both the Hawkins "Terminal 1" location and its "Terminal 2" site which is located across the river and downstream from Terminal 1.</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Since 1963, flooding of the Mississippi River has required the Hawkins Terminal Division to temporarily shift its operations out of its buildings three times, the most recent being in April of 1997. No substantial interruptions to sales resulted from the floods because railroad tank cars were successfully used as an alternative means of supply. Although the use of tank cars resulted in additional costs, results of operations were not materially impacted. For approximately two weeks in 1997, the areas around the Registrant's terminal operations were flooded, preventing shipments to and from these locations. The terminals themselves were not flooded as the facilities were adequately protected by dikes. All shipments were made from alternate locations. The additional costs incurred as a result of the flooding did not materially impact the Registrant's results of operations for fiscal 1997. No assurance can be given that flooding will not reoccur or that there will not be material damage or interruption to the business of the Registrant's Hawkins Terminal Division in the future.</w:t>
      </w:r>
    </w:p>
    <w:p>
      <w:pPr>
        <w:spacing w:after="0" w:line="173" w:lineRule="exact"/>
        <w:rPr>
          <w:sz w:val="20"/>
          <w:szCs w:val="20"/>
          <w:color w:val="auto"/>
        </w:rPr>
      </w:pPr>
    </w:p>
    <w:p>
      <w:pPr>
        <w:ind w:right="3379" w:firstLine="437"/>
        <w:spacing w:after="0" w:line="254" w:lineRule="auto"/>
        <w:tabs>
          <w:tab w:leader="none" w:pos="86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INDUSTRIAL CHEMICAL AND EQUIPMENT DIVISION. This division was created in 1993 when the Registrant acquired the assets of Industrial Chemical &amp; Equipment Co. It specializes in sales to the plating and electronic industries, and relies on a specially trained sales staff which works directly with customers on their plating and other processes.</w:t>
      </w:r>
    </w:p>
    <w:p>
      <w:pPr>
        <w:spacing w:after="0" w:line="162" w:lineRule="exact"/>
        <w:rPr>
          <w:rFonts w:ascii="Courier New" w:cs="Courier New" w:eastAsia="Courier New" w:hAnsi="Courier New"/>
          <w:sz w:val="14"/>
          <w:szCs w:val="14"/>
          <w:color w:val="auto"/>
        </w:rPr>
      </w:pPr>
    </w:p>
    <w:p>
      <w:pPr>
        <w:ind w:right="3539" w:firstLine="437"/>
        <w:spacing w:after="0" w:line="253" w:lineRule="auto"/>
        <w:tabs>
          <w:tab w:leader="none" w:pos="86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HAWKINS SALES DIVISION. The Hawkins Sales Division is a sales distribution center for industrial chemicals, laboratory chemicals and laboratory supplies. Bulk industrial chemicals are generally repackaged and sold in smaller quantities to the Registrant's customers. Sales are concentrated primarily in western Wisconsin, Minnesota, northern Iowa and North and South Dakota. Among the principal chemicals handled by the Sales Division are water purification and pollution control chemicals (such as chlorine) and industrial chemicals (such as anhydrous ammonia, aluminum sulphate, hydrofluosilicic acid, soda ash, phosphates, muriatic acid, aqua ammonia, sulfuric acid and liquid caustic soda).</w:t>
      </w:r>
    </w:p>
    <w:p>
      <w:pPr>
        <w:spacing w:after="0" w:line="164" w:lineRule="exact"/>
        <w:rPr>
          <w:rFonts w:ascii="Courier New" w:cs="Courier New" w:eastAsia="Courier New" w:hAnsi="Courier New"/>
          <w:sz w:val="14"/>
          <w:szCs w:val="14"/>
          <w:color w:val="auto"/>
        </w:rPr>
      </w:pPr>
    </w:p>
    <w:p>
      <w:pPr>
        <w:ind w:left="-440" w:right="3539" w:firstLine="443"/>
        <w:spacing w:after="0" w:line="254" w:lineRule="auto"/>
        <w:tabs>
          <w:tab w:leader="none" w:pos="51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NEW PRODUCTS. The Registrant began shipping its Cheese-Phos-Registered Trademark- product (discussed below) in late calendar 1995. Sales of this product in fiscal 1997 were not material to the Registrant's results of operations for the period.</w:t>
      </w:r>
    </w:p>
    <w:p>
      <w:pPr>
        <w:spacing w:after="0" w:line="163" w:lineRule="exact"/>
        <w:rPr>
          <w:rFonts w:ascii="Courier New" w:cs="Courier New" w:eastAsia="Courier New" w:hAnsi="Courier New"/>
          <w:sz w:val="14"/>
          <w:szCs w:val="14"/>
          <w:color w:val="auto"/>
        </w:rPr>
      </w:pPr>
    </w:p>
    <w:p>
      <w:pPr>
        <w:ind w:left="-440" w:right="3279" w:firstLine="443"/>
        <w:spacing w:after="0" w:line="253" w:lineRule="auto"/>
        <w:tabs>
          <w:tab w:leader="none" w:pos="60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RAW MATERIALS. The Registrant has approximately 450 suppliers, including many of the major chemical producers in the United States, of which approximately 20 account for a majority of the purchases made by the Registrant. The Registrant typically has written distributorship agreements or supply contracts with its suppliers that are renewed from time to time. Although there is no assurance that any contract or understanding with any supplier will not be terminated in the</w:t>
      </w:r>
    </w:p>
    <w:p>
      <w:pPr>
        <w:spacing w:after="0" w:line="33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20" w:right="1440" w:bottom="1440" w:gutter="0" w:footer="0" w:header="0"/>
        </w:sectPr>
      </w:pPr>
    </w:p>
    <w:bookmarkStart w:id="4" w:name="page5"/>
    <w:bookmarkEnd w:id="4"/>
    <w:p>
      <w:pPr>
        <w:ind w:right="3379"/>
        <w:spacing w:after="0" w:line="260" w:lineRule="auto"/>
        <w:rPr>
          <w:sz w:val="20"/>
          <w:szCs w:val="20"/>
          <w:color w:val="auto"/>
        </w:rPr>
      </w:pPr>
      <w:r>
        <w:rPr>
          <w:rFonts w:ascii="Courier New" w:cs="Courier New" w:eastAsia="Courier New" w:hAnsi="Courier New"/>
          <w:sz w:val="14"/>
          <w:szCs w:val="14"/>
          <w:color w:val="auto"/>
        </w:rPr>
        <w:t>foreseeable future, most of the basic chemicals purchased by the Registrant can be obtained from alternative sources should existing relationships be terminated.</w:t>
      </w:r>
    </w:p>
    <w:p>
      <w:pPr>
        <w:spacing w:after="0" w:line="324" w:lineRule="exact"/>
        <w:rPr>
          <w:sz w:val="20"/>
          <w:szCs w:val="20"/>
          <w:color w:val="auto"/>
        </w:rPr>
      </w:pPr>
    </w:p>
    <w:p>
      <w:pPr>
        <w:ind w:right="3279" w:firstLine="443"/>
        <w:spacing w:after="0" w:line="253" w:lineRule="auto"/>
        <w:tabs>
          <w:tab w:leader="none" w:pos="95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PATENTS, TRADEMARKS, LICENSES, FRANCHISES, AND CONCESSIONS. There are no patents, trademarks, licenses, franchises or concessions that are currently material to the successful operation of the Registrant's business. The Registrant has, however, obtained a patent on a liquid form of sodium phosphate for use in the processed food industry, as described below; the patent was granted on October 17, 1995, and will expire on November 8, 2013.</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however, is that they must be stored at between 130 and 160 degrees Fahrenheit to prevent crystallization. Expensive heat storage and steam heated piping is necessary to maintain required temperatures. Back-up generators must also be installed as safeguards against product cooling and solidifying in case of a plant power outage.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Registrant's patented Cheese-Phos-Registered Trademark- liquid sodium phosphate, which can be stored at room temperature, offers all the advantages of a liquid sodium phosphate product, but eliminates the need for high-heat delivery systems. Although it is not currently possible to project the effect of Cheese-Phos-Registered Trademark- on the Registrant's results of operations for future periods, the Registrant does not currently expect this product to add materially to the Registrant's revenues and profits.</w:t>
      </w:r>
    </w:p>
    <w:p>
      <w:pPr>
        <w:spacing w:after="0" w:line="165" w:lineRule="exact"/>
        <w:rPr>
          <w:sz w:val="20"/>
          <w:szCs w:val="20"/>
          <w:color w:val="auto"/>
        </w:rPr>
      </w:pPr>
    </w:p>
    <w:p>
      <w:pPr>
        <w:ind w:right="3459" w:firstLine="443"/>
        <w:spacing w:after="0" w:line="254" w:lineRule="auto"/>
        <w:tabs>
          <w:tab w:leader="none" w:pos="86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 ASPECTS. The sale of water treatment chemicals used in municipal water treatment facilities tends to reach a higher level during the summer months, which are part of the Registrant's third and fourth fiscal quarters.</w:t>
      </w:r>
    </w:p>
    <w:p>
      <w:pPr>
        <w:spacing w:after="0" w:line="163" w:lineRule="exact"/>
        <w:rPr>
          <w:rFonts w:ascii="Courier New" w:cs="Courier New" w:eastAsia="Courier New" w:hAnsi="Courier New"/>
          <w:sz w:val="14"/>
          <w:szCs w:val="14"/>
          <w:color w:val="auto"/>
        </w:rPr>
      </w:pPr>
    </w:p>
    <w:p>
      <w:pPr>
        <w:ind w:right="3459" w:firstLine="443"/>
        <w:spacing w:after="0" w:line="254" w:lineRule="auto"/>
        <w:tabs>
          <w:tab w:leader="none" w:pos="95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WORKING CAPITAL ITEMS. As a bulk distributor of chemicals, the Registrant is required to carry significant amounts of inventory to meet rapid delivery requirements of customers. Working capital requirements vary on a seasonal basis as a result of the seasonality of the water treatment business.</w:t>
      </w:r>
    </w:p>
    <w:p>
      <w:pPr>
        <w:spacing w:after="0" w:line="163" w:lineRule="exact"/>
        <w:rPr>
          <w:rFonts w:ascii="Courier New" w:cs="Courier New" w:eastAsia="Courier New" w:hAnsi="Courier New"/>
          <w:sz w:val="14"/>
          <w:szCs w:val="14"/>
          <w:color w:val="auto"/>
        </w:rPr>
      </w:pPr>
    </w:p>
    <w:p>
      <w:pPr>
        <w:ind w:right="3279" w:firstLine="443"/>
        <w:spacing w:after="0" w:line="254"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DEPENDENCE ON LIMITED NUMBER OF CUSTOMERS. No one customer represents more than approximately 4% of the Registrant's sales, but the loss of its four largest customers could have a material adverse effect on the Registrant's results of operations.</w:t>
      </w:r>
    </w:p>
    <w:p>
      <w:pPr>
        <w:spacing w:after="0" w:line="163" w:lineRule="exact"/>
        <w:rPr>
          <w:rFonts w:ascii="Courier New" w:cs="Courier New" w:eastAsia="Courier New" w:hAnsi="Courier New"/>
          <w:sz w:val="14"/>
          <w:szCs w:val="14"/>
          <w:color w:val="auto"/>
        </w:rPr>
      </w:pPr>
    </w:p>
    <w:p>
      <w:pPr>
        <w:ind w:right="3899" w:firstLine="443"/>
        <w:spacing w:after="0" w:line="258" w:lineRule="auto"/>
        <w:tabs>
          <w:tab w:leader="none" w:pos="112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BACKLOG. Backlog is not material to an understanding of the Registrant's business.</w:t>
      </w:r>
    </w:p>
    <w:p>
      <w:pPr>
        <w:spacing w:after="0" w:line="159" w:lineRule="exact"/>
        <w:rPr>
          <w:rFonts w:ascii="Courier New" w:cs="Courier New" w:eastAsia="Courier New" w:hAnsi="Courier New"/>
          <w:sz w:val="14"/>
          <w:szCs w:val="14"/>
          <w:color w:val="auto"/>
        </w:rPr>
      </w:pPr>
    </w:p>
    <w:p>
      <w:pPr>
        <w:ind w:right="3459" w:firstLine="443"/>
        <w:spacing w:after="0" w:line="255" w:lineRule="auto"/>
        <w:tabs>
          <w:tab w:leader="none" w:pos="955"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CONTRACTS. No material portion of the Registrant's business is subject to renegotiation of profits or termination of contracts at the election of any state or federal governmental subdivision or agency.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ind w:right="3279" w:firstLine="443"/>
        <w:spacing w:after="0" w:line="253" w:lineRule="auto"/>
        <w:tabs>
          <w:tab w:leader="none" w:pos="86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CONDITIONS. The Registrant operates in a competitive industry and competes with producers, distributors and sales agents offering chemicals equivalent to all of the products handled by the Registrant. Many such producers and distributors have substantially more business and are substantially larger than the Registrant. No one competitor, however, is dominant in Registrant's market. Price and service are the principal methods of competition in the industry.</w:t>
      </w:r>
    </w:p>
    <w:p>
      <w:pPr>
        <w:spacing w:after="0" w:line="164" w:lineRule="exact"/>
        <w:rPr>
          <w:rFonts w:ascii="Courier New" w:cs="Courier New" w:eastAsia="Courier New" w:hAnsi="Courier New"/>
          <w:sz w:val="14"/>
          <w:szCs w:val="14"/>
          <w:color w:val="auto"/>
        </w:rPr>
      </w:pPr>
    </w:p>
    <w:p>
      <w:pPr>
        <w:ind w:right="3539" w:firstLine="443"/>
        <w:spacing w:after="0" w:line="254" w:lineRule="auto"/>
        <w:tabs>
          <w:tab w:leader="none" w:pos="95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The Registrant does not have a formal research and development function; employees are assigned to research and development projects as the need arises. During the past fiscal year, expenditures for research and development were negligible and not material to the Registrant's business.</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104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The Registrant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Registrant. Registrant does not currently anticipate making any material capital expenditures for environmental control facilities during fiscal year 1998.</w:t>
      </w:r>
    </w:p>
    <w:p>
      <w:pPr>
        <w:spacing w:after="0" w:line="164" w:lineRule="exact"/>
        <w:rPr>
          <w:rFonts w:ascii="Courier New" w:cs="Courier New" w:eastAsia="Courier New" w:hAnsi="Courier New"/>
          <w:sz w:val="14"/>
          <w:szCs w:val="14"/>
          <w:color w:val="auto"/>
        </w:rPr>
      </w:pPr>
    </w:p>
    <w:p>
      <w:pPr>
        <w:ind w:right="3539" w:firstLine="443"/>
        <w:spacing w:after="0" w:line="258" w:lineRule="auto"/>
        <w:tabs>
          <w:tab w:leader="none" w:pos="112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The number of persons employed by the Registrant and its subsidiaries as of September 28, 1997 was 151.</w:t>
      </w:r>
    </w:p>
    <w:p>
      <w:pPr>
        <w:spacing w:after="0" w:line="160" w:lineRule="exact"/>
        <w:rPr>
          <w:sz w:val="20"/>
          <w:szCs w:val="20"/>
          <w:color w:val="auto"/>
        </w:rPr>
      </w:pPr>
    </w:p>
    <w:p>
      <w:pPr>
        <w:ind w:right="3279" w:firstLine="443"/>
        <w:spacing w:after="0" w:line="254" w:lineRule="auto"/>
        <w:tabs>
          <w:tab w:leader="none" w:pos="86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FOREIGN AND DOMESTIC OPERATIONS AND EXPORT SALES. Because the Registrant deals in only one geographic area of the United States, no breakdown of revenue, profitability or assets attributable to different geographic areas is meaningful to an understanding of Registrant's business.</w:t>
      </w:r>
    </w:p>
    <w:p>
      <w:pPr>
        <w:spacing w:after="0" w:line="330"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The Registrant's principal location consists of approximately eleven acres of land in Minneapolis, Minnesota, with six buildings containing a total of 160,000 square feet of office and warehouse space. The Registrant's principal office, out of which the Hawkins Sales Division operates, is located in one of these buildings, at 3100 East Hennepin Avenue. The other buildings are used by the Registrant, its Hawkins Water Treatment Group subsidiary, and its Industrial Chemical &amp; Equipment division. The Registrant's warehouse facilities in Minneapolis have been retrofitted with sprinklers for fire protection; this process was completed in the second quarter of calendar 1996. The Registrant carries insurance covering the replacement of property damaged by fire or flood.</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Information about the Registrant's other principal facilities is presented below. These facilities, as well as those described above, are adequate and suitable for the purposes they serve. Unless noted, each facility is owned and is fully utilized by the Registrant or one of its subsidiaries.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20"/>
                <w:szCs w:val="20"/>
                <w:color w:val="auto"/>
              </w:rPr>
            </w:pPr>
            <w:r>
              <w:rPr>
                <w:rFonts w:ascii="Courier New" w:cs="Courier New" w:eastAsia="Courier New" w:hAnsi="Courier New"/>
                <w:sz w:val="14"/>
                <w:szCs w:val="14"/>
                <w:color w:val="auto"/>
              </w:rPr>
              <w:t>Subsidiary</w:t>
            </w: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Approximate</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or Division</w:t>
            </w: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Location</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Primary Use</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Square Feet</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Hawkins Terminal</w:t>
            </w: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Division</w:t>
            </w: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St. Paul, MN(1)</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Office, Ware-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32,000</w:t>
            </w:r>
          </w:p>
        </w:tc>
      </w:tr>
      <w:tr>
        <w:trPr>
          <w:trHeight w:val="167"/>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house and</w:t>
            </w:r>
          </w:p>
        </w:tc>
        <w:tc>
          <w:tcPr>
            <w:tcW w:w="1420" w:type="dxa"/>
            <w:vAlign w:val="bottom"/>
          </w:tcPr>
          <w:p>
            <w:pPr>
              <w:spacing w:after="0"/>
              <w:rPr>
                <w:sz w:val="14"/>
                <w:szCs w:val="14"/>
                <w:color w:val="auto"/>
              </w:rPr>
            </w:pPr>
          </w:p>
        </w:tc>
      </w:tr>
      <w:tr>
        <w:trPr>
          <w:trHeight w:val="167"/>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Garage</w:t>
            </w:r>
          </w:p>
        </w:tc>
        <w:tc>
          <w:tcPr>
            <w:tcW w:w="1420" w:type="dxa"/>
            <w:vAlign w:val="bottom"/>
          </w:tcPr>
          <w:p>
            <w:pPr>
              <w:spacing w:after="0"/>
              <w:rPr>
                <w:sz w:val="14"/>
                <w:szCs w:val="14"/>
                <w:color w:val="auto"/>
              </w:rPr>
            </w:pPr>
          </w:p>
        </w:tc>
      </w:tr>
      <w:tr>
        <w:trPr>
          <w:trHeight w:val="334"/>
        </w:trPr>
        <w:tc>
          <w:tcPr>
            <w:tcW w:w="1580" w:type="dxa"/>
            <w:vAlign w:val="bottom"/>
          </w:tcPr>
          <w:p>
            <w:pPr>
              <w:spacing w:after="0"/>
              <w:rPr>
                <w:sz w:val="20"/>
                <w:szCs w:val="20"/>
                <w:color w:val="auto"/>
              </w:rPr>
            </w:pPr>
            <w:r>
              <w:rPr>
                <w:rFonts w:ascii="Courier New" w:cs="Courier New" w:eastAsia="Courier New" w:hAnsi="Courier New"/>
                <w:sz w:val="14"/>
                <w:szCs w:val="14"/>
                <w:color w:val="auto"/>
              </w:rPr>
              <w:t>Hawkins Water</w:t>
            </w: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Treatment Group</w:t>
            </w: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Fargo, ND(2)</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22,800</w:t>
            </w:r>
          </w:p>
        </w:tc>
      </w:tr>
      <w:tr>
        <w:trPr>
          <w:trHeight w:val="167"/>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r>
        <w:trPr>
          <w:trHeight w:val="334"/>
        </w:trPr>
        <w:tc>
          <w:tcPr>
            <w:tcW w:w="1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Fond du Lac, WI(3)</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20,300</w:t>
            </w:r>
          </w:p>
        </w:tc>
      </w:tr>
      <w:tr>
        <w:trPr>
          <w:trHeight w:val="334"/>
        </w:trPr>
        <w:tc>
          <w:tcPr>
            <w:tcW w:w="1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Washburn, ND</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14,000</w:t>
            </w:r>
          </w:p>
        </w:tc>
      </w:tr>
      <w:tr>
        <w:trPr>
          <w:trHeight w:val="167"/>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r>
        <w:trPr>
          <w:trHeight w:val="334"/>
        </w:trPr>
        <w:tc>
          <w:tcPr>
            <w:tcW w:w="1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Billings, MT</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6,000</w:t>
            </w:r>
          </w:p>
        </w:tc>
      </w:tr>
      <w:tr>
        <w:trPr>
          <w:trHeight w:val="167"/>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r>
        <w:trPr>
          <w:trHeight w:val="334"/>
        </w:trPr>
        <w:tc>
          <w:tcPr>
            <w:tcW w:w="1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Aberdeen, SD</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8,000</w:t>
            </w:r>
          </w:p>
        </w:tc>
      </w:tr>
      <w:tr>
        <w:trPr>
          <w:trHeight w:val="334"/>
        </w:trPr>
        <w:tc>
          <w:tcPr>
            <w:tcW w:w="1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Sioux Falls, SD(4)</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18,000</w:t>
            </w:r>
          </w:p>
        </w:tc>
      </w:tr>
      <w:tr>
        <w:trPr>
          <w:trHeight w:val="334"/>
        </w:trPr>
        <w:tc>
          <w:tcPr>
            <w:tcW w:w="1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Rapid City, SD</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3,600</w:t>
            </w:r>
          </w:p>
        </w:tc>
      </w:tr>
      <w:tr>
        <w:trPr>
          <w:trHeight w:val="334"/>
        </w:trPr>
        <w:tc>
          <w:tcPr>
            <w:tcW w:w="1580" w:type="dxa"/>
            <w:vAlign w:val="bottom"/>
          </w:tcPr>
          <w:p>
            <w:pPr>
              <w:spacing w:after="0"/>
              <w:rPr>
                <w:sz w:val="24"/>
                <w:szCs w:val="24"/>
                <w:color w:val="auto"/>
              </w:rPr>
            </w:pPr>
          </w:p>
        </w:tc>
        <w:tc>
          <w:tcPr>
            <w:tcW w:w="1820" w:type="dxa"/>
            <w:vAlign w:val="bottom"/>
          </w:tcPr>
          <w:p>
            <w:pPr>
              <w:ind w:left="160"/>
              <w:spacing w:after="0"/>
              <w:rPr>
                <w:sz w:val="20"/>
                <w:szCs w:val="20"/>
                <w:color w:val="auto"/>
              </w:rPr>
            </w:pPr>
            <w:r>
              <w:rPr>
                <w:rFonts w:ascii="Courier New" w:cs="Courier New" w:eastAsia="Courier New" w:hAnsi="Courier New"/>
                <w:sz w:val="14"/>
                <w:szCs w:val="14"/>
                <w:color w:val="auto"/>
              </w:rPr>
              <w:t>Superior, WI</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Office and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17,000</w:t>
            </w:r>
          </w:p>
        </w:tc>
      </w:tr>
      <w:tr>
        <w:trPr>
          <w:trHeight w:val="167"/>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Warehouse</w:t>
            </w:r>
          </w:p>
        </w:tc>
        <w:tc>
          <w:tcPr>
            <w:tcW w:w="1420" w:type="dxa"/>
            <w:vAlign w:val="bottom"/>
          </w:tcPr>
          <w:p>
            <w:pPr>
              <w:spacing w:after="0"/>
              <w:rPr>
                <w:sz w:val="14"/>
                <w:szCs w:val="14"/>
                <w:color w:val="auto"/>
              </w:rPr>
            </w:pPr>
          </w:p>
        </w:tc>
      </w:tr>
    </w:tbl>
    <w:p>
      <w:pPr>
        <w:spacing w:after="0" w:line="171"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Hawkins Terminal Division operation, located at two sites on opposite sides of the Mississippi River, is made up of three buildings, nine outside storage tanks with a total capacity of approximately 8,900,000 gallons for the storage of liquid caustic soda, as well as numerous smaller tanks for storing and mixing chemicals. The land on which the Hawkins Terminal Division buildings and storage tanks are located is leased by the Registrant from the Port Authority of the City of St. Paul, Minnesota for a basic rent plus an amount based on the tonnage unloaded at both sites each year. The applicable leases run until December 31, 1998, at which time the Registrant has an option to renew the leases for an additional five-year period on the same terms and conditions. Thereafter, the Registrant has options for three additional successive five-year renewal periods (extending until 2018) for which the rent may be adjusted pursuant to the rental renegotiation provisions contained in the leases.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7" w:name="page8"/>
    <w:bookmarkEnd w:id="7"/>
    <w:p>
      <w:pPr>
        <w:ind w:right="3639" w:firstLine="443"/>
        <w:spacing w:after="0" w:line="258" w:lineRule="auto"/>
        <w:tabs>
          <w:tab w:leader="none" w:pos="86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facility is occupied by Hawkins Water Treatment Group (17,800 square feet) and leased to a third party (5,000 square feet).</w:t>
      </w:r>
    </w:p>
    <w:p>
      <w:pPr>
        <w:spacing w:after="0" w:line="159" w:lineRule="exact"/>
        <w:rPr>
          <w:rFonts w:ascii="Courier New" w:cs="Courier New" w:eastAsia="Courier New" w:hAnsi="Courier New"/>
          <w:sz w:val="14"/>
          <w:szCs w:val="14"/>
          <w:color w:val="auto"/>
        </w:rPr>
      </w:pPr>
    </w:p>
    <w:p>
      <w:pPr>
        <w:ind w:right="3379" w:firstLine="443"/>
        <w:spacing w:after="0" w:line="255" w:lineRule="auto"/>
        <w:tabs>
          <w:tab w:leader="none" w:pos="86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space in this building being used by Hawkins Water Treatment Group, 10,000 square feet of space is being leased by the Registrant to third parties.</w:t>
      </w:r>
    </w:p>
    <w:p>
      <w:pPr>
        <w:spacing w:after="0" w:line="162" w:lineRule="exact"/>
        <w:rPr>
          <w:rFonts w:ascii="Courier New" w:cs="Courier New" w:eastAsia="Courier New" w:hAnsi="Courier New"/>
          <w:sz w:val="14"/>
          <w:szCs w:val="14"/>
          <w:color w:val="auto"/>
        </w:rPr>
      </w:pPr>
    </w:p>
    <w:p>
      <w:pPr>
        <w:ind w:right="3379" w:firstLine="443"/>
        <w:spacing w:after="0" w:line="258" w:lineRule="auto"/>
        <w:tabs>
          <w:tab w:leader="none" w:pos="86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Sioux Falls facility is occupied by Hawkins Water Treatment Group (12,000 square feet) and leased to a third party (6,000 square feet).</w:t>
      </w:r>
    </w:p>
    <w:p>
      <w:pPr>
        <w:spacing w:after="0" w:line="160"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The Registrant and its subsidiaries also own several trucks, tractors, trailers, and vans.</w:t>
      </w:r>
    </w:p>
    <w:p>
      <w:pPr>
        <w:spacing w:after="0" w:line="160"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As of the date of this filing, neither the Registrant nor any of its subsidiaries were involved in any pending legal proceeding to which the Registrant or its subsidiaries was a party or of which any property of the Registrant or its subsidiaries were the subject other than ordinary routine litigation incidental to their business, except as follows:</w:t>
      </w:r>
    </w:p>
    <w:p>
      <w:pPr>
        <w:spacing w:after="0" w:line="162" w:lineRule="exact"/>
        <w:rPr>
          <w:sz w:val="20"/>
          <w:szCs w:val="20"/>
          <w:color w:val="auto"/>
        </w:rPr>
      </w:pPr>
    </w:p>
    <w:p>
      <w:pPr>
        <w:ind w:left="440" w:right="3379"/>
        <w:spacing w:after="0" w:line="252" w:lineRule="auto"/>
        <w:rPr>
          <w:sz w:val="20"/>
          <w:szCs w:val="20"/>
          <w:color w:val="auto"/>
        </w:rPr>
      </w:pPr>
      <w:r>
        <w:rPr>
          <w:rFonts w:ascii="Courier New" w:cs="Courier New" w:eastAsia="Courier New" w:hAnsi="Courier New"/>
          <w:sz w:val="14"/>
          <w:szCs w:val="14"/>
          <w:color w:val="auto"/>
        </w:rPr>
        <w:t>LYNDE COMPANY WAREHOUSE FIRE. On March 1, 1995, the Registrant and its former subsidiary The Lynde Company were named as defendants in an action entitled DONNA M. COOKSEY, ET AL. V. HAWKINS CHEMICAL, INC. AND THE LYNDE COMPANY ("COOKSEY"). This action was certified as a partial class action earlier this year and remains pending in state district court in Hennepin County, Minnesota. The plaintiffs are seeking damages for personal injury and other damages alleged to have been caused by the alleged release of hazardous substances as a result of a fire at an office/warehouse facility used by The Lynde Company. The Registrant has entered into a class settlement agreement with the class, pursuant to which the Registrant has agreed to pay certain of the class' costs and expenses as well as certain compensation to the class pursuant to a Matrix and Plan of Distribution which form a part of the settlement agreement. The district court has given preliminary approval of the settlement and a hearing on final approval is scheduled for January 30, 1998.</w:t>
      </w:r>
    </w:p>
    <w:p>
      <w:pPr>
        <w:spacing w:after="0" w:line="173" w:lineRule="exact"/>
        <w:rPr>
          <w:sz w:val="20"/>
          <w:szCs w:val="20"/>
          <w:color w:val="auto"/>
        </w:rPr>
      </w:pPr>
    </w:p>
    <w:p>
      <w:pPr>
        <w:ind w:left="440" w:right="3539"/>
        <w:spacing w:after="0" w:line="252" w:lineRule="auto"/>
        <w:rPr>
          <w:sz w:val="20"/>
          <w:szCs w:val="20"/>
          <w:color w:val="auto"/>
        </w:rPr>
      </w:pPr>
      <w:r>
        <w:rPr>
          <w:rFonts w:ascii="Courier New" w:cs="Courier New" w:eastAsia="Courier New" w:hAnsi="Courier New"/>
          <w:sz w:val="14"/>
          <w:szCs w:val="14"/>
          <w:color w:val="auto"/>
        </w:rPr>
        <w:t>The Registrant's primary and umbrella insurers have denied a tender of the defense of the lawsuit and have denied any obligation to indemnify the Registrant for damages claimed by third parties in connection with the fire. This denial is based on a "Total Pollution Exclusion" which purports to exclude coverage for bodily injury and other losses caused by a release of pollutants, even if such release is caused by a hostile fire. On July 7, 1995, the Registrant commenced suits against The North River Insurance Company and the Westchester Fire Insurance Company, the primary and umbrella insurers, respectively. These actions were filed in the United States District Court for the District of Minnesota. On October 6, 1996, the Court entered an Order for Judgment against the two insurers declaring that they each owed the Registrant a duty to defend the Cooksey action, that the insurers had breached their duty to defend and that the Registrant was entitled to judgment against North River in the amount of $890,174 and against Westchester in the amount of $90,868 for fees and expenses incurred by the Registrant through October of 1996 in defending against the Cooksey action and in prosecuting the action against the two insurers. The two insurers have appealed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8" w:name="page9"/>
    <w:bookmarkEnd w:id="8"/>
    <w:p>
      <w:pPr>
        <w:ind w:left="440" w:right="3379"/>
        <w:spacing w:after="0" w:line="254" w:lineRule="auto"/>
        <w:rPr>
          <w:sz w:val="20"/>
          <w:szCs w:val="20"/>
          <w:color w:val="auto"/>
        </w:rPr>
      </w:pPr>
      <w:r>
        <w:rPr>
          <w:rFonts w:ascii="Courier New" w:cs="Courier New" w:eastAsia="Courier New" w:hAnsi="Courier New"/>
          <w:sz w:val="14"/>
          <w:szCs w:val="14"/>
          <w:color w:val="auto"/>
        </w:rPr>
        <w:t>judgment to the Eighth Circuit Court of Appeals. Briefs have not yet been filed with the Eighth Circuit and a decision is not expected on the appeal until sometime during the second half of 1998. It is not possible at this time to predict with certainty the outcome on appeal or the amount of any ultimate recovery.</w:t>
      </w:r>
    </w:p>
    <w:p>
      <w:pPr>
        <w:spacing w:after="0" w:line="162" w:lineRule="exact"/>
        <w:rPr>
          <w:sz w:val="20"/>
          <w:szCs w:val="20"/>
          <w:color w:val="auto"/>
        </w:rPr>
      </w:pPr>
    </w:p>
    <w:p>
      <w:pPr>
        <w:ind w:left="440" w:right="3539"/>
        <w:spacing w:after="0" w:line="253" w:lineRule="auto"/>
        <w:rPr>
          <w:sz w:val="20"/>
          <w:szCs w:val="20"/>
          <w:color w:val="auto"/>
        </w:rPr>
      </w:pPr>
      <w:r>
        <w:rPr>
          <w:rFonts w:ascii="Courier New" w:cs="Courier New" w:eastAsia="Courier New" w:hAnsi="Courier New"/>
          <w:sz w:val="14"/>
          <w:szCs w:val="14"/>
          <w:color w:val="auto"/>
        </w:rPr>
        <w:t>Because the Registrant's insurers have denied tender of the defense of the COOKSEY lawsuit, the Registrant has incurred significant legal fees and expenses in fiscal 1997 and may continue to do so in future periods. The actual legal fees, expenses and settlement costs which will ultimately be borne by the Registrant as a result of the settlement of the COOKSEY lawsuit and as a result of the action against the Registrant's insurers are highly dependent on a variety of factors which are the subject of the Matrix and Plan of Distribution described above, as well as the ultimate result of the litigation regarding insurance coverage.</w:t>
      </w:r>
    </w:p>
    <w:p>
      <w:pPr>
        <w:spacing w:after="0" w:line="331"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During fiscal 1995, the Registrant recorded $750,000 to cover expected settlement costs relating to the COOKSEY litigation. The Registrant recorded an additional $1,100,000 in the fourth quarter of fiscal 1997 to cover certain quantifiable costs and expenses it will incur as a result of the settlement of the COOKSEY litigation. In addition to these accruals, the Registrant expended approximately $775,000 for legal fees and other costs relating to the litigation in fiscal 1997. It is not possible at this time to quantify the probable settlement costs which may be payable by the Registrant pursuant to the Matrix and Plan of Distribution which form a part of the settlement agreement. The Registrant reasonably expects, however, that such settlement costs will be estimable by the end of 1998.</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Registrant became self-insured with respect to products liability claims in December 1985 with the establishment of a $1,000,000 trust fund to fund this self-insurance program. No claims covered by this program have been made to date. As of October 1, 1989, the Registrant again secured product liability insurance of $1,000,000, although the trust fund was maintained as an umbrella over this insurance coverage. In March of 1997, the insurance trust was terminated, although all investments held by the trust were retained by the Registrant.</w:t>
      </w:r>
    </w:p>
    <w:p>
      <w:pPr>
        <w:spacing w:after="0" w:line="33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No matter was submitted to a vote of security holders during the fourth quarter of fiscal 1997.</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See the Registrant's Annual Report for the year ended September 28, 1997, referenced on page 2 of this Form 10-K.</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 w:name="page10"/>
    <w:bookmarkEnd w:id="9"/>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See the Registrant's Annual Report for the year ended September 28, 1997, referenced on page 2 of this Form 10-K.</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See the Registrant's Annual Report for the year ended September 28, 1997, referenced on page 2 of this Form 10-K.</w:t>
      </w:r>
    </w:p>
    <w:p>
      <w:pPr>
        <w:spacing w:after="0" w:line="160"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See the Registrant's Annual Report for the year ended September 28, 1997, referenced on page 2 of this Form 10-K.</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327"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No changes in accountants or disagreements between the Registrant and its accountants regarding accounting principles or financial statement disclosures have occurred during the Registrant's two most recent fiscal years or any subsequent interim period.</w:t>
      </w:r>
    </w:p>
    <w:p>
      <w:pPr>
        <w:spacing w:after="0" w:line="33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34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See the Registrant's Proxy Statement for the 1998 Annual Meeting of Shareholders to be filed with the Commission on January 5, 1998, referenced on page 2 of this Form 10-K.</w:t>
      </w:r>
    </w:p>
    <w:p>
      <w:pPr>
        <w:spacing w:after="0" w:line="16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See the Registrant's Proxy Statement for the 1998 Annual Meeting of Shareholders to be filed with the Commission on January 5, 1998, referenced on page 2 of this Form 10-K.</w:t>
      </w:r>
    </w:p>
    <w:p>
      <w:pPr>
        <w:spacing w:after="0" w:line="16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See the Registrant's Proxy Statement for the 1998 Annual Meeting of Shareholders to be filed with the Commission on January 5, 1998, referenced on page 2 of this Form 10-K.</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0" w:name="page11"/>
    <w:bookmarkEnd w:id="10"/>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See the Registrant's Proxy Statement for the 1998 Annual Meeting of Shareholders to be filed with the Commission on January 5, 1998, referenced on page 2 of this Form 10-K.</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342"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left="440" w:hanging="431"/>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FINANCIAL STATEMENT SCHEDULES, AND EXHIBITS.</w:t>
      </w:r>
    </w:p>
    <w:p>
      <w:pPr>
        <w:spacing w:after="0" w:line="175"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consolidated financial statements of Hawkins Chemical, Inc. and subsidiaries, together with the Independent Auditors' Report, found under appropriate headings in the Registrant's 1997 Annual Report to Shareholders, are hereby incorporated by reference in this Annual Report on Form 10-K.</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Balance Sheets at September 28, 1997 and September 29, 1996</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Consolidated Statements of Income and Retained Earnings for the Years Ended September 28, 1997, September 29, 1996 and October 1, 1995.</w:t>
      </w:r>
    </w:p>
    <w:p>
      <w:pPr>
        <w:spacing w:after="0" w:line="160" w:lineRule="exact"/>
        <w:rPr>
          <w:sz w:val="20"/>
          <w:szCs w:val="20"/>
          <w:color w:val="auto"/>
        </w:rPr>
      </w:pPr>
    </w:p>
    <w:p>
      <w:pPr>
        <w:ind w:left="440" w:right="3639"/>
        <w:spacing w:after="0" w:line="258" w:lineRule="auto"/>
        <w:rPr>
          <w:sz w:val="20"/>
          <w:szCs w:val="20"/>
          <w:color w:val="auto"/>
        </w:rPr>
      </w:pPr>
      <w:r>
        <w:rPr>
          <w:rFonts w:ascii="Courier New" w:cs="Courier New" w:eastAsia="Courier New" w:hAnsi="Courier New"/>
          <w:sz w:val="14"/>
          <w:szCs w:val="14"/>
          <w:color w:val="auto"/>
        </w:rPr>
        <w:t>Consolidated Statements of Cash Flows for the Years Ended September 28, 1997, September 29, 1996 and October 1, 1995.</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ind w:right="3539" w:firstLine="443"/>
        <w:spacing w:after="0" w:line="253" w:lineRule="auto"/>
        <w:tabs>
          <w:tab w:leader="none" w:pos="86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financial data listed below is included as a schedule to this Annual Report on Form 10-K and should be read in conjunction with the consolidated financial statements presented in Part II, Item 8. Schedules not included with this additional financial data have been omitted because they are not required or the required information is included in the financial statements or the notes.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Independent Auditors' Report on Schedule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for the Years Ended September 28, 1997, September 29, 1996 and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October 1, 1995:</w:t>
      </w:r>
    </w:p>
    <w:p>
      <w:pPr>
        <w:spacing w:after="0" w:line="175" w:lineRule="exact"/>
        <w:rPr>
          <w:sz w:val="20"/>
          <w:szCs w:val="20"/>
          <w:color w:val="auto"/>
        </w:rPr>
      </w:pPr>
    </w:p>
    <w:p>
      <w:pPr>
        <w:ind w:left="440"/>
        <w:spacing w:after="0"/>
        <w:tabs>
          <w:tab w:leader="none" w:pos="1720" w:val="left"/>
          <w:tab w:leader="none" w:pos="2160" w:val="left"/>
        </w:tabs>
        <w:rPr>
          <w:sz w:val="20"/>
          <w:szCs w:val="20"/>
          <w:color w:val="auto"/>
        </w:rPr>
      </w:pPr>
      <w:r>
        <w:rPr>
          <w:rFonts w:ascii="Courier New" w:cs="Courier New" w:eastAsia="Courier New" w:hAnsi="Courier New"/>
          <w:sz w:val="14"/>
          <w:szCs w:val="14"/>
          <w:color w:val="auto"/>
        </w:rPr>
        <w:t>II</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Valuation and Qualifying Accounts</w:t>
      </w:r>
    </w:p>
    <w:p>
      <w:pPr>
        <w:spacing w:after="0" w:line="34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Condensed financial information of the Registrant is not presented because no restrictions exist on the transfer of funds or assets between the Registrant and its subsidiaries.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ind w:left="880" w:hanging="437"/>
        <w:spacing w:after="0"/>
        <w:tabs>
          <w:tab w:leader="none" w:pos="8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EXHIBITS.</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following exhibits are included with this Annual Report on Form 10-K (or incorporated by reference) as required by Item 601 of Regulation S-K.</w:t>
      </w:r>
    </w:p>
    <w:p>
      <w:pPr>
        <w:spacing w:after="0" w:line="160" w:lineRule="exact"/>
        <w:rPr>
          <w:sz w:val="20"/>
          <w:szCs w:val="20"/>
          <w:color w:val="auto"/>
        </w:rPr>
      </w:pPr>
    </w:p>
    <w:p>
      <w:pPr>
        <w:ind w:left="440" w:right="3379" w:hanging="433"/>
        <w:spacing w:after="0" w:line="254" w:lineRule="auto"/>
        <w:tabs>
          <w:tab w:leader="none" w:pos="420" w:val="left"/>
        </w:tabs>
        <w:rPr>
          <w:sz w:val="20"/>
          <w:szCs w:val="20"/>
          <w:color w:val="auto"/>
        </w:rPr>
      </w:pPr>
      <w:r>
        <w:rPr>
          <w:rFonts w:ascii="Courier New" w:cs="Courier New" w:eastAsia="Courier New" w:hAnsi="Courier New"/>
          <w:sz w:val="14"/>
          <w:szCs w:val="14"/>
          <w:color w:val="auto"/>
        </w:rPr>
        <w:t>3.1</w:t>
        <w:tab/>
        <w:t>Amended and Second Restated Articles of Incorporation as amended through February 28, 1989 (Incorporated by reference to Exhibit 3D to the Registrant's Quarterly Report on Form 10-Q for the quarter ended March 31, 1989).</w:t>
      </w:r>
    </w:p>
    <w:p>
      <w:pPr>
        <w:spacing w:after="0" w:line="163" w:lineRule="exact"/>
        <w:rPr>
          <w:sz w:val="20"/>
          <w:szCs w:val="20"/>
          <w:color w:val="auto"/>
        </w:rPr>
      </w:pPr>
    </w:p>
    <w:p>
      <w:pPr>
        <w:jc w:val="both"/>
        <w:ind w:left="440" w:right="3279" w:hanging="433"/>
        <w:spacing w:after="0" w:line="255" w:lineRule="auto"/>
        <w:tabs>
          <w:tab w:leader="none" w:pos="420" w:val="left"/>
        </w:tabs>
        <w:rPr>
          <w:sz w:val="20"/>
          <w:szCs w:val="20"/>
          <w:color w:val="auto"/>
        </w:rPr>
      </w:pPr>
      <w:r>
        <w:rPr>
          <w:rFonts w:ascii="Courier New" w:cs="Courier New" w:eastAsia="Courier New" w:hAnsi="Courier New"/>
          <w:sz w:val="14"/>
          <w:szCs w:val="14"/>
          <w:color w:val="auto"/>
        </w:rPr>
        <w:t>3.2</w:t>
        <w:tab/>
        <w:t>Second Amended and Superseding By-Laws as amended through February 15, 1995 (incorporated by reference to Exhibit 3.2 to the Registrant's Annual Report on Form 10-K for the year ended October 1, 1995).</w:t>
      </w:r>
    </w:p>
    <w:p>
      <w:pPr>
        <w:spacing w:after="0" w:line="162" w:lineRule="exact"/>
        <w:rPr>
          <w:sz w:val="20"/>
          <w:szCs w:val="20"/>
          <w:color w:val="auto"/>
        </w:rPr>
      </w:pPr>
    </w:p>
    <w:p>
      <w:pPr>
        <w:ind w:left="440" w:hanging="431"/>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3.1 and 3.2 above.</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13*</w:t>
        <w:tab/>
        <w:t>Portions of Annual Report to Security Holders for period ended September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28, 1997.</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21*</w:t>
        <w:tab/>
        <w:t>Subsidiaries of Registrant.</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23*</w:t>
        <w:tab/>
        <w:t>Independent Auditors' Consent</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27*</w:t>
        <w:tab/>
        <w:t>Financial Data Schedule</w:t>
      </w:r>
    </w:p>
    <w:p>
      <w:pPr>
        <w:spacing w:after="0" w:line="175" w:lineRule="exact"/>
        <w:rPr>
          <w:sz w:val="20"/>
          <w:szCs w:val="20"/>
          <w:color w:val="auto"/>
        </w:rPr>
      </w:pPr>
    </w:p>
    <w:p>
      <w:pPr>
        <w:ind w:left="260" w:hanging="251"/>
        <w:spacing w:after="0"/>
        <w:tabs>
          <w:tab w:leader="none" w:pos="2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Denotes previously unfiled documents.</w:t>
      </w:r>
    </w:p>
    <w:p>
      <w:pPr>
        <w:spacing w:after="0" w:line="175" w:lineRule="exact"/>
        <w:rPr>
          <w:sz w:val="20"/>
          <w:szCs w:val="20"/>
          <w:color w:val="auto"/>
        </w:rPr>
      </w:pPr>
    </w:p>
    <w:p>
      <w:pPr>
        <w:ind w:left="440" w:right="8059" w:hanging="431"/>
        <w:spacing w:after="0" w:line="511" w:lineRule="auto"/>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None.</w:t>
      </w:r>
    </w:p>
    <w:p>
      <w:pPr>
        <w:spacing w:after="0" w:line="15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HAWKINS CHEMICAL, INC.</w:t>
      </w:r>
    </w:p>
    <w:p>
      <w:pPr>
        <w:spacing w:after="0" w:line="8"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By</w:t>
        <w:tab/>
        <w:t>/s/ Dean L. Hahn</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Dean L. Hahn, Chairman</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of the Board of Directors</w:t>
      </w:r>
    </w:p>
    <w:p>
      <w:pPr>
        <w:spacing w:after="0" w:line="175" w:lineRule="exact"/>
        <w:rPr>
          <w:sz w:val="20"/>
          <w:szCs w:val="20"/>
          <w:color w:val="auto"/>
        </w:rPr>
      </w:pPr>
    </w:p>
    <w:p>
      <w:pPr>
        <w:sectPr>
          <w:pgSz w:w="11900" w:h="16838" w:orient="portrait"/>
          <w:cols w:equalWidth="0" w:num="3">
            <w:col w:w="520" w:space="180"/>
            <w:col w:w="2500" w:space="720"/>
            <w:col w:w="6319"/>
          </w:cols>
          <w:pgMar w:left="220" w:top="620" w:right="1440" w:bottom="1440" w:gutter="0" w:footer="0" w:header="0"/>
          <w:type w:val="continuous"/>
        </w:sectPr>
      </w:pPr>
    </w:p>
    <w:p>
      <w:pPr>
        <w:ind w:right="345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also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Dean L. Hahn</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Dean L. Hahn, Chief Executive</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Officer,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Howard J. Hawkins</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Howard J. Hawkins, Chairman</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Emeritus,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Donald L. Shipp</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Donald L. Shipp, President,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Howard M. Hawkins</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Howard M. Hawkins, Treasurer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and Accounting</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Officer),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John R. Hawkins</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John R. Hawkins, Executive Vice</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President,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Carl J. Ahlgren</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Carl J. Ahlgren,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Norman P. Anderson</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Norman P. Anderson,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John S. McKeon</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John S. McKeon,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S. Albert Diez Hanser</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Albert Diez Hanser,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/s/ Duane M. Jergenson</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Dated:</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December 29, 1997</w:t>
            </w: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Duane M. Jergenson, Director</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01"/>
        </w:trPr>
        <w:tc>
          <w:tcPr>
            <w:tcW w:w="260" w:type="dxa"/>
            <w:vAlign w:val="bottom"/>
          </w:tcPr>
          <w:p>
            <w:pPr>
              <w:spacing w:after="0"/>
              <w:rPr>
                <w:sz w:val="24"/>
                <w:szCs w:val="24"/>
                <w:color w:val="auto"/>
              </w:rPr>
            </w:pPr>
          </w:p>
        </w:tc>
        <w:tc>
          <w:tcPr>
            <w:tcW w:w="3740" w:type="dxa"/>
            <w:vAlign w:val="bottom"/>
          </w:tcPr>
          <w:p>
            <w:pPr>
              <w:ind w:left="3040"/>
              <w:spacing w:after="0"/>
              <w:rPr>
                <w:sz w:val="20"/>
                <w:szCs w:val="20"/>
                <w:color w:val="auto"/>
              </w:rPr>
            </w:pPr>
            <w:r>
              <w:rPr>
                <w:rFonts w:ascii="Courier New" w:cs="Courier New" w:eastAsia="Courier New" w:hAnsi="Courier New"/>
                <w:sz w:val="14"/>
                <w:szCs w:val="14"/>
                <w:color w:val="auto"/>
              </w:rPr>
              <w:t>-13-</w:t>
            </w: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type w:val="continuous"/>
        </w:sectPr>
      </w:pPr>
    </w:p>
    <w:bookmarkStart w:id="13" w:name="page14"/>
    <w:bookmarkEnd w:id="13"/>
    <w:p>
      <w:pPr>
        <w:ind w:left="1840"/>
        <w:spacing w:after="0"/>
        <w:rPr>
          <w:sz w:val="20"/>
          <w:szCs w:val="20"/>
          <w:color w:val="auto"/>
        </w:rPr>
      </w:pPr>
      <w:r>
        <w:rPr>
          <w:rFonts w:ascii="Courier New" w:cs="Courier New" w:eastAsia="Courier New" w:hAnsi="Courier New"/>
          <w:sz w:val="14"/>
          <w:szCs w:val="14"/>
          <w:color w:val="auto"/>
        </w:rPr>
        <w:t>INDEPENDENT AUDITORS' REPORT ON SCHEDULE</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have audited the consolidated financial statements of Hawkins Chemical, Inc. and subsidiaries (the Company) as of September 28, 1997 and September 29, 1996, and for each of the three years in the period ended September 28, 1997, and have issued our report thereon dated December 9, 1997; such consolidated financial statements and report are included in the 1997 Annual Report to Shareholders and are incorporated herein by reference. Our audits also included the consolidated financial statement schedule of the Company, listed in Item 14(a)(2). This consolidated financial statement schedule is the responsibility of the Company's management. Our responsibility is to express an opinion based on our audits. In our opinion, this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9, 1997</w:t>
      </w:r>
    </w:p>
    <w:p>
      <w:pPr>
        <w:sectPr>
          <w:pgSz w:w="11900" w:h="16838" w:orient="portrait"/>
          <w:cols w:equalWidth="0" w:num="1">
            <w:col w:w="10239"/>
          </w:cols>
          <w:pgMar w:left="220" w:top="620" w:right="1440" w:bottom="1440" w:gutter="0" w:footer="0" w:header="0"/>
        </w:sectPr>
      </w:pPr>
    </w:p>
    <w:bookmarkStart w:id="14" w:name="page15"/>
    <w:bookmarkEnd w:id="14"/>
    <w:p>
      <w:pPr>
        <w:jc w:val="center"/>
        <w:ind w:right="3199"/>
        <w:spacing w:after="0"/>
        <w:rPr>
          <w:sz w:val="20"/>
          <w:szCs w:val="20"/>
          <w:color w:val="auto"/>
        </w:rPr>
      </w:pPr>
      <w:r>
        <w:rPr>
          <w:rFonts w:ascii="Courier New" w:cs="Courier New" w:eastAsia="Courier New" w:hAnsi="Courier New"/>
          <w:sz w:val="14"/>
          <w:szCs w:val="14"/>
          <w:color w:val="auto"/>
        </w:rPr>
        <w:t>SCHEDULE II</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HAWKINS CHEMICAL, INC.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YEARS ENDED SEPTEMBER 28, 1997, SEPTEMBER 29, 1996 AND OCTOBER 1, 1995</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tabs>
          <w:tab w:leader="none" w:pos="3900" w:val="left"/>
          <w:tab w:leader="none" w:pos="5200" w:val="left"/>
          <w:tab w:leader="none" w:pos="78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BALANCE AT</w:t>
      </w:r>
    </w:p>
    <w:p>
      <w:pPr>
        <w:spacing w:after="0" w:line="8" w:lineRule="exact"/>
        <w:rPr>
          <w:sz w:val="20"/>
          <w:szCs w:val="20"/>
          <w:color w:val="auto"/>
        </w:rPr>
      </w:pPr>
    </w:p>
    <w:p>
      <w:pPr>
        <w:ind w:left="2620"/>
        <w:spacing w:after="0"/>
        <w:tabs>
          <w:tab w:leader="none" w:pos="3980" w:val="left"/>
          <w:tab w:leader="none" w:pos="5460" w:val="left"/>
          <w:tab w:leader="none" w:pos="6500" w:val="left"/>
          <w:tab w:leader="none" w:pos="7980" w:val="left"/>
        </w:tabs>
        <w:rPr>
          <w:sz w:val="20"/>
          <w:szCs w:val="20"/>
          <w:color w:val="auto"/>
        </w:rPr>
      </w:pPr>
      <w:r>
        <w:rPr>
          <w:rFonts w:ascii="Courier New" w:cs="Courier New" w:eastAsia="Courier New" w:hAnsi="Courier New"/>
          <w:sz w:val="14"/>
          <w:szCs w:val="14"/>
          <w:color w:val="auto"/>
        </w:rPr>
        <w:t>BEGINNING OF</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END OF</w:t>
      </w:r>
    </w:p>
    <w:p>
      <w:pPr>
        <w:spacing w:after="0" w:line="8" w:lineRule="exact"/>
        <w:rPr>
          <w:sz w:val="20"/>
          <w:szCs w:val="20"/>
          <w:color w:val="auto"/>
        </w:rPr>
      </w:pPr>
    </w:p>
    <w:p>
      <w:pPr>
        <w:spacing w:after="0"/>
        <w:tabs>
          <w:tab w:leader="none" w:pos="2940" w:val="left"/>
          <w:tab w:leader="none" w:pos="3980" w:val="left"/>
          <w:tab w:leader="none" w:pos="5280" w:val="left"/>
          <w:tab w:leader="none" w:pos="6500" w:val="left"/>
          <w:tab w:leader="none" w:pos="80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ACCOUNTS</w:t>
      </w:r>
      <w:r>
        <w:rPr>
          <w:sz w:val="20"/>
          <w:szCs w:val="20"/>
          <w:color w:val="auto"/>
        </w:rPr>
        <w:tab/>
      </w:r>
      <w:r>
        <w:rPr>
          <w:rFonts w:ascii="Courier New" w:cs="Courier New" w:eastAsia="Courier New" w:hAnsi="Courier New"/>
          <w:sz w:val="14"/>
          <w:szCs w:val="14"/>
          <w:color w:val="auto"/>
        </w:rPr>
        <w:t>WRITE-OFFS</w:t>
      </w:r>
      <w:r>
        <w:rPr>
          <w:sz w:val="20"/>
          <w:szCs w:val="20"/>
          <w:color w:val="auto"/>
        </w:rPr>
        <w:tab/>
      </w:r>
      <w:r>
        <w:rPr>
          <w:rFonts w:ascii="Courier New" w:cs="Courier New" w:eastAsia="Courier New" w:hAnsi="Courier New"/>
          <w:sz w:val="14"/>
          <w:szCs w:val="14"/>
          <w:color w:val="auto"/>
        </w:rPr>
        <w:t>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deducted from</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asset to which it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applies - allowance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 doubtful accounts: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September 28, 1997</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$344,002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$ 31,200</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$ 13,372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$361,830</w:t>
            </w:r>
          </w:p>
        </w:tc>
      </w:tr>
      <w:tr>
        <w:trPr>
          <w:trHeight w:val="167"/>
        </w:trPr>
        <w:tc>
          <w:tcPr>
            <w:tcW w:w="2220" w:type="dxa"/>
            <w:vAlign w:val="bottom"/>
          </w:tcPr>
          <w:p>
            <w:pPr>
              <w:spacing w:after="0"/>
              <w:rPr>
                <w:sz w:val="14"/>
                <w:szCs w:val="14"/>
                <w:color w:val="auto"/>
              </w:rPr>
            </w:pPr>
          </w:p>
        </w:tc>
        <w:tc>
          <w:tcPr>
            <w:tcW w:w="646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646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September 29, 1996</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$347,871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$ 68,046</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$ 71,915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$344,002</w:t>
            </w:r>
          </w:p>
        </w:tc>
      </w:tr>
      <w:tr>
        <w:trPr>
          <w:trHeight w:val="167"/>
        </w:trPr>
        <w:tc>
          <w:tcPr>
            <w:tcW w:w="2220" w:type="dxa"/>
            <w:vAlign w:val="bottom"/>
          </w:tcPr>
          <w:p>
            <w:pPr>
              <w:spacing w:after="0"/>
              <w:rPr>
                <w:sz w:val="14"/>
                <w:szCs w:val="14"/>
                <w:color w:val="auto"/>
              </w:rPr>
            </w:pPr>
          </w:p>
        </w:tc>
        <w:tc>
          <w:tcPr>
            <w:tcW w:w="646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646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220" w:type="dxa"/>
            <w:vAlign w:val="bottom"/>
          </w:tcPr>
          <w:p>
            <w:pPr>
              <w:ind w:left="180"/>
              <w:spacing w:after="0"/>
              <w:rPr>
                <w:sz w:val="20"/>
                <w:szCs w:val="20"/>
                <w:color w:val="auto"/>
              </w:rPr>
            </w:pPr>
            <w:r>
              <w:rPr>
                <w:rFonts w:ascii="Courier New" w:cs="Courier New" w:eastAsia="Courier New" w:hAnsi="Courier New"/>
                <w:sz w:val="14"/>
                <w:szCs w:val="14"/>
                <w:color w:val="auto"/>
              </w:rPr>
              <w:t>October 1, 1995</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$115,661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$200,499</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$62,879</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$ 31,168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$347,871</w:t>
            </w:r>
          </w:p>
        </w:tc>
      </w:tr>
      <w:tr>
        <w:trPr>
          <w:trHeight w:val="167"/>
        </w:trPr>
        <w:tc>
          <w:tcPr>
            <w:tcW w:w="2220" w:type="dxa"/>
            <w:vAlign w:val="bottom"/>
          </w:tcPr>
          <w:p>
            <w:pPr>
              <w:spacing w:after="0"/>
              <w:rPr>
                <w:sz w:val="14"/>
                <w:szCs w:val="14"/>
                <w:color w:val="auto"/>
              </w:rPr>
            </w:pPr>
          </w:p>
        </w:tc>
        <w:tc>
          <w:tcPr>
            <w:tcW w:w="646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tcPr>
          <w:p>
            <w:pPr>
              <w:spacing w:after="0"/>
              <w:rPr>
                <w:sz w:val="14"/>
                <w:szCs w:val="14"/>
                <w:color w:val="auto"/>
              </w:rPr>
            </w:pPr>
          </w:p>
        </w:tc>
        <w:tc>
          <w:tcPr>
            <w:tcW w:w="646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w:t>
            </w:r>
          </w:p>
        </w:tc>
      </w:tr>
      <w:tr>
        <w:trPr>
          <w:trHeight w:val="835"/>
        </w:trPr>
        <w:tc>
          <w:tcPr>
            <w:tcW w:w="2220" w:type="dxa"/>
            <w:vAlign w:val="bottom"/>
          </w:tcPr>
          <w:p>
            <w:pPr>
              <w:spacing w:after="0"/>
              <w:rPr>
                <w:sz w:val="24"/>
                <w:szCs w:val="24"/>
                <w:color w:val="auto"/>
              </w:rPr>
            </w:pPr>
          </w:p>
        </w:tc>
        <w:tc>
          <w:tcPr>
            <w:tcW w:w="1520" w:type="dxa"/>
            <w:vAlign w:val="bottom"/>
          </w:tcPr>
          <w:p>
            <w:pPr>
              <w:ind w:left="1080"/>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5" w:name="page16"/>
    <w:bookmarkEnd w:id="15"/>
    <w:p>
      <w:pPr>
        <w:ind w:left="27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140" w:space="0"/>
            <w:col w:w="90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br w:type="column"/>
      </w:r>
    </w:p>
    <w:p>
      <w:pPr>
        <w:ind w:right="3379"/>
        <w:spacing w:after="0" w:line="254" w:lineRule="auto"/>
        <w:rPr>
          <w:sz w:val="20"/>
          <w:szCs w:val="20"/>
          <w:color w:val="auto"/>
        </w:rPr>
      </w:pPr>
      <w:r>
        <w:rPr>
          <w:rFonts w:ascii="Courier New" w:cs="Courier New" w:eastAsia="Courier New" w:hAnsi="Courier New"/>
          <w:sz w:val="14"/>
          <w:szCs w:val="14"/>
          <w:color w:val="auto"/>
        </w:rPr>
        <w:t>Amended and Second Restated Articles of Incorporation as amended through February 28, 1989 (Incorporated by reference to Exhibit 3D to the Registrant's Quarterly Report on Form 10-Q for the quarter ended March 31, 1989).</w:t>
      </w:r>
    </w:p>
    <w:p>
      <w:pPr>
        <w:spacing w:after="0" w:line="163" w:lineRule="exact"/>
        <w:rPr>
          <w:sz w:val="20"/>
          <w:szCs w:val="20"/>
          <w:color w:val="auto"/>
        </w:rPr>
      </w:pPr>
    </w:p>
    <w:p>
      <w:pPr>
        <w:sectPr>
          <w:pgSz w:w="11900" w:h="16838" w:orient="portrait"/>
          <w:cols w:equalWidth="0" w:num="2">
            <w:col w:w="600" w:space="720"/>
            <w:col w:w="89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ind w:right="3539"/>
        <w:spacing w:after="0" w:line="254" w:lineRule="auto"/>
        <w:rPr>
          <w:sz w:val="20"/>
          <w:szCs w:val="20"/>
          <w:color w:val="auto"/>
        </w:rPr>
      </w:pPr>
      <w:r>
        <w:rPr>
          <w:rFonts w:ascii="Courier New" w:cs="Courier New" w:eastAsia="Courier New" w:hAnsi="Courier New"/>
          <w:sz w:val="14"/>
          <w:szCs w:val="14"/>
          <w:color w:val="auto"/>
        </w:rPr>
        <w:t>Second Amended and Superseding By-Laws as amended through February 15, 1995 (incorporated by reference to Exhibit 3.2 to the Registrant's Annual Report on Form 10-K for the year ended October 1, 1995)</w:t>
      </w:r>
    </w:p>
    <w:p>
      <w:pPr>
        <w:spacing w:after="0" w:line="163" w:lineRule="exact"/>
        <w:rPr>
          <w:sz w:val="20"/>
          <w:szCs w:val="20"/>
          <w:color w:val="auto"/>
        </w:rPr>
      </w:pPr>
    </w:p>
    <w:p>
      <w:pPr>
        <w:sectPr>
          <w:pgSz w:w="11900" w:h="16838" w:orient="portrait"/>
          <w:cols w:equalWidth="0" w:num="2">
            <w:col w:w="600" w:space="720"/>
            <w:col w:w="8919"/>
          </w:cols>
          <w:pgMar w:left="220" w:top="620" w:right="1440" w:bottom="1440" w:gutter="0" w:footer="0" w:header="0"/>
          <w:type w:val="continuous"/>
        </w:sectPr>
      </w:pPr>
    </w:p>
    <w:p>
      <w:pPr>
        <w:ind w:left="1320" w:hanging="1311"/>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Exhibits 3.1 and 3.2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5"/>
              </w:rPr>
              <w:t>13*</w:t>
            </w:r>
          </w:p>
        </w:tc>
        <w:tc>
          <w:tcPr>
            <w:tcW w:w="1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Portions of</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Annual Report to Security Holders for period ended</w:t>
            </w:r>
          </w:p>
        </w:tc>
      </w:tr>
      <w:tr>
        <w:trPr>
          <w:trHeight w:val="167"/>
        </w:trPr>
        <w:tc>
          <w:tcPr>
            <w:tcW w:w="80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September</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28, 1997</w:t>
            </w:r>
          </w:p>
        </w:tc>
      </w:tr>
      <w:tr>
        <w:trPr>
          <w:trHeight w:val="334"/>
        </w:trPr>
        <w:tc>
          <w:tcPr>
            <w:tcW w:w="80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5"/>
              </w:rPr>
              <w:t>21*</w:t>
            </w:r>
          </w:p>
        </w:tc>
        <w:tc>
          <w:tcPr>
            <w:tcW w:w="59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Subsidiaries of Registrant.</w:t>
            </w:r>
          </w:p>
        </w:tc>
      </w:tr>
      <w:tr>
        <w:trPr>
          <w:trHeight w:val="334"/>
        </w:trPr>
        <w:tc>
          <w:tcPr>
            <w:tcW w:w="80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5"/>
              </w:rPr>
              <w:t>23*</w:t>
            </w:r>
          </w:p>
        </w:tc>
        <w:tc>
          <w:tcPr>
            <w:tcW w:w="15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Independent</w:t>
            </w:r>
          </w:p>
        </w:tc>
        <w:tc>
          <w:tcPr>
            <w:tcW w:w="4400" w:type="dxa"/>
            <w:vAlign w:val="bottom"/>
          </w:tcPr>
          <w:p>
            <w:pPr>
              <w:ind w:left="60"/>
              <w:spacing w:after="0"/>
              <w:rPr>
                <w:sz w:val="20"/>
                <w:szCs w:val="20"/>
                <w:color w:val="auto"/>
              </w:rPr>
            </w:pPr>
            <w:r>
              <w:rPr>
                <w:rFonts w:ascii="Courier New" w:cs="Courier New" w:eastAsia="Courier New" w:hAnsi="Courier New"/>
                <w:sz w:val="14"/>
                <w:szCs w:val="14"/>
                <w:color w:val="auto"/>
              </w:rPr>
              <w:t>Auditors' Consent</w:t>
            </w:r>
          </w:p>
        </w:tc>
      </w:tr>
      <w:tr>
        <w:trPr>
          <w:trHeight w:val="334"/>
        </w:trPr>
        <w:tc>
          <w:tcPr>
            <w:tcW w:w="80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5"/>
              </w:rPr>
              <w:t>27*</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Financial</w:t>
            </w:r>
          </w:p>
        </w:tc>
        <w:tc>
          <w:tcPr>
            <w:tcW w:w="4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Data Schedule.</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60" w:hanging="251"/>
        <w:spacing w:after="0"/>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Denotes previously unfiled documents.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539" w:firstLine="608"/>
        <w:spacing w:after="0" w:line="252" w:lineRule="auto"/>
        <w:rPr>
          <w:sz w:val="20"/>
          <w:szCs w:val="20"/>
          <w:color w:val="auto"/>
        </w:rPr>
      </w:pPr>
      <w:r>
        <w:rPr>
          <w:rFonts w:ascii="Courier New" w:cs="Courier New" w:eastAsia="Courier New" w:hAnsi="Courier New"/>
          <w:sz w:val="14"/>
          <w:szCs w:val="14"/>
          <w:color w:val="auto"/>
        </w:rPr>
        <w:t>THE INFORMATION CONTAINED IN THIS ANNUAL REPORT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ANNUAL REPORT AND THE COMPANY'S OTHER FILINGS WITH THE SECURITIES AND EXCHANGE COMMISSION. THE ACTUAL RESULTS THAT THE COMPANY ACHIEVES MAY DIFFER MATERIALLY FROM ANY FORWARD-LOOKING STATEMENTS DUE TO SUCH RISKS AND UNCERTAINTIES. THE COMPANY UNDERTAKES NO OBLIGATION TO REVISE ANY FORWARD-LOOKING STATEMENT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OR CASH FLOWS.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SUMMARY</w:t>
      </w:r>
    </w:p>
    <w:p>
      <w:pPr>
        <w:spacing w:after="0" w:line="17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4"/>
          <w:szCs w:val="14"/>
          <w:color w:val="auto"/>
        </w:rPr>
        <w:t>Net sales in fiscal 1997 increased 8.5% to $87,745,980 from</w:t>
      </w:r>
    </w:p>
    <w:p>
      <w:pPr>
        <w:spacing w:after="0" w:line="8" w:lineRule="exact"/>
        <w:rPr>
          <w:sz w:val="20"/>
          <w:szCs w:val="20"/>
          <w:color w:val="auto"/>
        </w:rPr>
      </w:pPr>
    </w:p>
    <w:p>
      <w:pPr>
        <w:jc w:val="center"/>
        <w:ind w:right="3899"/>
        <w:spacing w:after="0"/>
        <w:tabs>
          <w:tab w:leader="none" w:pos="140" w:val="left"/>
        </w:tabs>
        <w:rPr>
          <w:sz w:val="20"/>
          <w:szCs w:val="20"/>
          <w:color w:val="auto"/>
        </w:rPr>
      </w:pPr>
      <w:r>
        <w:rPr>
          <w:rFonts w:ascii="Courier New" w:cs="Courier New" w:eastAsia="Courier New" w:hAnsi="Courier New"/>
          <w:sz w:val="14"/>
          <w:szCs w:val="14"/>
          <w:color w:val="auto"/>
        </w:rPr>
        <w:t>$80,886,062 in fiscal 1996.</w:t>
        <w:tab/>
        <w:t>Net income in fiscal 1997 increased 20.3% to</w:t>
      </w:r>
    </w:p>
    <w:p>
      <w:pPr>
        <w:spacing w:after="0" w:line="8"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$7,790,487 from $6,476,410 in fiscal 1996. Net earnings per share in fiscal 1997 were $.67 compared to $.56 in fiscal 1996. Return on average shareholders' equity was 16.9% for 1997, compared to 16.0% for 1996. Book value per share at September 28, 1997 was $4.22 compared to $3.71 one year ago. Book value per share for fiscal 1996 has been restated to reflect the 1997 stock dividend.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639" w:firstLine="608"/>
        <w:spacing w:after="0" w:line="254" w:lineRule="auto"/>
        <w:rPr>
          <w:sz w:val="20"/>
          <w:szCs w:val="20"/>
          <w:color w:val="auto"/>
        </w:rPr>
      </w:pPr>
      <w:r>
        <w:rPr>
          <w:rFonts w:ascii="Courier New" w:cs="Courier New" w:eastAsia="Courier New" w:hAnsi="Courier New"/>
          <w:sz w:val="14"/>
          <w:szCs w:val="14"/>
          <w:color w:val="auto"/>
        </w:rPr>
        <w:t>The general economic environment in our markets has improved slightly with the overall improvement in the economy. While this improvement had a favorable impact on earnings, management will continue to focus efforts on programs aimed at improving profitability and controlling costs.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175" w:lineRule="exact"/>
        <w:rPr>
          <w:sz w:val="20"/>
          <w:szCs w:val="20"/>
          <w:color w:val="auto"/>
        </w:rPr>
      </w:pPr>
    </w:p>
    <w:p>
      <w:pPr>
        <w:ind w:right="3539" w:firstLine="608"/>
        <w:spacing w:after="0" w:line="253" w:lineRule="auto"/>
        <w:rPr>
          <w:sz w:val="20"/>
          <w:szCs w:val="20"/>
          <w:color w:val="auto"/>
        </w:rPr>
      </w:pPr>
      <w:r>
        <w:rPr>
          <w:rFonts w:ascii="Courier New" w:cs="Courier New" w:eastAsia="Courier New" w:hAnsi="Courier New"/>
          <w:sz w:val="14"/>
          <w:szCs w:val="14"/>
          <w:color w:val="auto"/>
        </w:rPr>
        <w:t>For the year ended September 28, 1997, sales increased $6,859,918, an 8.5% increase from 1996, due to volume increases of caustic soda, increasing business in food grade products and pharmaceutical chemicals and overall volume increases in all divisions and subsidiaries. For the year ended September 29, 1996, sales decreased $2,446,562, a 2.9% decrease from 1995, due mainly to management's decision to discontinue sales to mass merchandisers by The Lynde Company subsidiary, as that business involved high volumes and high inventory levels with a low and decreasing profit margin. Also contributing to the sales decrease in 1996 was a slight decrease in the selling price of a single, large-volume product and extremely cold weather conditions during the second quarter of the fiscal year, which caused some customers to have limited operations or to close down temporarily, thereby decreasing their volumes. The above decreases were partially offset by volume increases in 1996 in most of the Company's divisions and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MARGINS</w:t>
      </w:r>
    </w:p>
    <w:p>
      <w:pPr>
        <w:spacing w:after="0" w:line="175" w:lineRule="exact"/>
        <w:rPr>
          <w:sz w:val="20"/>
          <w:szCs w:val="20"/>
          <w:color w:val="auto"/>
        </w:rPr>
      </w:pPr>
    </w:p>
    <w:p>
      <w:pPr>
        <w:ind w:right="3719" w:firstLine="608"/>
        <w:spacing w:after="0" w:line="254" w:lineRule="auto"/>
        <w:rPr>
          <w:sz w:val="20"/>
          <w:szCs w:val="20"/>
          <w:color w:val="auto"/>
        </w:rPr>
      </w:pPr>
      <w:r>
        <w:rPr>
          <w:rFonts w:ascii="Courier New" w:cs="Courier New" w:eastAsia="Courier New" w:hAnsi="Courier New"/>
          <w:sz w:val="14"/>
          <w:szCs w:val="14"/>
          <w:color w:val="auto"/>
        </w:rPr>
        <w:t>Gross margin, as a percentage of sales, was 24.3% in 1997, 22.4% in 1996 and 21.3% in 1995. The 1997 increase was due mainly to better profit margins on a portion of the sales volume increase and the Company's ability to retain relatively constant dollar profit margins of a major product line while the cost of the materials</w:t>
      </w:r>
    </w:p>
    <w:p>
      <w:pPr>
        <w:spacing w:after="0" w:line="162" w:lineRule="exact"/>
        <w:rPr>
          <w:sz w:val="20"/>
          <w:szCs w:val="20"/>
          <w:color w:val="auto"/>
        </w:rPr>
      </w:pPr>
    </w:p>
    <w:p>
      <w:pPr>
        <w:ind w:left="1920"/>
        <w:spacing w:after="0"/>
        <w:tabs>
          <w:tab w:leader="none" w:pos="2160" w:val="left"/>
        </w:tabs>
        <w:rPr>
          <w:sz w:val="20"/>
          <w:szCs w:val="20"/>
          <w:color w:val="auto"/>
        </w:rPr>
      </w:pPr>
      <w:r>
        <w:rPr>
          <w:rFonts w:ascii="Courier New" w:cs="Courier New" w:eastAsia="Courier New" w:hAnsi="Courier New"/>
          <w:sz w:val="14"/>
          <w:szCs w:val="14"/>
          <w:color w:val="auto"/>
        </w:rPr>
        <w:t>8</w:t>
        <w:tab/>
        <w:t>HAWKINS CHEMICAL, INC. AND SUBSIDIARIES</w:t>
      </w:r>
    </w:p>
    <w:p>
      <w:pPr>
        <w:sectPr>
          <w:pgSz w:w="11900" w:h="16838" w:orient="portrait"/>
          <w:cols w:equalWidth="0" w:num="1">
            <w:col w:w="10239"/>
          </w:cols>
          <w:pgMar w:left="220" w:top="47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342"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decreased. By maintaining relatively stable dollar margins, the gross margin percentage will increase when the cost of the product is decreasing. The</w:t>
      </w:r>
    </w:p>
    <w:p>
      <w:pPr>
        <w:spacing w:after="0" w:line="1"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1996 margin increase was due mainly to discontinuing the lower margin sales to mass merchandisers previously mentioned and, to a lesser extent, better profit margins on a few product lines. The Company has also generally been able to, and expects to continue to, adjust its selling prices as the cost of materials and other expenses change, thereby maintaining relatively stable gross margins.</w:t>
      </w:r>
    </w:p>
    <w:p>
      <w:pPr>
        <w:spacing w:after="0" w:line="329" w:lineRule="exact"/>
        <w:rPr>
          <w:sz w:val="20"/>
          <w:szCs w:val="20"/>
          <w:color w:val="auto"/>
        </w:rPr>
      </w:pPr>
    </w:p>
    <w:p>
      <w:pPr>
        <w:ind w:right="3639" w:firstLine="608"/>
        <w:spacing w:after="0" w:line="253" w:lineRule="auto"/>
        <w:rPr>
          <w:sz w:val="20"/>
          <w:szCs w:val="20"/>
          <w:color w:val="auto"/>
        </w:rPr>
      </w:pPr>
      <w:r>
        <w:rPr>
          <w:rFonts w:ascii="Courier New" w:cs="Courier New" w:eastAsia="Courier New" w:hAnsi="Courier New"/>
          <w:sz w:val="14"/>
          <w:szCs w:val="14"/>
          <w:color w:val="auto"/>
        </w:rPr>
        <w:t>The Company's caustic soda operations are located on the Mississippi River, enabling the Company to receive caustic soda through barge transportation. When the river has flooded, the Company has been able to receive caustic soda by tank cars. Although the use of tank cars has resulted in additional costs, results of operations have not been materially impacted. Based on this experience, the Company does not expect any future flooding to have a material impact on the Company's financial condition, results of operations, or cash flows.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175" w:lineRule="exact"/>
        <w:rPr>
          <w:sz w:val="20"/>
          <w:szCs w:val="20"/>
          <w:color w:val="auto"/>
        </w:rPr>
      </w:pPr>
    </w:p>
    <w:p>
      <w:pPr>
        <w:ind w:right="3539" w:firstLine="608"/>
        <w:spacing w:after="0" w:line="253" w:lineRule="auto"/>
        <w:rPr>
          <w:sz w:val="20"/>
          <w:szCs w:val="20"/>
          <w:color w:val="auto"/>
        </w:rPr>
      </w:pPr>
      <w:r>
        <w:rPr>
          <w:rFonts w:ascii="Courier New" w:cs="Courier New" w:eastAsia="Courier New" w:hAnsi="Courier New"/>
          <w:sz w:val="14"/>
          <w:szCs w:val="14"/>
          <w:color w:val="auto"/>
        </w:rPr>
        <w:t>Selling, general and administrative expenses increased 7.3% and 3.2% in 1997 and 1996, respectively, over the previous year. The 1997 increase was due to increasing the sales staff, which resulted in higher employee salaries and benefits costs and to general inflation in all other areas. The 1996 increase over the previous year was due mainly to increased costs of operation, which approximated the inflation rate.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SETTLEMENT COSTS RELATED TO 1995 FIRE</w:t>
      </w:r>
    </w:p>
    <w:p>
      <w:pPr>
        <w:spacing w:after="0" w:line="175" w:lineRule="exact"/>
        <w:rPr>
          <w:sz w:val="20"/>
          <w:szCs w:val="20"/>
          <w:color w:val="auto"/>
        </w:rPr>
      </w:pPr>
    </w:p>
    <w:p>
      <w:pPr>
        <w:ind w:right="3539" w:firstLine="608"/>
        <w:spacing w:after="0" w:line="252" w:lineRule="auto"/>
        <w:rPr>
          <w:sz w:val="20"/>
          <w:szCs w:val="20"/>
          <w:color w:val="auto"/>
        </w:rPr>
      </w:pPr>
      <w:r>
        <w:rPr>
          <w:rFonts w:ascii="Courier New" w:cs="Courier New" w:eastAsia="Courier New" w:hAnsi="Courier New"/>
          <w:sz w:val="14"/>
          <w:szCs w:val="14"/>
          <w:color w:val="auto"/>
        </w:rPr>
        <w:t>The charge of $1,771,439 in 1997 and $750,000 in 1995 was recorded to cover settlement costs in connection with the Company's defense of a lawsuit filed against it. The lawsuit alleged that the plaintiffs sustained damages resulting from a fire at an office/warehouse facility used by The Lynde Company, a former wholly owned subsidiary of the Company. Through September 28, 1997, the Company had paid $1.5 million in settlement and legal costs relating to the fire and based upon a settlement agreement, expects to pay approximately $1 million of known legal and settlement costs in the future in connection with this suit. The Company will incur additional future obligations relating to the settlement of this lawsuit pursuant to a matrix and plan of distribution which is a part of the settlement. The Company is not able to estimate the magnitude of this potential exposure at this time. Management of the Company believes the final disposition of this matter will not have a material adverse effect on the Company's financial position, results of operations or cash flows. Management believes that all or a portion of the costs associated with this suit may be recoverable from the Company's insurers.</w:t>
      </w:r>
    </w:p>
    <w:p>
      <w:pPr>
        <w:spacing w:after="0" w:line="340" w:lineRule="exact"/>
        <w:rPr>
          <w:sz w:val="20"/>
          <w:szCs w:val="20"/>
          <w:color w:val="auto"/>
        </w:rPr>
      </w:pPr>
    </w:p>
    <w:p>
      <w:pPr>
        <w:ind w:right="3539" w:firstLine="608"/>
        <w:spacing w:after="0" w:line="253" w:lineRule="auto"/>
        <w:rPr>
          <w:sz w:val="20"/>
          <w:szCs w:val="20"/>
          <w:color w:val="auto"/>
        </w:rPr>
      </w:pPr>
      <w:r>
        <w:rPr>
          <w:rFonts w:ascii="Courier New" w:cs="Courier New" w:eastAsia="Courier New" w:hAnsi="Courier New"/>
          <w:sz w:val="14"/>
          <w:szCs w:val="14"/>
          <w:color w:val="auto"/>
        </w:rPr>
        <w:t>The Company's primary and umbrella insurers have denied coverage of any liability which might arise in connection with this lawsuit and rejected the tender of the defense of the lawsuit. The Company has commenced lawsuits against its insurers, seeking a finding that the Company's liability exposure and defense costs are covered by the applicable policies. The Company prevailed on its claims in Federal District Court. The insurers have appealed the District Court's decision to the Eighth Circuit Court of Appeals. Therefore, it is not possible to determine what recovery, if any, may be obtained by the Company at this time, and no amount has been recorded at September 28, 1997. A decision on the appeal is expected in late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w:t>
      </w:r>
    </w:p>
    <w:p>
      <w:pPr>
        <w:spacing w:after="0" w:line="175" w:lineRule="exact"/>
        <w:rPr>
          <w:sz w:val="20"/>
          <w:szCs w:val="20"/>
          <w:color w:val="auto"/>
        </w:rPr>
      </w:pPr>
    </w:p>
    <w:p>
      <w:pPr>
        <w:ind w:right="3639" w:firstLine="608"/>
        <w:spacing w:after="0" w:line="255" w:lineRule="auto"/>
        <w:rPr>
          <w:sz w:val="20"/>
          <w:szCs w:val="20"/>
          <w:color w:val="auto"/>
        </w:rPr>
      </w:pPr>
      <w:r>
        <w:rPr>
          <w:rFonts w:ascii="Courier New" w:cs="Courier New" w:eastAsia="Courier New" w:hAnsi="Courier New"/>
          <w:sz w:val="14"/>
          <w:szCs w:val="14"/>
          <w:color w:val="auto"/>
        </w:rPr>
        <w:t>Interest income was up 16% in 1997 as compared to 1996 due to more cash available for investment and to additional interest earned on the notes receivable relating</w:t>
      </w:r>
    </w:p>
    <w:p>
      <w:pPr>
        <w:spacing w:after="0" w:line="162" w:lineRule="exact"/>
        <w:rPr>
          <w:sz w:val="20"/>
          <w:szCs w:val="20"/>
          <w:color w:val="auto"/>
        </w:rPr>
      </w:pPr>
    </w:p>
    <w:p>
      <w:pPr>
        <w:ind w:left="1920"/>
        <w:spacing w:after="0"/>
        <w:tabs>
          <w:tab w:leader="none" w:pos="2160" w:val="left"/>
        </w:tabs>
        <w:rPr>
          <w:sz w:val="20"/>
          <w:szCs w:val="20"/>
          <w:color w:val="auto"/>
        </w:rPr>
      </w:pPr>
      <w:r>
        <w:rPr>
          <w:rFonts w:ascii="Courier New" w:cs="Courier New" w:eastAsia="Courier New" w:hAnsi="Courier New"/>
          <w:sz w:val="14"/>
          <w:szCs w:val="14"/>
          <w:color w:val="auto"/>
        </w:rPr>
        <w:t>9</w:t>
        <w:tab/>
        <w:t>HAWKINS CHEMICAL, INC. AND SUBSIDIARIES</w:t>
      </w:r>
    </w:p>
    <w:p>
      <w:pPr>
        <w:sectPr>
          <w:pgSz w:w="11900" w:h="16838" w:orient="portrait"/>
          <w:cols w:equalWidth="0" w:num="1">
            <w:col w:w="10239"/>
          </w:cols>
          <w:pgMar w:left="220" w:top="62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342"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to the sale of The Lynde Company (Note 3). Interest income was up 7% in 1996 as compared to 1995 due to more cash available for investment. Interest expense decreased in 1997 and 1996 as compared to the previous year. Most of the interest expense is the result of the Company issuing a note payable to the seller in connection with the acquisition of the assets of Industrial Chemical &amp; Equipment Company. The gain on the sale of The Lynde Company relates to the Company's sale of the subsidiary on May 29, 1997. Other miscellaneous income (deductions) increased in 1997 and 1996 as compared to the previous years due to the gain on the sale of land in 1997 and to the gain on the sale of a building in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175" w:lineRule="exact"/>
        <w:rPr>
          <w:sz w:val="20"/>
          <w:szCs w:val="20"/>
          <w:color w:val="auto"/>
        </w:rPr>
      </w:pPr>
    </w:p>
    <w:p>
      <w:pPr>
        <w:ind w:right="3539" w:firstLine="608"/>
        <w:spacing w:after="0" w:line="254" w:lineRule="auto"/>
        <w:rPr>
          <w:sz w:val="20"/>
          <w:szCs w:val="20"/>
          <w:color w:val="auto"/>
        </w:rPr>
      </w:pPr>
      <w:r>
        <w:rPr>
          <w:rFonts w:ascii="Courier New" w:cs="Courier New" w:eastAsia="Courier New" w:hAnsi="Courier New"/>
          <w:sz w:val="14"/>
          <w:szCs w:val="14"/>
          <w:color w:val="auto"/>
        </w:rPr>
        <w:t>The effective income tax rate was 38.8% for 1997, 38.0% for the year ended September 29, 1996 and 39.7% for the year ended October 1, 1995. The differences are due mainly to variations in tax-free income on investments in municipal bonds.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ind w:right="3539" w:firstLine="608"/>
        <w:spacing w:after="0" w:line="254" w:lineRule="auto"/>
        <w:rPr>
          <w:sz w:val="20"/>
          <w:szCs w:val="20"/>
          <w:color w:val="auto"/>
        </w:rPr>
      </w:pPr>
      <w:r>
        <w:rPr>
          <w:rFonts w:ascii="Courier New" w:cs="Courier New" w:eastAsia="Courier New" w:hAnsi="Courier New"/>
          <w:sz w:val="14"/>
          <w:szCs w:val="14"/>
          <w:color w:val="auto"/>
        </w:rPr>
        <w:t>Inflation has not had a significant impact on the Company, as selling prices have generally been adjusted as the cost of materials and other expenses have changed. On occasion, however, slight fluctuations in the cost of a single, large-volume product have not been reflected in the selling price of that product.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5" w:lineRule="exact"/>
        <w:rPr>
          <w:sz w:val="20"/>
          <w:szCs w:val="20"/>
          <w:color w:val="auto"/>
        </w:rPr>
      </w:pPr>
    </w:p>
    <w:p>
      <w:pPr>
        <w:ind w:right="3539" w:firstLine="608"/>
        <w:spacing w:after="0" w:line="254" w:lineRule="auto"/>
        <w:rPr>
          <w:sz w:val="20"/>
          <w:szCs w:val="20"/>
          <w:color w:val="auto"/>
        </w:rPr>
      </w:pPr>
      <w:r>
        <w:rPr>
          <w:rFonts w:ascii="Courier New" w:cs="Courier New" w:eastAsia="Courier New" w:hAnsi="Courier New"/>
          <w:sz w:val="14"/>
          <w:szCs w:val="14"/>
          <w:color w:val="auto"/>
        </w:rPr>
        <w:t>Effective March 1, 1995, the Company sold the inventory, equipment and operations of Tessman Seed. As a result of the sale transaction, the Company recorded a loss on the disposal in the second quarter of 1995 of $321,266, net of a tax benefit totaling $214,200, to write down Tessman's assets to the amount realized. Revenues for Tessman were $931,105 for fiscal year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5" w:lineRule="exact"/>
        <w:rPr>
          <w:sz w:val="20"/>
          <w:szCs w:val="20"/>
          <w:color w:val="auto"/>
        </w:rPr>
      </w:pPr>
    </w:p>
    <w:p>
      <w:pPr>
        <w:ind w:right="3639" w:firstLine="608"/>
        <w:spacing w:after="0" w:line="253" w:lineRule="auto"/>
        <w:rPr>
          <w:sz w:val="20"/>
          <w:szCs w:val="20"/>
          <w:color w:val="auto"/>
        </w:rPr>
      </w:pPr>
      <w:r>
        <w:rPr>
          <w:rFonts w:ascii="Courier New" w:cs="Courier New" w:eastAsia="Courier New" w:hAnsi="Courier New"/>
          <w:sz w:val="14"/>
          <w:szCs w:val="14"/>
          <w:color w:val="auto"/>
        </w:rPr>
        <w:t>Cash provided by operations in fiscal 1997 was $5,675,264 compared with $7,241,783 in fiscal 1996 and $8,812,004 in fiscal 1995. The decrease in fiscal 1997 over 1996 was due primarily to an increase in trade receivables caused by the sales increase, an increase in inventories to meet expected future sale increases, and to a decrease in accounts payable caused by the timing of year-end purchases. The decrease in cash provided by operations in fiscal 1996, as compared to 1995, was due primarily to decreases in accounts payable related to differences in timing of cash payments related to year-end purchases, which was partially offset by an increase in cash collections related to trade receivables.</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Cash and investments available-for-sale increased by $608,371 to</w:t>
      </w:r>
    </w:p>
    <w:p>
      <w:pPr>
        <w:spacing w:after="0" w:line="8"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4"/>
          <w:szCs w:val="14"/>
          <w:color w:val="auto"/>
        </w:rPr>
        <w:t>$20,045,099 at the end of fiscal 1997.</w:t>
        <w:tab/>
        <w:t>The Company is investing excess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in conservative investments. Cash equivalents consist of bank</w:t>
      </w:r>
    </w:p>
    <w:p>
      <w:pPr>
        <w:spacing w:after="0" w:line="8"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certificates of deposit.</w:t>
        <w:tab/>
        <w:t>Investments consist of investment contracts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high-rated, stable insurance companies and marketable securities consisting</w:t>
      </w:r>
    </w:p>
    <w:p>
      <w:pPr>
        <w:spacing w:after="0" w:line="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of municipal bonds carried at fair value which approximates cost.</w:t>
        <w:tab/>
        <w:t>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 and investments are highly liquid and are available upon demand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minor penalty.</w:t>
      </w:r>
    </w:p>
    <w:p>
      <w:pPr>
        <w:spacing w:after="0" w:line="175" w:lineRule="exact"/>
        <w:rPr>
          <w:sz w:val="20"/>
          <w:szCs w:val="20"/>
          <w:color w:val="auto"/>
        </w:rPr>
      </w:pPr>
    </w:p>
    <w:p>
      <w:pPr>
        <w:ind w:right="3539" w:firstLine="608"/>
        <w:spacing w:after="0" w:line="253" w:lineRule="auto"/>
        <w:rPr>
          <w:sz w:val="20"/>
          <w:szCs w:val="20"/>
          <w:color w:val="auto"/>
        </w:rPr>
      </w:pPr>
      <w:r>
        <w:rPr>
          <w:rFonts w:ascii="Courier New" w:cs="Courier New" w:eastAsia="Courier New" w:hAnsi="Courier New"/>
          <w:sz w:val="14"/>
          <w:szCs w:val="14"/>
          <w:color w:val="auto"/>
        </w:rPr>
        <w:t>On May 29, 1997, the Company sold the inventory and operations of The Lynde Company, a wholly owned subsidiary which specialized in swimming pool chemicals, for $2,590,000, effective March 1, 1997. The Company recorded a gain on the sale of approximately $1.3 million. At closing, Hawkins received $500,000 cash and a note receivable for the balance. The note receivable is due over the next six years plus interest at 8%.</w:t>
      </w:r>
    </w:p>
    <w:p>
      <w:pPr>
        <w:spacing w:after="0" w:line="165" w:lineRule="exact"/>
        <w:rPr>
          <w:sz w:val="20"/>
          <w:szCs w:val="20"/>
          <w:color w:val="auto"/>
        </w:rPr>
      </w:pPr>
    </w:p>
    <w:p>
      <w:pPr>
        <w:ind w:left="1840"/>
        <w:spacing w:after="0"/>
        <w:tabs>
          <w:tab w:leader="none" w:pos="2160" w:val="left"/>
        </w:tabs>
        <w:rPr>
          <w:sz w:val="20"/>
          <w:szCs w:val="20"/>
          <w:color w:val="auto"/>
        </w:rPr>
      </w:pPr>
      <w:r>
        <w:rPr>
          <w:rFonts w:ascii="Courier New" w:cs="Courier New" w:eastAsia="Courier New" w:hAnsi="Courier New"/>
          <w:sz w:val="14"/>
          <w:szCs w:val="14"/>
          <w:color w:val="auto"/>
        </w:rPr>
        <w:t>10</w:t>
        <w:tab/>
        <w:t>HAWKINS CHEMICAL, INC. AND SUBSIDIARIES</w:t>
      </w:r>
    </w:p>
    <w:p>
      <w:pPr>
        <w:sectPr>
          <w:pgSz w:w="11900" w:h="16838" w:orient="portrait"/>
          <w:cols w:equalWidth="0" w:num="1">
            <w:col w:w="10239"/>
          </w:cols>
          <w:pgMar w:left="220" w:top="62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342" w:lineRule="exact"/>
        <w:rPr>
          <w:sz w:val="20"/>
          <w:szCs w:val="20"/>
          <w:color w:val="auto"/>
        </w:rPr>
      </w:pPr>
    </w:p>
    <w:p>
      <w:pPr>
        <w:ind w:right="3799" w:firstLine="608"/>
        <w:spacing w:after="0" w:line="254" w:lineRule="auto"/>
        <w:rPr>
          <w:sz w:val="20"/>
          <w:szCs w:val="20"/>
          <w:color w:val="auto"/>
        </w:rPr>
      </w:pPr>
      <w:r>
        <w:rPr>
          <w:rFonts w:ascii="Courier New" w:cs="Courier New" w:eastAsia="Courier New" w:hAnsi="Courier New"/>
          <w:sz w:val="14"/>
          <w:szCs w:val="14"/>
          <w:color w:val="auto"/>
        </w:rPr>
        <w:t>On March 1, 1995, the inventory, equipment and operations of the Company's Tessman Seed subsidiary was sold for $1,144,714. At closing Hawkins received $100,000 and a note receivable for the balance. The note receivable is due over the next nine years plus interest at 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RESOURCES</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Capital expenditures in fiscal years 1997, 1996 and 1995 were</w:t>
      </w:r>
    </w:p>
    <w:p>
      <w:pPr>
        <w:spacing w:after="0" w:line="8" w:lineRule="exact"/>
        <w:rPr>
          <w:sz w:val="20"/>
          <w:szCs w:val="20"/>
          <w:color w:val="auto"/>
        </w:rPr>
      </w:pPr>
    </w:p>
    <w:p>
      <w:pPr>
        <w:ind w:right="3639"/>
        <w:spacing w:after="0" w:line="253" w:lineRule="auto"/>
        <w:rPr>
          <w:sz w:val="20"/>
          <w:szCs w:val="20"/>
          <w:color w:val="auto"/>
        </w:rPr>
      </w:pPr>
      <w:r>
        <w:rPr>
          <w:rFonts w:ascii="Courier New" w:cs="Courier New" w:eastAsia="Courier New" w:hAnsi="Courier New"/>
          <w:sz w:val="14"/>
          <w:szCs w:val="14"/>
          <w:color w:val="auto"/>
        </w:rPr>
        <w:t>$4,017,543, $4,299,071 and $3,650,719, respectively. The new food chemical production facility accounted for approximately $1.2 million of the 1997 capital expenditures. Other warehouse, laboratory and office machinery and equipment accounted for $1.2 million, other building improvements and additions amounted to $1.1 million and additions to transportation equipment accounted for $.5 million of the 1997 fiscal year capital expenditures.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5" w:lineRule="exact"/>
        <w:rPr>
          <w:sz w:val="20"/>
          <w:szCs w:val="20"/>
          <w:color w:val="auto"/>
        </w:rPr>
      </w:pPr>
    </w:p>
    <w:p>
      <w:pPr>
        <w:ind w:right="3539" w:firstLine="608"/>
        <w:spacing w:after="0" w:line="253" w:lineRule="auto"/>
        <w:rPr>
          <w:sz w:val="20"/>
          <w:szCs w:val="20"/>
          <w:color w:val="auto"/>
        </w:rPr>
      </w:pPr>
      <w:r>
        <w:rPr>
          <w:rFonts w:ascii="Courier New" w:cs="Courier New" w:eastAsia="Courier New" w:hAnsi="Courier New"/>
          <w:sz w:val="14"/>
          <w:szCs w:val="14"/>
          <w:color w:val="auto"/>
        </w:rPr>
        <w:t>Management does not anticipate the need for stock or debt issuances in the short or long-term, as cash, investments and cash flows from operations have been more than adequate to fund working capital, capital investments and dividend needs. If the need for additional financing arises, however, management will consider issuance of debt or equity if such financing can be obtained on favorable terms. Although management continually looks for companies to acquire and for ways to modernize its warehouse facilities and equipment, no material commitments for acquisitions or capital expenditures currently exist.</w:t>
      </w:r>
    </w:p>
    <w:p>
      <w:pPr>
        <w:spacing w:after="0" w:line="164" w:lineRule="exact"/>
        <w:rPr>
          <w:sz w:val="20"/>
          <w:szCs w:val="20"/>
          <w:color w:val="auto"/>
        </w:rPr>
      </w:pPr>
    </w:p>
    <w:p>
      <w:pPr>
        <w:ind w:right="3539" w:firstLine="608"/>
        <w:spacing w:after="0" w:line="254" w:lineRule="auto"/>
        <w:rPr>
          <w:sz w:val="20"/>
          <w:szCs w:val="20"/>
          <w:color w:val="auto"/>
        </w:rPr>
      </w:pPr>
      <w:r>
        <w:rPr>
          <w:rFonts w:ascii="Courier New" w:cs="Courier New" w:eastAsia="Courier New" w:hAnsi="Courier New"/>
          <w:sz w:val="14"/>
          <w:szCs w:val="14"/>
          <w:color w:val="auto"/>
        </w:rPr>
        <w:t>Other than as discussed above, management is not aware of any matters or trends that have materially affected the results of operations for fiscal 1997 that are not expected to have either short or long-term implications, nor is it aware of any trends or other matters that have not materially affected results in fiscal 1997 but are expected to have a material effect on future periods.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175" w:lineRule="exact"/>
        <w:rPr>
          <w:sz w:val="20"/>
          <w:szCs w:val="20"/>
          <w:color w:val="auto"/>
        </w:rPr>
      </w:pPr>
    </w:p>
    <w:p>
      <w:pPr>
        <w:ind w:right="3799" w:firstLine="608"/>
        <w:spacing w:after="0" w:line="254" w:lineRule="auto"/>
        <w:rPr>
          <w:sz w:val="20"/>
          <w:szCs w:val="20"/>
          <w:color w:val="auto"/>
        </w:rPr>
      </w:pPr>
      <w:r>
        <w:rPr>
          <w:rFonts w:ascii="Courier New" w:cs="Courier New" w:eastAsia="Courier New" w:hAnsi="Courier New"/>
          <w:sz w:val="14"/>
          <w:szCs w:val="14"/>
          <w:color w:val="auto"/>
        </w:rPr>
        <w:t>In October 1996, the American Institute of Certified Public Accountants issued Statement of Position 96-1, "Environmental Remediation Liabilities." The statement is effective for fiscal years beginning after December 15, 1996. Management does not believe this statement will have a significant impact on the financial statements.</w:t>
      </w:r>
    </w:p>
    <w:p>
      <w:pPr>
        <w:spacing w:after="0" w:line="162" w:lineRule="exact"/>
        <w:rPr>
          <w:sz w:val="20"/>
          <w:szCs w:val="20"/>
          <w:color w:val="auto"/>
        </w:rPr>
      </w:pPr>
    </w:p>
    <w:p>
      <w:pPr>
        <w:ind w:right="3539" w:firstLine="608"/>
        <w:spacing w:after="0" w:line="253" w:lineRule="auto"/>
        <w:rPr>
          <w:sz w:val="20"/>
          <w:szCs w:val="20"/>
          <w:color w:val="auto"/>
        </w:rPr>
      </w:pPr>
      <w:r>
        <w:rPr>
          <w:rFonts w:ascii="Courier New" w:cs="Courier New" w:eastAsia="Courier New" w:hAnsi="Courier New"/>
          <w:sz w:val="14"/>
          <w:szCs w:val="14"/>
          <w:color w:val="auto"/>
        </w:rPr>
        <w:t>In February 1997, the Financial Accounting Standards Board issued SFAS No. 128, "Earnings per Share." This statement specifies the computation, presentation, and disclosure requirements for earnings per share. This statement is effective for financial statements issued for periods ending after December 15, 1997, including interim periods. The Company does not believe the adoption of SFAS No. 128 will have a material impact on earnings per share.</w:t>
      </w:r>
    </w:p>
    <w:p>
      <w:pPr>
        <w:spacing w:after="0" w:line="33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11 HAWKINS CHEMICAL, INC. AND SUBSIDARIES</w:t>
      </w:r>
    </w:p>
    <w:p>
      <w:pPr>
        <w:sectPr>
          <w:pgSz w:w="11900" w:h="16838" w:orient="portrait"/>
          <w:cols w:equalWidth="0" w:num="1">
            <w:col w:w="10239"/>
          </w:cols>
          <w:pgMar w:left="220" w:top="62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520"/>
        <w:spacing w:after="0"/>
        <w:tabs>
          <w:tab w:leader="none" w:pos="9800" w:val="left"/>
        </w:tabs>
        <w:rPr>
          <w:sz w:val="20"/>
          <w:szCs w:val="20"/>
          <w:color w:val="auto"/>
        </w:rPr>
      </w:pPr>
      <w:r>
        <w:rPr>
          <w:rFonts w:ascii="Courier New" w:cs="Courier New" w:eastAsia="Courier New" w:hAnsi="Courier New"/>
          <w:sz w:val="14"/>
          <w:szCs w:val="14"/>
          <w:color w:val="auto"/>
        </w:rPr>
        <w:t>SEPTEMBER 28,</w:t>
        <w:tab/>
        <w:t>September 29,</w:t>
      </w:r>
    </w:p>
    <w:p>
      <w:pPr>
        <w:spacing w:after="0" w:line="8" w:lineRule="exact"/>
        <w:rPr>
          <w:sz w:val="20"/>
          <w:szCs w:val="20"/>
          <w:color w:val="auto"/>
        </w:rPr>
      </w:pPr>
    </w:p>
    <w:p>
      <w:pPr>
        <w:ind w:left="9200"/>
        <w:spacing w:after="0"/>
        <w:tabs>
          <w:tab w:leader="none" w:pos="105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$ 8,065,021</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8,932,125</w:t>
            </w:r>
          </w:p>
        </w:tc>
      </w:tr>
      <w:tr>
        <w:trPr>
          <w:trHeight w:val="167"/>
        </w:trPr>
        <w:tc>
          <w:tcPr>
            <w:tcW w:w="8420" w:type="dxa"/>
            <w:vAlign w:val="bottom"/>
          </w:tcPr>
          <w:p>
            <w:pPr>
              <w:ind w:left="180"/>
              <w:spacing w:after="0"/>
              <w:rPr>
                <w:sz w:val="20"/>
                <w:szCs w:val="20"/>
                <w:color w:val="auto"/>
              </w:rPr>
            </w:pPr>
            <w:r>
              <w:rPr>
                <w:rFonts w:ascii="Courier New" w:cs="Courier New" w:eastAsia="Courier New" w:hAnsi="Courier New"/>
                <w:sz w:val="14"/>
                <w:szCs w:val="14"/>
                <w:color w:val="auto"/>
              </w:rPr>
              <w:t>Investments available-for-sale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11,980,078</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10,504,603</w:t>
            </w:r>
          </w:p>
        </w:tc>
      </w:tr>
      <w:tr>
        <w:trPr>
          <w:trHeight w:val="167"/>
        </w:trPr>
        <w:tc>
          <w:tcPr>
            <w:tcW w:w="8420" w:type="dxa"/>
            <w:vAlign w:val="bottom"/>
          </w:tcPr>
          <w:p>
            <w:pPr>
              <w:ind w:left="180"/>
              <w:spacing w:after="0"/>
              <w:rPr>
                <w:sz w:val="20"/>
                <w:szCs w:val="20"/>
                <w:color w:val="auto"/>
              </w:rPr>
            </w:pPr>
            <w:r>
              <w:rPr>
                <w:rFonts w:ascii="Courier New" w:cs="Courier New" w:eastAsia="Courier New" w:hAnsi="Courier New"/>
                <w:sz w:val="14"/>
                <w:szCs w:val="14"/>
                <w:color w:val="auto"/>
              </w:rPr>
              <w:t>Trade receivables - less allowance for doubtful</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accounts:  1997, $361,830; 1996, $344,002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11,117,991</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9,740,285</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Notes receivable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222,946</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170,988</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Inventories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8,580,705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8,584,034</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Prepaid expenses and other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1,912,325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924,457</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 current assets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41,879,066</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38,856,492</w:t>
            </w:r>
          </w:p>
        </w:tc>
      </w:tr>
      <w:tr>
        <w:trPr>
          <w:trHeight w:val="167"/>
        </w:trPr>
        <w:tc>
          <w:tcPr>
            <w:tcW w:w="84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Land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655,194</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673,733</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Buildings and improvements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14,716,226</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13,242,152</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Machinery and equipment..................................................................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6,173,501</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4,392,562</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Transportation equipment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5,051,518</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4,803,768</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Office furniture and equipment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1,668,849</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1,471,737</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28,265,288</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24,583,952</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Less accumulated depreciation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12,777,743</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11,396,274</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Net property, plant and equipment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15,487,545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13,187,678</w:t>
            </w:r>
          </w:p>
        </w:tc>
      </w:tr>
      <w:tr>
        <w:trPr>
          <w:trHeight w:val="167"/>
        </w:trPr>
        <w:tc>
          <w:tcPr>
            <w:tcW w:w="8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assets - less accumulated</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amortization: 1997, $329,917; 1996, $307,602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727,297</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817,559</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Investments held-to-maturity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1,750,658</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1,670,132</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Notes receivable - noncurrent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3,639,712</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1,797,707</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Other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168,338</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157,788</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 other assets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6,286,005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4,443,186</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 ASSETS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$63,652,616</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56,487,356</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Accounts payable - trade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$ 5,729,584</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6,709,434</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Current portion of long-term debt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59,928</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56,008</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Dividends payable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1,044,351</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884,135</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Accrued payroll and employee benefits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2,452,746</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2,617,670</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Container deposits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1,539,585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1,684,362</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Other accruals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2,389,123</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521,362</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 current liabilities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13,215,317</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12,472,971</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LONG-TERM DEBT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512,525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572,453</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DEFERRED INCOME TAXES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983,000</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426,800</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COMMITMENTS AND CONTINGENCIES (NOTES 4, 6 AND 8) ..............................................</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ind w:left="180"/>
              <w:spacing w:after="0"/>
              <w:rPr>
                <w:sz w:val="20"/>
                <w:szCs w:val="20"/>
                <w:color w:val="auto"/>
              </w:rPr>
            </w:pPr>
            <w:r>
              <w:rPr>
                <w:rFonts w:ascii="Courier New" w:cs="Courier New" w:eastAsia="Courier New" w:hAnsi="Courier New"/>
                <w:sz w:val="14"/>
                <w:szCs w:val="14"/>
                <w:color w:val="auto"/>
              </w:rPr>
              <w:t>Common stock - authorized: 15,000,000 shares of $.05 par value;</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issued: 1997 - 11,603,895 shares; 1996 - 11,051,690 shares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580,195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552,585</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Additional paid-in capital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42,517,455</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38,679,630</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Retained earnings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5,844,124</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3,782,917</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 shareholders' equity ...............................................................</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48,941,774</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43,015,132</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$63,652,616</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56,487,356</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1840"/>
        <w:spacing w:after="0"/>
        <w:tabs>
          <w:tab w:leader="none" w:pos="2160" w:val="left"/>
        </w:tabs>
        <w:rPr>
          <w:sz w:val="20"/>
          <w:szCs w:val="20"/>
          <w:color w:val="auto"/>
        </w:rPr>
      </w:pPr>
      <w:r>
        <w:rPr>
          <w:rFonts w:ascii="Courier New" w:cs="Courier New" w:eastAsia="Courier New" w:hAnsi="Courier New"/>
          <w:sz w:val="14"/>
          <w:szCs w:val="14"/>
          <w:color w:val="auto"/>
        </w:rPr>
        <w:t>12</w:t>
        <w:tab/>
        <w:t>HAWKINS CHEMICAL, INC. AND SUBSIDIARIES</w:t>
      </w:r>
    </w:p>
    <w:p>
      <w:pPr>
        <w:sectPr>
          <w:pgSz w:w="11900" w:h="16838" w:orient="portrait"/>
          <w:cols w:equalWidth="0" w:num="1">
            <w:col w:w="11040"/>
          </w:cols>
          <w:pgMar w:left="220" w:top="620" w:right="63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CONSOLIDATED STATEMENTS OF INCOME &amp;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420"/>
        <w:spacing w:after="0"/>
        <w:rPr>
          <w:sz w:val="20"/>
          <w:szCs w:val="20"/>
          <w:color w:val="auto"/>
        </w:rPr>
      </w:pPr>
      <w:r>
        <w:rPr>
          <w:rFonts w:ascii="Courier New" w:cs="Courier New" w:eastAsia="Courier New" w:hAnsi="Courier New"/>
          <w:sz w:val="14"/>
          <w:szCs w:val="14"/>
          <w:color w:val="auto"/>
        </w:rPr>
        <w:t>For the Fiscal Years Ended</w:t>
      </w:r>
    </w:p>
    <w:p>
      <w:pPr>
        <w:spacing w:after="0" w:line="8" w:lineRule="exact"/>
        <w:rPr>
          <w:sz w:val="20"/>
          <w:szCs w:val="20"/>
          <w:color w:val="auto"/>
        </w:rPr>
      </w:pPr>
    </w:p>
    <w:p>
      <w:pPr>
        <w:ind w:left="7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560"/>
        <w:spacing w:after="0"/>
        <w:tabs>
          <w:tab w:leader="none" w:pos="8840" w:val="left"/>
          <w:tab w:leader="none" w:pos="10400" w:val="left"/>
        </w:tabs>
        <w:rPr>
          <w:sz w:val="20"/>
          <w:szCs w:val="20"/>
          <w:color w:val="auto"/>
        </w:rPr>
      </w:pPr>
      <w:r>
        <w:rPr>
          <w:rFonts w:ascii="Courier New" w:cs="Courier New" w:eastAsia="Courier New" w:hAnsi="Courier New"/>
          <w:sz w:val="14"/>
          <w:szCs w:val="14"/>
          <w:color w:val="auto"/>
        </w:rPr>
        <w:t>SEPTEMBER 28,</w:t>
        <w:tab/>
        <w:t>September 29,</w:t>
      </w:r>
      <w:r>
        <w:rPr>
          <w:sz w:val="20"/>
          <w:szCs w:val="20"/>
          <w:color w:val="auto"/>
        </w:rPr>
        <w:tab/>
      </w:r>
      <w:r>
        <w:rPr>
          <w:rFonts w:ascii="Courier New" w:cs="Courier New" w:eastAsia="Courier New" w:hAnsi="Courier New"/>
          <w:sz w:val="14"/>
          <w:szCs w:val="14"/>
          <w:color w:val="auto"/>
        </w:rPr>
        <w:t>October 1,</w:t>
      </w:r>
    </w:p>
    <w:p>
      <w:pPr>
        <w:spacing w:after="0" w:line="8" w:lineRule="exact"/>
        <w:rPr>
          <w:sz w:val="20"/>
          <w:szCs w:val="20"/>
          <w:color w:val="auto"/>
        </w:rPr>
      </w:pPr>
    </w:p>
    <w:p>
      <w:pPr>
        <w:ind w:left="8260"/>
        <w:spacing w:after="0"/>
        <w:tabs>
          <w:tab w:leader="none" w:pos="9540" w:val="left"/>
          <w:tab w:leader="none" w:pos="108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$87,745,980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$80,886,062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$83,332,624</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66,413,954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62,789,554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65,555,938</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21,332,026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18,096,508</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17,776,686</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9,499,558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8,853,319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8,580,805</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Litigation and settlement costs relating to 1995 fire................................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1,771,439</w:t>
            </w:r>
          </w:p>
        </w:tc>
        <w:tc>
          <w:tcPr>
            <w:tcW w:w="13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750,000</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10,061,029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9,243,189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8,445,881</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Other income (deductions):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Interest income....................................................................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1,153,322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995,012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930,580</w:t>
            </w: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Interest expense...................................................................</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(47,439)</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(53,170)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(55,341)</w:t>
            </w: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Gain on sale of The Lynde Company..................................................</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1,324,827</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Miscellaneous......................................................................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234,518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262,020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167,243</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Total other income, net.........................................................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2,665,228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1,203,862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1,042,482</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INCOME TAXES................................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12,726,257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10,447,051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9,488,363</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Provision for income taxes from continuing operations................................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4,935,770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3,970,641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3,764,400</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7,790,487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6,476,410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5,723,963</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Loss from operations of Tessman Seed, Inc.(less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520" w:type="dxa"/>
            <w:vAlign w:val="bottom"/>
          </w:tcPr>
          <w:p>
            <w:pPr>
              <w:ind w:left="360"/>
              <w:spacing w:after="0"/>
              <w:rPr>
                <w:sz w:val="20"/>
                <w:szCs w:val="20"/>
                <w:color w:val="auto"/>
              </w:rPr>
            </w:pPr>
            <w:r>
              <w:rPr>
                <w:rFonts w:ascii="Courier New" w:cs="Courier New" w:eastAsia="Courier New" w:hAnsi="Courier New"/>
                <w:sz w:val="14"/>
                <w:szCs w:val="14"/>
                <w:color w:val="auto"/>
              </w:rPr>
              <w:t>applicable income tax benefit of $46,500).......................................</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(69,905)</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Loss on disposal of assets of Tessman Seed, Inc. (less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applicable income tax benefit of $214,200).......................................</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(321,266)</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(391,171)</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7,790,487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6,476,410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5,332,792</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Retained earnings, beginning of year.................................................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3,782,917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3,356,710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7,424,930</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Stock dividend.......................................................................</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(3,865,435)</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(4,470,303)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(7,413,464)</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dividend (1997 - $.18 per share;</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1996 - $.15 per share; 1995 - $.19 per share).....................................</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(2,041,623)</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(1,729,200)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(2,174,448)</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Income tax savings from dividends paid on ESOP shares................................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177,778</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149,300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186,900</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RETAINED EARNINGS, END OF YEAR.......................................................</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$ 5,844,124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$ 3,782,917</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$ 3,356,710</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outstanding........................................</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11,603,895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11,603,895</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11,603,895</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Continuing operations..............................................................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w:t>
            </w: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Discontinued operations............................................................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r>
      <w:tr>
        <w:trPr>
          <w:trHeight w:val="167"/>
        </w:trPr>
        <w:tc>
          <w:tcPr>
            <w:tcW w:w="7520" w:type="dxa"/>
            <w:vAlign w:val="bottom"/>
          </w:tcPr>
          <w:p>
            <w:pPr>
              <w:spacing w:after="0"/>
              <w:rPr>
                <w:sz w:val="14"/>
                <w:szCs w:val="14"/>
                <w:color w:val="auto"/>
              </w:rPr>
            </w:pPr>
          </w:p>
        </w:tc>
        <w:tc>
          <w:tcPr>
            <w:tcW w:w="37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42" w:lineRule="exact"/>
        <w:rPr>
          <w:sz w:val="20"/>
          <w:szCs w:val="20"/>
          <w:color w:val="auto"/>
        </w:rPr>
      </w:pPr>
    </w:p>
    <w:p>
      <w:pPr>
        <w:ind w:left="1840"/>
        <w:spacing w:after="0"/>
        <w:tabs>
          <w:tab w:leader="none" w:pos="2160" w:val="left"/>
        </w:tabs>
        <w:rPr>
          <w:sz w:val="20"/>
          <w:szCs w:val="20"/>
          <w:color w:val="auto"/>
        </w:rPr>
      </w:pPr>
      <w:r>
        <w:rPr>
          <w:rFonts w:ascii="Courier New" w:cs="Courier New" w:eastAsia="Courier New" w:hAnsi="Courier New"/>
          <w:sz w:val="14"/>
          <w:szCs w:val="14"/>
          <w:color w:val="auto"/>
        </w:rPr>
        <w:t>13</w:t>
        <w:tab/>
        <w:t>HAWKINS CHEMICAL, INC. AND SUBSIDIARIES</w:t>
      </w:r>
    </w:p>
    <w:p>
      <w:pPr>
        <w:sectPr>
          <w:pgSz w:w="11900" w:h="16838" w:orient="portrait"/>
          <w:cols w:equalWidth="0" w:num="1">
            <w:col w:w="11460"/>
          </w:cols>
          <w:pgMar w:left="220" w:top="620" w:right="21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For the Fiscal Years Ended</w:t>
      </w:r>
    </w:p>
    <w:p>
      <w:pPr>
        <w:spacing w:after="0" w:line="8" w:lineRule="exact"/>
        <w:rPr>
          <w:sz w:val="20"/>
          <w:szCs w:val="20"/>
          <w:color w:val="auto"/>
        </w:rPr>
      </w:pPr>
    </w:p>
    <w:p>
      <w:pPr>
        <w:ind w:left="7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560"/>
        <w:spacing w:after="0"/>
        <w:tabs>
          <w:tab w:leader="none" w:pos="8840" w:val="left"/>
          <w:tab w:leader="none" w:pos="10400" w:val="left"/>
        </w:tabs>
        <w:rPr>
          <w:sz w:val="20"/>
          <w:szCs w:val="20"/>
          <w:color w:val="auto"/>
        </w:rPr>
      </w:pPr>
      <w:r>
        <w:rPr>
          <w:rFonts w:ascii="Courier New" w:cs="Courier New" w:eastAsia="Courier New" w:hAnsi="Courier New"/>
          <w:sz w:val="14"/>
          <w:szCs w:val="14"/>
          <w:color w:val="auto"/>
        </w:rPr>
        <w:t>SEPTEMBER 28,</w:t>
        <w:tab/>
        <w:t>September 29,</w:t>
      </w:r>
      <w:r>
        <w:rPr>
          <w:sz w:val="20"/>
          <w:szCs w:val="20"/>
          <w:color w:val="auto"/>
        </w:rPr>
        <w:tab/>
      </w:r>
      <w:r>
        <w:rPr>
          <w:rFonts w:ascii="Courier New" w:cs="Courier New" w:eastAsia="Courier New" w:hAnsi="Courier New"/>
          <w:sz w:val="14"/>
          <w:szCs w:val="14"/>
          <w:color w:val="auto"/>
        </w:rPr>
        <w:t>October 1,</w:t>
      </w:r>
    </w:p>
    <w:p>
      <w:pPr>
        <w:spacing w:after="0" w:line="8" w:lineRule="exact"/>
        <w:rPr>
          <w:sz w:val="20"/>
          <w:szCs w:val="20"/>
          <w:color w:val="auto"/>
        </w:rPr>
      </w:pPr>
    </w:p>
    <w:p>
      <w:pPr>
        <w:ind w:left="8260"/>
        <w:spacing w:after="0"/>
        <w:tabs>
          <w:tab w:leader="none" w:pos="9540" w:val="left"/>
          <w:tab w:leader="none" w:pos="108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$7,790,487</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$6,476,410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$5,332,792</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Loss on disposal of assets of Tessman Seed, Inc...................................</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321,266</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Loss on discontinued operations of Tessman Seed, Inc..............................</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69,905</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The Lynde Company.................................................</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(1,324,827)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Litigation and settlement costs relating to 1995 fire.............................</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1,175,286</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415,000</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Reconciliation to cash flows: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1,686,622</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1,477,228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1,368,778</w:t>
            </w:r>
          </w:p>
        </w:tc>
      </w:tr>
      <w:tr>
        <w:trPr>
          <w:trHeight w:val="167"/>
        </w:trPr>
        <w:tc>
          <w:tcPr>
            <w:tcW w:w="748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(307,800)</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230,511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(28,800)</w:t>
            </w:r>
          </w:p>
        </w:tc>
      </w:tr>
      <w:tr>
        <w:trPr>
          <w:trHeight w:val="167"/>
        </w:trPr>
        <w:tc>
          <w:tcPr>
            <w:tcW w:w="7480" w:type="dxa"/>
            <w:vAlign w:val="bottom"/>
          </w:tcPr>
          <w:p>
            <w:pPr>
              <w:ind w:left="360"/>
              <w:spacing w:after="0"/>
              <w:rPr>
                <w:sz w:val="20"/>
                <w:szCs w:val="20"/>
                <w:color w:val="auto"/>
              </w:rPr>
            </w:pPr>
            <w:r>
              <w:rPr>
                <w:rFonts w:ascii="Courier New" w:cs="Courier New" w:eastAsia="Courier New" w:hAnsi="Courier New"/>
                <w:sz w:val="14"/>
                <w:szCs w:val="14"/>
                <w:color w:val="auto"/>
              </w:rPr>
              <w:t>Earnings on other assets........................................................</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(91,076)</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(81,093)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(82,036)</w:t>
            </w:r>
          </w:p>
        </w:tc>
      </w:tr>
      <w:tr>
        <w:trPr>
          <w:trHeight w:val="167"/>
        </w:trPr>
        <w:tc>
          <w:tcPr>
            <w:tcW w:w="7480" w:type="dxa"/>
            <w:vAlign w:val="bottom"/>
          </w:tcPr>
          <w:p>
            <w:pPr>
              <w:ind w:left="360"/>
              <w:spacing w:after="0"/>
              <w:rPr>
                <w:sz w:val="20"/>
                <w:szCs w:val="20"/>
                <w:color w:val="auto"/>
              </w:rPr>
            </w:pPr>
            <w:r>
              <w:rPr>
                <w:rFonts w:ascii="Courier New" w:cs="Courier New" w:eastAsia="Courier New" w:hAnsi="Courier New"/>
                <w:sz w:val="14"/>
                <w:szCs w:val="14"/>
                <w:color w:val="auto"/>
              </w:rPr>
              <w:t>Gain from property disposals....................................................</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(110,807)</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(160,212)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(4,821)</w:t>
            </w:r>
          </w:p>
        </w:tc>
      </w:tr>
      <w:tr>
        <w:trPr>
          <w:trHeight w:val="167"/>
        </w:trPr>
        <w:tc>
          <w:tcPr>
            <w:tcW w:w="748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accounts providing (requiring) cash:</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520"/>
              <w:spacing w:after="0"/>
              <w:rPr>
                <w:sz w:val="20"/>
                <w:szCs w:val="20"/>
                <w:color w:val="auto"/>
              </w:rPr>
            </w:pPr>
            <w:r>
              <w:rPr>
                <w:rFonts w:ascii="Courier New" w:cs="Courier New" w:eastAsia="Courier New" w:hAnsi="Courier New"/>
                <w:sz w:val="14"/>
                <w:szCs w:val="14"/>
                <w:color w:val="auto"/>
              </w:rPr>
              <w:t>Trade receivables.............................................................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(1,377,706)</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771,975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(1,002,452)</w:t>
            </w:r>
          </w:p>
        </w:tc>
      </w:tr>
      <w:tr>
        <w:trPr>
          <w:trHeight w:val="167"/>
        </w:trPr>
        <w:tc>
          <w:tcPr>
            <w:tcW w:w="748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(1,221,750)</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79,925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(819,368)</w:t>
            </w:r>
          </w:p>
        </w:tc>
      </w:tr>
      <w:tr>
        <w:trPr>
          <w:trHeight w:val="167"/>
        </w:trPr>
        <w:tc>
          <w:tcPr>
            <w:tcW w:w="748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(979,850)</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(1,981,770)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2,944,584</w:t>
            </w:r>
          </w:p>
        </w:tc>
      </w:tr>
      <w:tr>
        <w:trPr>
          <w:trHeight w:val="167"/>
        </w:trPr>
        <w:tc>
          <w:tcPr>
            <w:tcW w:w="7480" w:type="dxa"/>
            <w:vAlign w:val="bottom"/>
          </w:tcPr>
          <w:p>
            <w:pPr>
              <w:ind w:left="520"/>
              <w:spacing w:after="0"/>
              <w:rPr>
                <w:sz w:val="20"/>
                <w:szCs w:val="20"/>
                <w:color w:val="auto"/>
              </w:rPr>
            </w:pPr>
            <w:r>
              <w:rPr>
                <w:rFonts w:ascii="Courier New" w:cs="Courier New" w:eastAsia="Courier New" w:hAnsi="Courier New"/>
                <w:sz w:val="14"/>
                <w:szCs w:val="14"/>
                <w:color w:val="auto"/>
              </w:rPr>
              <w:t>Accrued liabilities...........................................................</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383,058</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(262,185)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280,617</w:t>
            </w:r>
          </w:p>
        </w:tc>
      </w:tr>
      <w:tr>
        <w:trPr>
          <w:trHeight w:val="167"/>
        </w:trPr>
        <w:tc>
          <w:tcPr>
            <w:tcW w:w="748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53,627</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690,994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(49,627)</w:t>
            </w:r>
          </w:p>
        </w:tc>
      </w:tr>
      <w:tr>
        <w:trPr>
          <w:trHeight w:val="167"/>
        </w:trPr>
        <w:tc>
          <w:tcPr>
            <w:tcW w:w="7480" w:type="dxa"/>
            <w:vAlign w:val="bottom"/>
          </w:tcPr>
          <w:p>
            <w:pPr>
              <w:ind w:left="520"/>
              <w:spacing w:after="0"/>
              <w:rPr>
                <w:sz w:val="20"/>
                <w:szCs w:val="20"/>
                <w:color w:val="auto"/>
              </w:rPr>
            </w:pPr>
            <w:r>
              <w:rPr>
                <w:rFonts w:ascii="Courier New" w:cs="Courier New" w:eastAsia="Courier New" w:hAnsi="Courier New"/>
                <w:sz w:val="14"/>
                <w:szCs w:val="14"/>
                <w:color w:val="auto"/>
              </w:rPr>
              <w:t>Change in net assets of discontinued operations...............................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66,166</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5,675,264</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7,241,783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8,812,004</w:t>
            </w:r>
          </w:p>
        </w:tc>
      </w:tr>
      <w:tr>
        <w:trPr>
          <w:trHeight w:val="167"/>
        </w:trPr>
        <w:tc>
          <w:tcPr>
            <w:tcW w:w="74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(4,017,543)</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(4,299,071)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(3,650,719)</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Purchase of investments...........................................................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(1,475,475)</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(3,183,787)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(2,282,044)</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Sale of investments...............................................................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647,945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890,026</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property disposals..................................................</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191,946</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198,069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494,670</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Cash received on sale of assets and business of Tessman Seed, Inc.................</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220,726</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Cash received on sale of assets and business of The Lynde Company.................</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Payments received on notes receivable.............................................</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196,120</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55,293</w:t>
            </w:r>
          </w:p>
        </w:tc>
        <w:tc>
          <w:tcPr>
            <w:tcW w:w="1140" w:type="dxa"/>
            <w:vAlign w:val="bottom"/>
          </w:tcPr>
          <w:p>
            <w:pPr>
              <w:spacing w:after="0"/>
              <w:rPr>
                <w:sz w:val="14"/>
                <w:szCs w:val="14"/>
                <w:color w:val="auto"/>
              </w:rPr>
            </w:pP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(4,604,952)</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(6,581,551)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(4,327,341)</w:t>
            </w:r>
          </w:p>
        </w:tc>
      </w:tr>
      <w:tr>
        <w:trPr>
          <w:trHeight w:val="167"/>
        </w:trPr>
        <w:tc>
          <w:tcPr>
            <w:tcW w:w="74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Debt repayment....................................................................</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(56,008)</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(52,344)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(48,919)</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paid...............................................................</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(1,881,408)</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(1,581,870)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(1,437,644)</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Net cash used in financing activities.............................................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(1,937,416)</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(1,634,214)</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(1,486,563)</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(867,104)</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(973,982)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2,998,100</w:t>
            </w:r>
          </w:p>
        </w:tc>
      </w:tr>
      <w:tr>
        <w:trPr>
          <w:trHeight w:val="167"/>
        </w:trPr>
        <w:tc>
          <w:tcPr>
            <w:tcW w:w="748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8,932,125</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9,906,107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6,908,007</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$8,065,021</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$8,932,125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$9,906,107</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Note receivable on sale of Tessman Seed, Inc.......................................</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$1,044,714</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Note receivable on sale of land and building.......................................</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$1,100,000</w:t>
            </w:r>
          </w:p>
        </w:tc>
        <w:tc>
          <w:tcPr>
            <w:tcW w:w="1140" w:type="dxa"/>
            <w:vAlign w:val="bottom"/>
          </w:tcPr>
          <w:p>
            <w:pPr>
              <w:spacing w:after="0"/>
              <w:rPr>
                <w:sz w:val="14"/>
                <w:szCs w:val="14"/>
                <w:color w:val="auto"/>
              </w:rPr>
            </w:pP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Note receivable on sale of The Lynde Company.......................................</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$2,090,083</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748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56,834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58,389</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8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$4,334,567</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$3,942,596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$2,717,611</w:t>
            </w:r>
          </w:p>
        </w:tc>
      </w:tr>
      <w:tr>
        <w:trPr>
          <w:trHeight w:val="167"/>
        </w:trPr>
        <w:tc>
          <w:tcPr>
            <w:tcW w:w="7480" w:type="dxa"/>
            <w:vAlign w:val="bottom"/>
          </w:tcPr>
          <w:p>
            <w:pPr>
              <w:spacing w:after="0"/>
              <w:rPr>
                <w:sz w:val="14"/>
                <w:szCs w:val="14"/>
                <w:color w:val="auto"/>
              </w:rPr>
            </w:pPr>
          </w:p>
        </w:tc>
        <w:tc>
          <w:tcPr>
            <w:tcW w:w="38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42" w:lineRule="exact"/>
        <w:rPr>
          <w:sz w:val="20"/>
          <w:szCs w:val="20"/>
          <w:color w:val="auto"/>
        </w:rPr>
      </w:pPr>
    </w:p>
    <w:p>
      <w:pPr>
        <w:ind w:left="1840"/>
        <w:spacing w:after="0"/>
        <w:tabs>
          <w:tab w:leader="none" w:pos="2160" w:val="left"/>
        </w:tabs>
        <w:rPr>
          <w:sz w:val="20"/>
          <w:szCs w:val="20"/>
          <w:color w:val="auto"/>
        </w:rPr>
      </w:pPr>
      <w:r>
        <w:rPr>
          <w:rFonts w:ascii="Courier New" w:cs="Courier New" w:eastAsia="Courier New" w:hAnsi="Courier New"/>
          <w:sz w:val="14"/>
          <w:szCs w:val="14"/>
          <w:color w:val="auto"/>
        </w:rPr>
        <w:t>14</w:t>
        <w:tab/>
        <w:t>HAWKINS CHEMICAL, INC. AND SUBSIDIARIES</w:t>
      </w:r>
    </w:p>
    <w:p>
      <w:pPr>
        <w:sectPr>
          <w:pgSz w:w="11900" w:h="16838" w:orient="portrait"/>
          <w:cols w:equalWidth="0" w:num="1">
            <w:col w:w="11540"/>
          </w:cols>
          <w:pgMar w:left="220" w:top="620" w:right="139" w:bottom="1440" w:gutter="0" w:footer="0" w:header="0"/>
        </w:sectPr>
      </w:pPr>
    </w:p>
    <w:bookmarkStart w:id="23" w:name="page24"/>
    <w:bookmarkEnd w:id="23"/>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ind w:right="7539" w:firstLine="9"/>
        <w:spacing w:after="0" w:line="258" w:lineRule="auto"/>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 AND SIGNIFICANT ACCOUNTING POLICIES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NATURE OF BUSINESS</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Hawkins Chemical, Inc. and its subsidiaries are engaged in the wholesale trade of chemicals and chemical feeding and control equipment and the formulating and blending of specialty chemicals.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financial statements include the consolidated accounts of Hawkins Chemical, Inc. and its wholly owned subsidiaries (the Company). All significant inter-company transactions and balances have been eliminated. The Company's fiscal year is a 52/53-week year ending on the Sunday closest to September 30.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Cash equivalents include all liquid debt instruments (primarily cash funds and certificates of deposits) purchased with an original maturity of three months or less. Cash equivalents are carried at cost, which approximates market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AVAILABLE-FOR-SALE</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Investments classified as available-for-sale securities consist of insurance contracts and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Inventories, consisting primarily of finished goods, are valued at the lower of cost or net realizable value, with cost being determined using the last-in, first-out (LIFO) method for Hawkins Chemical, Inc. and most subsidiaries. The majority of the inventories for two subsidiaries are valued using the first-in, first-out (FIFO) cost method (see Note 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Property is stated at cost and depreciated over the lives of the assets using both straight-line and declining-balance methods. Estimated lives are: 10 to 50 years for buildings and improvements; 3 to 15 years for machinery and equipment; 3 to 10 years for transportation equipment; and 3 to 10 years for office furniture and equipment.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INTANGIBLES</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excess of cost of investments in subsidiaries over equity in net assets of $177,198 is being amortized over forty years. Additionally, goodwill associated with the purchase of Industrial Chemical &amp; Equipment in the amount of $880,016 is being amortized over 15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HELD-TO-MATURITY</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From October 1, 1985 through September 30, 1989, the Company was self-insured for the risk of losses from product liability. The Company deposited amounts in a self-insurance trust account to fund any losses (none have been incurred since 1985). Since October 1989, the Company has had insurance coverage for product liability for up to $1,000,000 in claims made annually. In March 1997, the trust was dissolved and the assets were retained. These held-to-maturity securities consist of Minnesota municipal bonds which the Company has the intent and ability to hold to maturity, and are valued at amortized historical cost, increased for accretion of discounts and reduced by amortization of premiums, computed by the constant-yield method.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utilizes Statement of Financial Accounting Standard (SFAS) No. 109, "Accounting for Income Taxes." Under SFAS No. 109, the deferred tax assets and liabilities are recognized based on differences between the financial statements and the tax bases of assets and liabilities using presently enacted tax rates.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recognizes revenues upon shipment of the product.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earnings per share computation is based on the weighted average number of common shares outstanding during the year. The average number of common shares, earnings per share and cash dividends per share for the years ended September 29, 1996 and October 1, 1995 have been restated to reflect the 1997 stock dividend (see Note 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 OF CREDIT RISK</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Financial instruments which potentially subject the Company to a concentration of credit risk principally consist of cash, 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certificates of deposit at a single financial institution. At September 28, 1997, the Company had certificates of deposits in excess of federally insured limits of approximately $4,876,000.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ectPr>
          <w:pgSz w:w="11900" w:h="16845" w:orient="portrait"/>
          <w:cols w:equalWidth="0" w:num="1">
            <w:col w:w="10239"/>
          </w:cols>
          <w:pgMar w:left="220" w:top="620" w:right="1440" w:bottom="0" w:gutter="0" w:footer="0" w:header="0"/>
        </w:sectPr>
      </w:pPr>
    </w:p>
    <w:bookmarkStart w:id="24" w:name="page25"/>
    <w:bookmarkEnd w:id="24"/>
    <w:p>
      <w:pPr>
        <w:ind w:left="620"/>
        <w:spacing w:after="0"/>
        <w:tabs>
          <w:tab w:leader="none" w:pos="940" w:val="left"/>
        </w:tabs>
        <w:rPr>
          <w:sz w:val="20"/>
          <w:szCs w:val="20"/>
          <w:color w:val="auto"/>
        </w:rPr>
      </w:pPr>
      <w:r>
        <w:rPr>
          <w:rFonts w:ascii="Courier New" w:cs="Courier New" w:eastAsia="Courier New" w:hAnsi="Courier New"/>
          <w:sz w:val="14"/>
          <w:szCs w:val="14"/>
          <w:color w:val="auto"/>
        </w:rPr>
        <w:t>15</w:t>
        <w:tab/>
        <w:t>HAWKINS CHEMICAL, INC. AND SUBSIDIARIES</w:t>
      </w:r>
    </w:p>
    <w:p>
      <w:pPr>
        <w:sectPr>
          <w:pgSz w:w="11900" w:h="16838" w:orient="portrait"/>
          <w:cols w:equalWidth="0" w:num="1">
            <w:col w:w="9019"/>
          </w:cols>
          <w:pgMar w:left="1440" w:top="64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AND UNCERTAINTIES</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There are no concentrations of business transacted with a particular customer or supplier nor concentrations of revenue from a particular service or geographic area that would severely impact the Company in the near term.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PRONOUNCEMENTS</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October 1996, the American Institute of Certified Public Accountants issued Statement of Position 96-1, "Environmental Remediation Liabilities." The statement is effective for fiscal years beginning after December 15, 1996. Management does not believe this statement will have a significant impact on the financial statements.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February 1997, the Financial Accounting Standards Board issued SFAS No. 128, "Earnings per Share." This statement specifies the computation, presentation, and disclosure requirements for earnings per share. This Statement is effective for financial statements issued for periods ending after December 15, 1997, including interim periods. The Company does not believe the adoption of SFAS No. 128 will have a material impact on earnings per share.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INVENTORIES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175" w:lineRule="exact"/>
        <w:rPr>
          <w:sz w:val="20"/>
          <w:szCs w:val="20"/>
          <w:color w:val="auto"/>
        </w:rPr>
      </w:pPr>
    </w:p>
    <w:p>
      <w:pPr>
        <w:ind w:left="3140"/>
        <w:spacing w:after="0"/>
        <w:tabs>
          <w:tab w:leader="none" w:pos="4680" w:val="left"/>
        </w:tabs>
        <w:rPr>
          <w:sz w:val="20"/>
          <w:szCs w:val="20"/>
          <w:color w:val="auto"/>
        </w:rPr>
      </w:pPr>
      <w:r>
        <w:rPr>
          <w:rFonts w:ascii="Courier New" w:cs="Courier New" w:eastAsia="Courier New" w:hAnsi="Courier New"/>
          <w:sz w:val="14"/>
          <w:szCs w:val="14"/>
          <w:color w:val="auto"/>
        </w:rPr>
        <w:t>SEPTEMBER 28,</w:t>
      </w:r>
      <w:r>
        <w:rPr>
          <w:sz w:val="20"/>
          <w:szCs w:val="20"/>
          <w:color w:val="auto"/>
        </w:rPr>
        <w:tab/>
      </w:r>
      <w:r>
        <w:rPr>
          <w:rFonts w:ascii="Courier New" w:cs="Courier New" w:eastAsia="Courier New" w:hAnsi="Courier New"/>
          <w:sz w:val="14"/>
          <w:szCs w:val="14"/>
          <w:color w:val="auto"/>
        </w:rPr>
        <w:t>September 29,</w:t>
      </w:r>
    </w:p>
    <w:p>
      <w:pPr>
        <w:spacing w:after="0" w:line="8" w:lineRule="exact"/>
        <w:rPr>
          <w:sz w:val="20"/>
          <w:szCs w:val="20"/>
          <w:color w:val="auto"/>
        </w:rPr>
      </w:pPr>
    </w:p>
    <w:p>
      <w:pPr>
        <w:ind w:left="3820"/>
        <w:spacing w:after="0"/>
        <w:tabs>
          <w:tab w:leader="none" w:pos="53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3200" w:val="left"/>
          <w:tab w:leader="none" w:pos="4760" w:val="left"/>
        </w:tabs>
        <w:rPr>
          <w:sz w:val="20"/>
          <w:szCs w:val="20"/>
          <w:color w:val="auto"/>
        </w:rPr>
      </w:pPr>
      <w:r>
        <w:rPr>
          <w:rFonts w:ascii="Courier New" w:cs="Courier New" w:eastAsia="Courier New" w:hAnsi="Courier New"/>
          <w:sz w:val="14"/>
          <w:szCs w:val="14"/>
          <w:color w:val="auto"/>
        </w:rPr>
        <w:t>Finished goods (FIFO basis) ......</w:t>
        <w:tab/>
        <w:t>$ 9,025,817</w:t>
      </w:r>
      <w:r>
        <w:rPr>
          <w:sz w:val="20"/>
          <w:szCs w:val="20"/>
          <w:color w:val="auto"/>
        </w:rPr>
        <w:tab/>
      </w:r>
      <w:r>
        <w:rPr>
          <w:rFonts w:ascii="Courier New" w:cs="Courier New" w:eastAsia="Courier New" w:hAnsi="Courier New"/>
          <w:sz w:val="14"/>
          <w:szCs w:val="14"/>
          <w:color w:val="auto"/>
        </w:rPr>
        <w:t>$ 9,957,665</w:t>
      </w:r>
    </w:p>
    <w:p>
      <w:pPr>
        <w:spacing w:after="0" w:line="8" w:lineRule="exact"/>
        <w:rPr>
          <w:sz w:val="20"/>
          <w:szCs w:val="20"/>
          <w:color w:val="auto"/>
        </w:rPr>
      </w:pPr>
    </w:p>
    <w:p>
      <w:pPr>
        <w:spacing w:after="0"/>
        <w:tabs>
          <w:tab w:leader="none" w:pos="3460" w:val="left"/>
          <w:tab w:leader="none" w:pos="4840" w:val="left"/>
        </w:tabs>
        <w:rPr>
          <w:sz w:val="20"/>
          <w:szCs w:val="20"/>
          <w:color w:val="auto"/>
        </w:rPr>
      </w:pPr>
      <w:r>
        <w:rPr>
          <w:rFonts w:ascii="Courier New" w:cs="Courier New" w:eastAsia="Courier New" w:hAnsi="Courier New"/>
          <w:sz w:val="14"/>
          <w:szCs w:val="14"/>
          <w:color w:val="auto"/>
        </w:rPr>
        <w:t>LIFO reserve .....................</w:t>
      </w:r>
      <w:r>
        <w:rPr>
          <w:sz w:val="20"/>
          <w:szCs w:val="20"/>
          <w:color w:val="auto"/>
        </w:rPr>
        <w:tab/>
      </w:r>
      <w:r>
        <w:rPr>
          <w:rFonts w:ascii="Courier New" w:cs="Courier New" w:eastAsia="Courier New" w:hAnsi="Courier New"/>
          <w:sz w:val="14"/>
          <w:szCs w:val="14"/>
          <w:color w:val="auto"/>
        </w:rPr>
        <w:t>(445,112)</w:t>
      </w:r>
      <w:r>
        <w:rPr>
          <w:sz w:val="20"/>
          <w:szCs w:val="20"/>
          <w:color w:val="auto"/>
        </w:rPr>
        <w:tab/>
      </w:r>
      <w:r>
        <w:rPr>
          <w:rFonts w:ascii="Courier New" w:cs="Courier New" w:eastAsia="Courier New" w:hAnsi="Courier New"/>
          <w:sz w:val="14"/>
          <w:szCs w:val="14"/>
          <w:color w:val="auto"/>
        </w:rPr>
        <w:t>(1,373,631)</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200" w:val="left"/>
          <w:tab w:leader="none" w:pos="4760" w:val="left"/>
        </w:tabs>
        <w:rPr>
          <w:sz w:val="20"/>
          <w:szCs w:val="20"/>
          <w:color w:val="auto"/>
        </w:rPr>
      </w:pPr>
      <w:r>
        <w:rPr>
          <w:rFonts w:ascii="Courier New" w:cs="Courier New" w:eastAsia="Courier New" w:hAnsi="Courier New"/>
          <w:sz w:val="14"/>
          <w:szCs w:val="14"/>
          <w:color w:val="auto"/>
        </w:rPr>
        <w:t>Net inventory ....................</w:t>
        <w:tab/>
        <w:t>$ 8,580,705</w:t>
      </w:r>
      <w:r>
        <w:rPr>
          <w:sz w:val="20"/>
          <w:szCs w:val="20"/>
          <w:color w:val="auto"/>
        </w:rPr>
        <w:tab/>
      </w:r>
      <w:r>
        <w:rPr>
          <w:rFonts w:ascii="Courier New" w:cs="Courier New" w:eastAsia="Courier New" w:hAnsi="Courier New"/>
          <w:sz w:val="14"/>
          <w:szCs w:val="14"/>
          <w:color w:val="auto"/>
        </w:rPr>
        <w:t>$ 8,584,034</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Inventories valued under the LIFO method for the fiscal years ended September 28, 1997 and September 29, 1996, were approximately $7,796,000 and $7,652,000, respectively. The balance of the inventory was valued under the FIFO method.</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fiscal 1997, the LIFO reserve decreased by $928,519. As a result, the ending LIFO cost was less than the ending cost determined using the first-in, first-out (FIFO) method by $445,112. The decrease in the LIFO reserve was caused by a significant decrease in the cost of a single, large-volume component of inventory.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NOTES RECEIVABLE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At September 28, 1997 and September 29, 1996, the net balance outstanding on the note receivable from the sale of Tessman Seed was $733,432 and $883,988, respectively. On March 1, 1996, the balance of the note receivable was refinanced at the request of the borrower. The note receivable is due in nine equal installments of $146,466 with interest at 8%.</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1996, the Company sold the building that was formerly rented to the Company's discontinued subsidiary (see Note 10). The Company realized a gain of approximately $142,000 on the sale. The Company received a $1,100,000 note receivable and cash of $108,188 at the time of the sale. The note receivable is secured by the building and is due in monthly installments of $9,201 including interest at 8% through January 1, 2004, when the remaining balance of $849,985 is due. At September 28, 1997 and September 29, 1996, the balance outstanding was $1,060,186 and $1,084,706, respectively.</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May 29 1997, the Company sold the inventory and operations of The Lynde Company (Lynde), a wholly owned subsidiary which specialized in swimming pool chemicals, for approximately $2,590,000, effective March 1, 1997. The Company recorded a gain on the sale of approximately $1,300,000. At closing, Hawkins received $500,000 cash and a note receivable for the balance. The note receivable is due over the next 6 years plus interest at 8%. At September 28, 1997, the balance outstanding on the note receivable was $2,069,040. Revenues from Lynde for the fiscal years ended September 28, 1997, September 29, 1996 and October 1, 1995 were $725,500, $3,413,200 and $9,008,600, respectively. Lynde recorded a net loss of $19,600 through the effective date of the sale and net income for the years ended September 29, 1996 and October 1, 1995 of $195,300 and $275,500, respectively.</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LONG-TERM DEBT</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Long-term debt at September 28, 1997 and September 29, 1996 is summarized as follows:</w:t>
      </w:r>
    </w:p>
    <w:p>
      <w:pPr>
        <w:spacing w:after="0" w:line="327" w:lineRule="exact"/>
        <w:rPr>
          <w:sz w:val="20"/>
          <w:szCs w:val="20"/>
          <w:color w:val="auto"/>
        </w:rPr>
      </w:pPr>
    </w:p>
    <w:p>
      <w:pPr>
        <w:ind w:left="4700"/>
        <w:spacing w:after="0"/>
        <w:tabs>
          <w:tab w:leader="none" w:pos="57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 payable, due in annual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installments to 2002.......................</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$ 572,453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628,461</w:t>
            </w:r>
          </w:p>
        </w:tc>
        <w:tc>
          <w:tcPr>
            <w:tcW w:w="400" w:type="dxa"/>
            <w:vAlign w:val="bottom"/>
          </w:tcPr>
          <w:p>
            <w:pPr>
              <w:spacing w:after="0"/>
              <w:rPr>
                <w:sz w:val="14"/>
                <w:szCs w:val="14"/>
                <w:color w:val="auto"/>
              </w:rPr>
            </w:pP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Less current portion..........................</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59,928</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56,008</w:t>
            </w:r>
          </w:p>
        </w:tc>
        <w:tc>
          <w:tcPr>
            <w:tcW w:w="40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238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ind w:left="120"/>
              <w:spacing w:after="0"/>
              <w:rPr>
                <w:sz w:val="20"/>
                <w:szCs w:val="20"/>
                <w:color w:val="auto"/>
              </w:rPr>
            </w:pPr>
            <w:r>
              <w:rPr>
                <w:rFonts w:ascii="Courier New" w:cs="Courier New" w:eastAsia="Courier New" w:hAnsi="Courier New"/>
                <w:sz w:val="14"/>
                <w:szCs w:val="14"/>
                <w:color w:val="auto"/>
              </w:rPr>
              <w:t>$ 512,525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572,453</w:t>
            </w:r>
          </w:p>
        </w:tc>
        <w:tc>
          <w:tcPr>
            <w:tcW w:w="400" w:type="dxa"/>
            <w:vAlign w:val="bottom"/>
          </w:tcPr>
          <w:p>
            <w:pPr>
              <w:spacing w:after="0"/>
              <w:rPr>
                <w:sz w:val="14"/>
                <w:szCs w:val="14"/>
                <w:color w:val="auto"/>
              </w:rPr>
            </w:pPr>
          </w:p>
        </w:tc>
      </w:tr>
      <w:tr>
        <w:trPr>
          <w:trHeight w:val="167"/>
        </w:trPr>
        <w:tc>
          <w:tcPr>
            <w:tcW w:w="4140" w:type="dxa"/>
            <w:vAlign w:val="bottom"/>
          </w:tcPr>
          <w:p>
            <w:pPr>
              <w:spacing w:after="0"/>
              <w:rPr>
                <w:sz w:val="14"/>
                <w:szCs w:val="14"/>
                <w:color w:val="auto"/>
              </w:rPr>
            </w:pPr>
          </w:p>
        </w:tc>
        <w:tc>
          <w:tcPr>
            <w:tcW w:w="238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238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Long-term debt maturities for the five fiscal years subsequent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to 1997</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are: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 $59,928, 1999 - $89,123, 2000 - $95,362, 2001 - $102,037, 2002 - $109,180</w:t>
      </w:r>
    </w:p>
    <w:p>
      <w:pPr>
        <w:sectPr>
          <w:pgSz w:w="11900" w:h="16838" w:orient="portrait"/>
          <w:cols w:equalWidth="0" w:num="1">
            <w:col w:w="10239"/>
          </w:cols>
          <w:pgMar w:left="220" w:top="787"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and thereafter $116,823.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COMMON STOCK</w:t>
      </w:r>
    </w:p>
    <w:p>
      <w:pPr>
        <w:spacing w:after="0" w:line="175" w:lineRule="exact"/>
        <w:rPr>
          <w:sz w:val="20"/>
          <w:szCs w:val="20"/>
          <w:color w:val="auto"/>
        </w:rPr>
      </w:pPr>
    </w:p>
    <w:p>
      <w:pPr>
        <w:ind w:left="3560"/>
        <w:spacing w:after="0"/>
        <w:tabs>
          <w:tab w:leader="none" w:pos="538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Add'l Paid-in</w:t>
      </w:r>
    </w:p>
    <w:p>
      <w:pPr>
        <w:spacing w:after="0" w:line="8" w:lineRule="exact"/>
        <w:rPr>
          <w:sz w:val="20"/>
          <w:szCs w:val="20"/>
          <w:color w:val="auto"/>
        </w:rPr>
      </w:pPr>
    </w:p>
    <w:p>
      <w:pPr>
        <w:ind w:left="3220"/>
        <w:spacing w:after="0"/>
        <w:tabs>
          <w:tab w:leader="none" w:pos="4580" w:val="left"/>
          <w:tab w:leader="none" w:pos="57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Capital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Balance, October 2, 1994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9,569,196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$ 478,460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$26,869,988</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10% stock dividend</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956,576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47,829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7,365,635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October 1, 1995</w:t>
            </w:r>
          </w:p>
        </w:tc>
        <w:tc>
          <w:tcPr>
            <w:tcW w:w="1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10,525,772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526,289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34,235,623</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5% stock</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dividend</w:t>
            </w:r>
          </w:p>
        </w:tc>
        <w:tc>
          <w:tcPr>
            <w:tcW w:w="1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525,918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26,296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4,444,007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September 29, 1996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11,051,690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552,585</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38,679,630</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5% stock</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dividend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552,205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27,610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3,837,825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Balance,</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September 28,1997</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11,603,895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$ 580,195</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$42,517,455</w:t>
            </w:r>
          </w:p>
        </w:tc>
      </w:tr>
    </w:tbl>
    <w:p>
      <w:pPr>
        <w:spacing w:after="0" w:line="4"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  HAWKINS CHEMICAL, INC. AND SUBSIDIARIES</w:t>
      </w:r>
    </w:p>
    <w:p>
      <w:pPr>
        <w:sectPr>
          <w:pgSz w:w="11900" w:h="16838" w:orient="portrait"/>
          <w:cols w:equalWidth="0" w:num="1">
            <w:col w:w="10239"/>
          </w:cols>
          <w:pgMar w:left="220" w:top="14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stock dividends in 1997, 1996 and 1995 were accounted for by transferring the fair value of the issued stock from retained earnings to the categories of permanent capitalization as common stock (par value) and additional paid-in capital.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LEASES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various operating leases for land and buildings on which some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operations are located. Total rental expense for the years ended September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1997, September 29, 1996 and October 1, 1995 was $46,003, $60,955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$41,042, respectively. Future minimum lease payments due under operating leases</w:t>
      </w:r>
    </w:p>
    <w:p>
      <w:pPr>
        <w:spacing w:after="0" w:line="8"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4"/>
          <w:szCs w:val="14"/>
          <w:color w:val="auto"/>
        </w:rPr>
        <w:t>with an initial term of one year or more at September 28, 1997 were:</w:t>
        <w:tab/>
        <w:t>1998 -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$34,385; 1999 - $8,596.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PENSION AND EMPLOYEE STOCK OWNERSHIP PLANS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a defined contribution pension plan covering substantially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its non-union employees. Pension expense for the years ended September 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September 29, 1996 and October 1, 1995 was $459,367, $425,398,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$363,498, respectively. The Company's cost for the pension plan is determined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of each employee's covered compensation. Amounts charged to pension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contributed to union multi-employer pension plans (not included in the above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were not material. It is the Company's policy to fund all pension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has an employee stock ownership plan covering substantially all of its non-union employees. Contributions are made at the discretion of the Board of Directors subject to a maximum amount allowed under the Internal Revenue Code. Contributions for the years ended September 28, 1997, September 29, 1996 and October 1, 1995 were $889,979, $824,955 and $793,244, respectively. The Company does not currently offer any post-retirement benefits, deferred stock or stock-based compensation plans.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CONTINGENCIES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is subject to various federal, state and local provisions regarding discharge of materials into the environment or otherwise relating to the protection of the environment. The Company was defending certain legal and administrative proceedings in connection with landfill sites in which products distributed by the Company were ultimately disposed of by other parties. During fiscal 1997, the Company has not been notified of any further matters regarding these landfills. While the outcome of such matters is particularly difficult to predict, management does not expect that these matters will have a material adverse effect on the Company's consolidated financial condition, results of operations or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1995, the Company had a fire in the office/warehouse of The Lynde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 former wholly owned subsidiary. The charge of $1,771,439 in 1997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$750,000 in 1995 has been recorded to cover estimated settlement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incurred by the Company in connection with a lawsuit filed against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 result of the fire. As of September 28, 1997, the Company has paid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$1,499,700 in settlement and legal costs relating to the fire and, based upon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settlement agreement, expects to incur additional legal and settlement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approximately $1 million. The Company will incur additional future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relating to the settlement of this lawsuit pursuant to a matrix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of distribution which is a part of the settlement. The Company is not 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estimate the magnitude of this potential exposure at this time. Management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believes the final disposition of this matter will not have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adverse effect on the Company's financial position, results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or cash flows. Based on two favorable lower court rulings,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believes that all or a portion of the settlement costs incurred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related to the Lynde fire may be recoverable from their insurers.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insurers have appealed the lower courts' decisions to the Eighth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Circuit Court of Appeals. It is not possible, therefore, to determine at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what recovery, if any, may be obtained by the Company and no amount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recorded at September 28,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for income taxes are as follows:</w:t>
      </w:r>
    </w:p>
    <w:p>
      <w:pPr>
        <w:spacing w:after="0" w:line="175" w:lineRule="exact"/>
        <w:rPr>
          <w:sz w:val="20"/>
          <w:szCs w:val="20"/>
          <w:color w:val="auto"/>
        </w:rPr>
      </w:pPr>
    </w:p>
    <w:p>
      <w:pPr>
        <w:ind w:left="3920"/>
        <w:spacing w:after="0"/>
        <w:tabs>
          <w:tab w:leader="none" w:pos="5100" w:val="left"/>
          <w:tab w:leader="none" w:pos="63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Operations: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 - current..................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$4,143,883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$3,011,755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$2,972,203</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States - current...................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1,099,687</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799,010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820,997</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(307,800)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159,876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(28,800)</w:t>
            </w:r>
          </w:p>
        </w:tc>
      </w:tr>
      <w:tr>
        <w:trPr>
          <w:trHeight w:val="167"/>
        </w:trPr>
        <w:tc>
          <w:tcPr>
            <w:tcW w:w="330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(benefit) provision........</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$4,935,770</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$3,970,641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$3,764,400</w:t>
            </w:r>
          </w:p>
        </w:tc>
      </w:tr>
      <w:tr>
        <w:trPr>
          <w:trHeight w:val="167"/>
        </w:trPr>
        <w:tc>
          <w:tcPr>
            <w:tcW w:w="330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Discontinued Operations: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 - current..................</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$(190,300)</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States - current...................</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(70,400)</w:t>
            </w:r>
          </w:p>
        </w:tc>
      </w:tr>
      <w:tr>
        <w:trPr>
          <w:trHeight w:val="167"/>
        </w:trPr>
        <w:tc>
          <w:tcPr>
            <w:tcW w:w="330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benefit....................</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$(260,700)</w:t>
            </w:r>
          </w:p>
        </w:tc>
      </w:tr>
      <w:tr>
        <w:trPr>
          <w:trHeight w:val="167"/>
        </w:trPr>
        <w:tc>
          <w:tcPr>
            <w:tcW w:w="3300" w:type="dxa"/>
            <w:vAlign w:val="bottom"/>
          </w:tcPr>
          <w:p>
            <w:pPr>
              <w:spacing w:after="0"/>
              <w:rPr>
                <w:sz w:val="14"/>
                <w:szCs w:val="14"/>
                <w:color w:val="auto"/>
              </w:rPr>
            </w:pPr>
          </w:p>
        </w:tc>
        <w:tc>
          <w:tcPr>
            <w:tcW w:w="3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A reconciliation of the provision for income taxes, based on income from continuing operations, to the applicable federal statutory income tax rate of 35% is as follows:</w:t>
      </w:r>
    </w:p>
    <w:p>
      <w:pPr>
        <w:sectPr>
          <w:pgSz w:w="11900" w:h="16838" w:orient="portrait"/>
          <w:cols w:equalWidth="0" w:num="1">
            <w:col w:w="10239"/>
          </w:cols>
          <w:pgMar w:left="220" w:top="787" w:right="1440" w:bottom="0" w:gutter="0" w:footer="0" w:header="0"/>
        </w:sectPr>
      </w:pPr>
    </w:p>
    <w:bookmarkStart w:id="28" w:name="page29"/>
    <w:bookmarkEnd w:id="28"/>
    <w:p>
      <w:pPr>
        <w:ind w:left="3920"/>
        <w:spacing w:after="0"/>
        <w:tabs>
          <w:tab w:leader="none" w:pos="5100" w:val="left"/>
          <w:tab w:leader="none" w:pos="63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Statutory federal income tax........</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$4,454,190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$3,656,468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$3,320,927</w:t>
            </w:r>
          </w:p>
        </w:tc>
      </w:tr>
      <w:tr>
        <w:trPr>
          <w:trHeight w:val="167"/>
        </w:trPr>
        <w:tc>
          <w:tcPr>
            <w:tcW w:w="32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State income taxes, net of</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federal deduction..................</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687,454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549,531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520,955</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Tax-exempt income...................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(108,856)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(97,325)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(90,925)</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net..........................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(97,018)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(138,033)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13,443</w:t>
            </w:r>
          </w:p>
        </w:tc>
      </w:tr>
      <w:tr>
        <w:trPr>
          <w:trHeight w:val="167"/>
        </w:trPr>
        <w:tc>
          <w:tcPr>
            <w:tcW w:w="3260" w:type="dxa"/>
            <w:vAlign w:val="bottom"/>
          </w:tcPr>
          <w:p>
            <w:pPr>
              <w:spacing w:after="0"/>
              <w:rPr>
                <w:sz w:val="14"/>
                <w:szCs w:val="14"/>
                <w:color w:val="auto"/>
              </w:rPr>
            </w:pPr>
          </w:p>
        </w:tc>
        <w:tc>
          <w:tcPr>
            <w:tcW w:w="3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$4,935,770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$3,970,641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$3,764,400</w:t>
            </w:r>
          </w:p>
        </w:tc>
      </w:tr>
      <w:tr>
        <w:trPr>
          <w:trHeight w:val="167"/>
        </w:trPr>
        <w:tc>
          <w:tcPr>
            <w:tcW w:w="3260" w:type="dxa"/>
            <w:vAlign w:val="bottom"/>
          </w:tcPr>
          <w:p>
            <w:pPr>
              <w:spacing w:after="0"/>
              <w:rPr>
                <w:sz w:val="14"/>
                <w:szCs w:val="14"/>
                <w:color w:val="auto"/>
              </w:rPr>
            </w:pPr>
          </w:p>
        </w:tc>
        <w:tc>
          <w:tcPr>
            <w:tcW w:w="3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1840"/>
        <w:spacing w:after="0"/>
        <w:tabs>
          <w:tab w:leader="none" w:pos="2160" w:val="left"/>
        </w:tabs>
        <w:rPr>
          <w:sz w:val="20"/>
          <w:szCs w:val="20"/>
          <w:color w:val="auto"/>
        </w:rPr>
      </w:pPr>
      <w:r>
        <w:rPr>
          <w:rFonts w:ascii="Courier New" w:cs="Courier New" w:eastAsia="Courier New" w:hAnsi="Courier New"/>
          <w:sz w:val="14"/>
          <w:szCs w:val="14"/>
          <w:color w:val="auto"/>
        </w:rPr>
        <w:t>17</w:t>
        <w:tab/>
        <w:t>HAWKINS CHEMICAL, INC. AND SUBSIDIARIES</w:t>
      </w:r>
    </w:p>
    <w:p>
      <w:pPr>
        <w:sectPr>
          <w:pgSz w:w="11900" w:h="16838" w:orient="portrait"/>
          <w:cols w:equalWidth="0" w:num="1">
            <w:col w:w="10239"/>
          </w:cols>
          <w:pgMar w:left="220" w:top="14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The tax effects of items comprising the Company's net deferred tax asset (liability) are as follows:</w:t>
      </w:r>
    </w:p>
    <w:p>
      <w:pPr>
        <w:spacing w:after="0" w:line="160" w:lineRule="exact"/>
        <w:rPr>
          <w:sz w:val="20"/>
          <w:szCs w:val="20"/>
          <w:color w:val="auto"/>
        </w:rPr>
      </w:pPr>
    </w:p>
    <w:p>
      <w:pPr>
        <w:ind w:left="4440"/>
        <w:spacing w:after="0"/>
        <w:tabs>
          <w:tab w:leader="none" w:pos="56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deferred taxes: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Accruals...............................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544,000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55,000</w:t>
            </w:r>
          </w:p>
        </w:tc>
      </w:tr>
      <w:tr>
        <w:trPr>
          <w:trHeight w:val="167"/>
        </w:trPr>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Inventory..............................</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401,000</w:t>
            </w:r>
          </w:p>
        </w:tc>
      </w:tr>
      <w:tr>
        <w:trPr>
          <w:trHeight w:val="167"/>
        </w:trPr>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Trade receivables......................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154,000</w:t>
            </w:r>
          </w:p>
        </w:tc>
        <w:tc>
          <w:tcPr>
            <w:tcW w:w="2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128,000</w:t>
            </w:r>
          </w:p>
        </w:tc>
      </w:tr>
      <w:tr>
        <w:trPr>
          <w:trHeight w:val="167"/>
        </w:trPr>
        <w:tc>
          <w:tcPr>
            <w:tcW w:w="3700" w:type="dxa"/>
            <w:vAlign w:val="bottom"/>
          </w:tcPr>
          <w:p>
            <w:pPr>
              <w:spacing w:after="0"/>
              <w:rPr>
                <w:sz w:val="14"/>
                <w:szCs w:val="14"/>
                <w:color w:val="auto"/>
              </w:rPr>
            </w:pPr>
          </w:p>
        </w:tc>
        <w:tc>
          <w:tcPr>
            <w:tcW w:w="2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$1,448,000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584,000</w:t>
            </w:r>
          </w:p>
        </w:tc>
      </w:tr>
      <w:tr>
        <w:trPr>
          <w:trHeight w:val="167"/>
        </w:trPr>
        <w:tc>
          <w:tcPr>
            <w:tcW w:w="3700" w:type="dxa"/>
            <w:vAlign w:val="bottom"/>
          </w:tcPr>
          <w:p>
            <w:pPr>
              <w:spacing w:after="0"/>
              <w:rPr>
                <w:sz w:val="14"/>
                <w:szCs w:val="14"/>
                <w:color w:val="auto"/>
              </w:rPr>
            </w:pPr>
          </w:p>
        </w:tc>
        <w:tc>
          <w:tcPr>
            <w:tcW w:w="2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Noncurrent deferred taxes: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Gain on sale of</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Lynde Company.....................</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(456,000)</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Property basis differences.............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(426,800)</w:t>
            </w:r>
          </w:p>
        </w:tc>
      </w:tr>
      <w:tr>
        <w:trPr>
          <w:trHeight w:val="167"/>
        </w:trPr>
        <w:tc>
          <w:tcPr>
            <w:tcW w:w="3700" w:type="dxa"/>
            <w:vAlign w:val="bottom"/>
          </w:tcPr>
          <w:p>
            <w:pPr>
              <w:spacing w:after="0"/>
              <w:rPr>
                <w:sz w:val="14"/>
                <w:szCs w:val="14"/>
                <w:color w:val="auto"/>
              </w:rPr>
            </w:pPr>
          </w:p>
        </w:tc>
        <w:tc>
          <w:tcPr>
            <w:tcW w:w="2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$( 983,000)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(426,800)</w:t>
            </w:r>
          </w:p>
        </w:tc>
      </w:tr>
      <w:tr>
        <w:trPr>
          <w:trHeight w:val="167"/>
        </w:trPr>
        <w:tc>
          <w:tcPr>
            <w:tcW w:w="3700" w:type="dxa"/>
            <w:vAlign w:val="bottom"/>
          </w:tcPr>
          <w:p>
            <w:pPr>
              <w:spacing w:after="0"/>
              <w:rPr>
                <w:sz w:val="14"/>
                <w:szCs w:val="14"/>
                <w:color w:val="auto"/>
              </w:rPr>
            </w:pPr>
          </w:p>
        </w:tc>
        <w:tc>
          <w:tcPr>
            <w:tcW w:w="2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00" w:right="4419" w:hanging="86"/>
        <w:spacing w:after="0" w:line="258" w:lineRule="auto"/>
        <w:rPr>
          <w:sz w:val="20"/>
          <w:szCs w:val="20"/>
          <w:color w:val="auto"/>
        </w:rPr>
      </w:pPr>
      <w:r>
        <w:rPr>
          <w:rFonts w:ascii="Courier New" w:cs="Courier New" w:eastAsia="Courier New" w:hAnsi="Courier New"/>
          <w:sz w:val="14"/>
          <w:szCs w:val="14"/>
          <w:color w:val="auto"/>
        </w:rPr>
        <w:t>*Included in prepaid expenses and other on the consolidated balance sheets.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DISCONTINUED OPERATIONS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Effective March 1, 1995, the Company sold the inventory, equipment and operations of Tessman Seed, Inc., which sold a wide range of horticulture and pest control products. As a result of the sale, the Company recorded a loss on the disposal of $321,166, net of a tax benefit of $214,200, to write down Tessman's assets to the amount realized.</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Operating results of Tessman Seed, Inc., for the year ended October 1, 1995 was as follows:</w:t>
      </w:r>
    </w:p>
    <w:p>
      <w:pPr>
        <w:spacing w:after="0" w:line="160"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20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931,105</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1,047,510</w:t>
            </w:r>
          </w:p>
        </w:tc>
      </w:tr>
    </w:tbl>
    <w:p>
      <w:pPr>
        <w:spacing w:after="0" w:line="171"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inventory, equipment and operations of Tessman were sold for $1,144,714. At closing Hawkins received $100,000 and a note receivable for the balance (see Note 3).</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Hawkins Chemical, Inc.:</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Hawkins Chemical, Inc. and its subsidiaries (the Company) as of September 28, 1997 and September 29, 1996 and the related consolidated statements of income and retained earnings and of cash flows for each of the three years in the period ended September 28, 1997. These consolidated financial statements are the responsibility of the Company's management. Our responsibility is to express an opinion on these consolidated financial statements based on our audits.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Hawkins Chemical, Inc. and its subsidiaries at September 28, 1997 and September 29, 1996 and the results of their operations and their cash flows for each of the three years in the period ended September 28, 1997 in conformity with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9, 1997</w:t>
      </w:r>
    </w:p>
    <w:p>
      <w:pPr>
        <w:spacing w:after="0" w:line="342" w:lineRule="exact"/>
        <w:rPr>
          <w:sz w:val="20"/>
          <w:szCs w:val="20"/>
          <w:color w:val="auto"/>
        </w:rPr>
      </w:pPr>
    </w:p>
    <w:p>
      <w:pPr>
        <w:ind w:left="1840"/>
        <w:spacing w:after="0"/>
        <w:tabs>
          <w:tab w:leader="none" w:pos="2160" w:val="left"/>
        </w:tabs>
        <w:rPr>
          <w:sz w:val="20"/>
          <w:szCs w:val="20"/>
          <w:color w:val="auto"/>
        </w:rPr>
      </w:pPr>
      <w:r>
        <w:rPr>
          <w:rFonts w:ascii="Courier New" w:cs="Courier New" w:eastAsia="Courier New" w:hAnsi="Courier New"/>
          <w:sz w:val="14"/>
          <w:szCs w:val="14"/>
          <w:color w:val="auto"/>
        </w:rPr>
        <w:t>18</w:t>
        <w:tab/>
        <w:t>HAWKINS CHEMICAL, INC. AND SUBSIDIARIES</w:t>
      </w:r>
    </w:p>
    <w:p>
      <w:pPr>
        <w:sectPr>
          <w:pgSz w:w="11900" w:h="16838" w:orient="portrait"/>
          <w:cols w:equalWidth="0" w:num="1">
            <w:col w:w="10239"/>
          </w:cols>
          <w:pgMar w:left="220" w:top="787" w:right="1440" w:bottom="1141"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Year ended</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September</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Sales from</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$ 87,745,980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$ 80,886,062</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$ 83,332,624</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$ 71,423,471</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$ 60,913,575</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gridSpan w:val="3"/>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7,790,487</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6,476,410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5,723,963</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5,044,410</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4,793,064</w:t>
            </w:r>
          </w:p>
        </w:tc>
      </w:tr>
    </w:tbl>
    <w:p>
      <w:pPr>
        <w:spacing w:after="0" w:line="4"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common share</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80" w:type="dxa"/>
            <w:vAlign w:val="bottom"/>
          </w:tcPr>
          <w:p>
            <w:pPr>
              <w:spacing w:after="0"/>
              <w:rPr>
                <w:sz w:val="20"/>
                <w:szCs w:val="20"/>
                <w:color w:val="auto"/>
              </w:rPr>
            </w:pPr>
            <w:r>
              <w:rPr>
                <w:rFonts w:ascii="Courier New" w:cs="Courier New" w:eastAsia="Courier New" w:hAnsi="Courier New"/>
                <w:sz w:val="14"/>
                <w:szCs w:val="14"/>
                <w:color w:val="auto"/>
              </w:rPr>
              <w:t>from continuing operations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Cash dividends declared per common share</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paid per common share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63,652,616</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56,487,356</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53,690,814</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45,974,984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38,962,586</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512,525</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572,453</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628,461</w:t>
            </w:r>
          </w:p>
        </w:tc>
        <w:tc>
          <w:tcPr>
            <w:tcW w:w="1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680,805</w:t>
            </w:r>
          </w:p>
        </w:tc>
        <w:tc>
          <w:tcPr>
            <w:tcW w:w="124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0" w:right="12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per share data has been restated to reflect the 5% stock dividends in 1997, 1996, 1994 and 1993 and the 10% stock dividend in 1995.</w:t>
      </w:r>
    </w:p>
    <w:p>
      <w:pPr>
        <w:spacing w:after="0" w:line="160" w:lineRule="exact"/>
        <w:rPr>
          <w:sz w:val="20"/>
          <w:szCs w:val="20"/>
          <w:color w:val="auto"/>
        </w:rPr>
      </w:pPr>
    </w:p>
    <w:p>
      <w:pPr>
        <w:ind w:left="2360" w:right="80" w:hanging="2342"/>
        <w:spacing w:after="0" w:line="258" w:lineRule="auto"/>
        <w:rPr>
          <w:sz w:val="20"/>
          <w:szCs w:val="20"/>
          <w:color w:val="auto"/>
        </w:rPr>
      </w:pPr>
      <w:r>
        <w:rPr>
          <w:rFonts w:ascii="Courier New" w:cs="Courier New" w:eastAsia="Courier New" w:hAnsi="Courier New"/>
          <w:sz w:val="14"/>
          <w:szCs w:val="14"/>
          <w:color w:val="auto"/>
        </w:rPr>
        <w:t>SECURITIES MARKET MAKERS - Herzog, Heine, Geduld, Inc., New York, NY; John G. Kinnard and Company, Inc., Minneapolis, MN; S.J. Wolfe and Co., Dayton, OH</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OPERATIONS BY QUARTER (UNAUDITED)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First Quarter</w:t>
            </w:r>
          </w:p>
        </w:tc>
        <w:tc>
          <w:tcPr>
            <w:tcW w:w="1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17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Third Quarter</w:t>
            </w:r>
          </w:p>
        </w:tc>
        <w:tc>
          <w:tcPr>
            <w:tcW w:w="17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Total Year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EXCEPT PER SHARE DATA)</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1997</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$17,423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$20,673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$18,439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$23,867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$22,275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$23,270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$22,749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$87,746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$80,886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3,764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3,853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21,332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18,097</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1,218</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6,476</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r>
    </w:tbl>
    <w:p>
      <w:pPr>
        <w:spacing w:after="0" w:line="4" w:lineRule="exact"/>
        <w:rPr>
          <w:sz w:val="20"/>
          <w:szCs w:val="20"/>
          <w:color w:val="auto"/>
        </w:rPr>
      </w:pPr>
    </w:p>
    <w:p>
      <w:pPr>
        <w:ind w:left="180" w:hanging="171"/>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2" w:lineRule="exact"/>
        <w:rPr>
          <w:rFonts w:ascii="Courier New" w:cs="Courier New" w:eastAsia="Courier New" w:hAnsi="Courier New"/>
          <w:sz w:val="14"/>
          <w:szCs w:val="14"/>
          <w:color w:val="auto"/>
        </w:rPr>
      </w:pPr>
    </w:p>
    <w:p>
      <w:pPr>
        <w:ind w:left="1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  HAWKINS CHEMICAL, INC. AND SUBSIDIARIES</w:t>
      </w:r>
    </w:p>
    <w:p>
      <w:pPr>
        <w:sectPr>
          <w:pgSz w:w="11900" w:h="16838" w:orient="portrait"/>
          <w:cols w:equalWidth="0" w:num="1">
            <w:col w:w="10600"/>
          </w:cols>
          <w:pgMar w:left="220" w:top="787" w:right="107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SHAREHOLDER INFORMATION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STOCK DATA</w:t>
      </w:r>
    </w:p>
    <w:p>
      <w:pPr>
        <w:spacing w:after="0" w:line="175" w:lineRule="exact"/>
        <w:rPr>
          <w:sz w:val="20"/>
          <w:szCs w:val="20"/>
          <w:color w:val="auto"/>
        </w:rPr>
      </w:pPr>
    </w:p>
    <w:p>
      <w:pPr>
        <w:ind w:left="1740"/>
        <w:spacing w:after="0"/>
        <w:tabs>
          <w:tab w:leader="none" w:pos="260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8"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1997</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 1/4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 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3rd Quarter</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0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2nd Quarter</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0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1st Quarter</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1996</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 3/4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 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3rd Quarter</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 5/8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 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tabs>
          <w:tab w:leader="none" w:pos="1720" w:val="left"/>
          <w:tab w:leader="none" w:pos="2860" w:val="left"/>
        </w:tabs>
        <w:rPr>
          <w:sz w:val="20"/>
          <w:szCs w:val="20"/>
          <w:color w:val="auto"/>
        </w:rPr>
      </w:pPr>
      <w:r>
        <w:rPr>
          <w:rFonts w:ascii="Courier New" w:cs="Courier New" w:eastAsia="Courier New" w:hAnsi="Courier New"/>
          <w:sz w:val="14"/>
          <w:szCs w:val="14"/>
          <w:color w:val="auto"/>
        </w:rPr>
        <w:t>2nd Quarter</w:t>
      </w:r>
      <w:r>
        <w:rPr>
          <w:sz w:val="20"/>
          <w:szCs w:val="20"/>
          <w:color w:val="auto"/>
        </w:rPr>
        <w:tab/>
      </w:r>
      <w:r>
        <w:rPr>
          <w:rFonts w:ascii="Courier New" w:cs="Courier New" w:eastAsia="Courier New" w:hAnsi="Courier New"/>
          <w:sz w:val="14"/>
          <w:szCs w:val="14"/>
          <w:color w:val="auto"/>
        </w:rPr>
        <w:t>8 5/8</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tabs>
          <w:tab w:leader="none" w:pos="1720" w:val="left"/>
          <w:tab w:leader="none" w:pos="2500" w:val="left"/>
        </w:tabs>
        <w:rPr>
          <w:sz w:val="20"/>
          <w:szCs w:val="20"/>
          <w:color w:val="auto"/>
        </w:rPr>
      </w:pPr>
      <w:r>
        <w:rPr>
          <w:rFonts w:ascii="Courier New" w:cs="Courier New" w:eastAsia="Courier New" w:hAnsi="Courier New"/>
          <w:sz w:val="14"/>
          <w:szCs w:val="14"/>
          <w:color w:val="auto"/>
        </w:rPr>
        <w:t>1st Quarter</w:t>
      </w:r>
      <w:r>
        <w:rPr>
          <w:sz w:val="20"/>
          <w:szCs w:val="20"/>
          <w:color w:val="auto"/>
        </w:rPr>
        <w:tab/>
      </w:r>
      <w:r>
        <w:rPr>
          <w:rFonts w:ascii="Courier New" w:cs="Courier New" w:eastAsia="Courier New" w:hAnsi="Courier New"/>
          <w:sz w:val="14"/>
          <w:szCs w:val="14"/>
          <w:color w:val="auto"/>
        </w:rPr>
        <w:t>8 3/8</w:t>
      </w:r>
      <w:r>
        <w:rPr>
          <w:sz w:val="20"/>
          <w:szCs w:val="20"/>
          <w:color w:val="auto"/>
        </w:rPr>
        <w:tab/>
      </w:r>
      <w:r>
        <w:rPr>
          <w:rFonts w:ascii="Courier New" w:cs="Courier New" w:eastAsia="Courier New" w:hAnsi="Courier New"/>
          <w:sz w:val="14"/>
          <w:szCs w:val="14"/>
          <w:color w:val="auto"/>
        </w:rPr>
        <w:t>6 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common stock of Hawkins Chemical, Inc. is as quoted on the NASDAQ National Market System. The price information represents closing sale prices reported in the NASDAQ/NMS Monthly Statistical Report. There were 825 common shareholder accounts on September 28, 1997. The prices are adjusted to reflect the 5% stock dividend that occurred on April 11, 1997 and March 29,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Hawkins Chemical, Inc. common stock is traded on the NASDAQ National Market System under the symbol HWKN.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AVAILABLE</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Hawkins Chemical, Inc. will provide to each person whose proxy is solicited, upon the written request by such person, a copy of its Annual Report on Form 10-K as filed with the Securities and Exchange Commission, including financial statements and schedules. Such request should be directed to Hawkins Chemical, Inc., Attention: Corporate Secretary, 3100 East Hennepin Avenue, Minneapolis, Minnesota 55413.</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REGISTRAR AND TRANSFER AGENT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inquires concerning the transfer of shares, lost certificates,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changes should be directed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Norwest Shareowner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64854</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St. Paul, MN</w:t>
        <w:tab/>
        <w:t>55164-0854</w:t>
      </w:r>
    </w:p>
    <w:p>
      <w:pPr>
        <w:spacing w:after="0" w:line="8" w:lineRule="exact"/>
        <w:rPr>
          <w:sz w:val="20"/>
          <w:szCs w:val="20"/>
          <w:color w:val="auto"/>
        </w:rPr>
      </w:pPr>
    </w:p>
    <w:p>
      <w:pPr>
        <w:ind w:left="520" w:hanging="511"/>
        <w:spacing w:after="0"/>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468-9716</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450-4064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DIVIDENDS</w:t>
      </w:r>
    </w:p>
    <w:p>
      <w:pPr>
        <w:spacing w:after="0" w:line="175" w:lineRule="exact"/>
        <w:rPr>
          <w:sz w:val="20"/>
          <w:szCs w:val="20"/>
          <w:color w:val="auto"/>
        </w:rPr>
      </w:pPr>
    </w:p>
    <w:p>
      <w:pPr>
        <w:ind w:left="1660"/>
        <w:spacing w:after="0"/>
        <w:tabs>
          <w:tab w:leader="none" w:pos="2940" w:val="left"/>
        </w:tabs>
        <w:rPr>
          <w:sz w:val="20"/>
          <w:szCs w:val="20"/>
          <w:color w:val="auto"/>
        </w:rPr>
      </w:pPr>
      <w:r>
        <w:rPr>
          <w:rFonts w:ascii="Courier New" w:cs="Courier New" w:eastAsia="Courier New" w:hAnsi="Courier New"/>
          <w:sz w:val="14"/>
          <w:szCs w:val="14"/>
          <w:color w:val="auto"/>
        </w:rPr>
        <w:t>Declared</w:t>
      </w:r>
      <w:r>
        <w:rPr>
          <w:sz w:val="20"/>
          <w:szCs w:val="20"/>
          <w:color w:val="auto"/>
        </w:rPr>
        <w:tab/>
      </w:r>
      <w:r>
        <w:rPr>
          <w:rFonts w:ascii="Courier New" w:cs="Courier New" w:eastAsia="Courier New" w:hAnsi="Courier New"/>
          <w:sz w:val="14"/>
          <w:szCs w:val="14"/>
          <w:color w:val="auto"/>
        </w:rPr>
        <w:t>Paid</w:t>
      </w:r>
    </w:p>
    <w:p>
      <w:pPr>
        <w:spacing w:after="0" w:line="8"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1998</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1st Quarter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$.090</w:t>
            </w:r>
          </w:p>
        </w:tc>
      </w:tr>
    </w:tbl>
    <w:p>
      <w:pPr>
        <w:spacing w:after="0" w:line="4"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1997</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3rd Quarter</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$.086</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2nd Quarter</w:t>
            </w:r>
          </w:p>
        </w:tc>
        <w:tc>
          <w:tcPr>
            <w:tcW w:w="222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$.086</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1st Quarter</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$.076</w:t>
            </w:r>
          </w:p>
        </w:tc>
      </w:tr>
    </w:tbl>
    <w:p>
      <w:pPr>
        <w:spacing w:after="0" w:line="4"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1996</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3rd Quarter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$.073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2nd Quarter</w:t>
            </w:r>
          </w:p>
        </w:tc>
        <w:tc>
          <w:tcPr>
            <w:tcW w:w="222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$.073</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1st Quarter</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Cash dividends have been restated to reflect the 5% stock dividends declared February 12, 1997 and February 7,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annual meeting of the shareholders of Hawkins Chemical, Inc. will be held on Wednesday, February 11, 1998, at the Sheraton Minneapolis Metrodome, 1330 Industrial Boulevard, Minneapolis, Minnesota, at 3:00 p.m.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HEADQUARTERS</w:t>
      </w:r>
    </w:p>
    <w:p>
      <w:pPr>
        <w:sectPr>
          <w:pgSz w:w="11900" w:h="16838" w:orient="portrait"/>
          <w:cols w:equalWidth="0" w:num="1">
            <w:col w:w="10239"/>
          </w:cols>
          <w:pgMar w:left="220" w:top="787"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3100 East Hennepin Avenue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55413</w:t>
      </w:r>
    </w:p>
    <w:p>
      <w:pPr>
        <w:spacing w:after="0" w:line="8" w:lineRule="exact"/>
        <w:rPr>
          <w:sz w:val="20"/>
          <w:szCs w:val="20"/>
          <w:color w:val="auto"/>
        </w:rPr>
      </w:pPr>
    </w:p>
    <w:p>
      <w:pPr>
        <w:ind w:left="520" w:hanging="511"/>
        <w:spacing w:after="0"/>
        <w:tabs>
          <w:tab w:leader="none" w:pos="5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328-5460</w:t>
      </w:r>
    </w:p>
    <w:p>
      <w:pPr>
        <w:spacing w:after="0" w:line="8" w:lineRule="exact"/>
        <w:rPr>
          <w:rFonts w:ascii="Courier New" w:cs="Courier New" w:eastAsia="Courier New" w:hAnsi="Courier New"/>
          <w:sz w:val="14"/>
          <w:szCs w:val="14"/>
          <w:color w:val="auto"/>
        </w:rPr>
      </w:pPr>
    </w:p>
    <w:p>
      <w:pPr>
        <w:ind w:right="7619" w:firstLine="9"/>
        <w:spacing w:after="0" w:line="258" w:lineRule="auto"/>
        <w:tabs>
          <w:tab w:leader="none" w:pos="521"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331-6910 http://www.hawkinschemical.com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REINVESTMENT PLAN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 plan is available to shareholders for the automatic reinvestment of dividends to purchase additional shares of Hawkins Chemical, Inc. common stock. A brochure describing this service may be obtained by writing or calling: Norwest Bank Minnesota,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Reinvestment Department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161 North Concord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539</w:t>
      </w:r>
    </w:p>
    <w:p>
      <w:pPr>
        <w:spacing w:after="0" w:line="8"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4"/>
          <w:szCs w:val="14"/>
          <w:color w:val="auto"/>
        </w:rPr>
        <w:t>South Saint Paul, MN</w:t>
        <w:tab/>
        <w:t>55075-0539</w:t>
      </w:r>
    </w:p>
    <w:p>
      <w:pPr>
        <w:spacing w:after="0" w:line="8" w:lineRule="exact"/>
        <w:rPr>
          <w:sz w:val="20"/>
          <w:szCs w:val="20"/>
          <w:color w:val="auto"/>
        </w:rPr>
      </w:pPr>
    </w:p>
    <w:p>
      <w:pPr>
        <w:ind w:left="520" w:hanging="511"/>
        <w:spacing w:after="0"/>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468-9716</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450-4064</w:t>
      </w:r>
    </w:p>
    <w:p>
      <w:pPr>
        <w:spacing w:after="0" w:line="200" w:lineRule="exact"/>
        <w:rPr>
          <w:sz w:val="20"/>
          <w:szCs w:val="20"/>
          <w:color w:val="auto"/>
        </w:rPr>
      </w:pPr>
    </w:p>
    <w:p>
      <w:pPr>
        <w:spacing w:after="0" w:line="309" w:lineRule="exact"/>
        <w:rPr>
          <w:sz w:val="20"/>
          <w:szCs w:val="20"/>
          <w:color w:val="auto"/>
        </w:rPr>
      </w:pPr>
    </w:p>
    <w:p>
      <w:pPr>
        <w:ind w:left="1840"/>
        <w:spacing w:after="0"/>
        <w:tabs>
          <w:tab w:leader="none" w:pos="2160" w:val="left"/>
        </w:tabs>
        <w:rPr>
          <w:sz w:val="20"/>
          <w:szCs w:val="20"/>
          <w:color w:val="auto"/>
        </w:rPr>
      </w:pPr>
      <w:r>
        <w:rPr>
          <w:rFonts w:ascii="Courier New" w:cs="Courier New" w:eastAsia="Courier New" w:hAnsi="Courier New"/>
          <w:sz w:val="14"/>
          <w:szCs w:val="14"/>
          <w:color w:val="auto"/>
        </w:rPr>
        <w:t>21</w:t>
        <w:tab/>
        <w:t>HAWKINS CHEMICAL, INC. AND SUBSIDIARIES</w:t>
      </w:r>
    </w:p>
    <w:p>
      <w:pPr>
        <w:sectPr>
          <w:pgSz w:w="11900" w:h="16838" w:orient="portrait"/>
          <w:cols w:equalWidth="0" w:num="1">
            <w:col w:w="10239"/>
          </w:cols>
          <w:pgMar w:left="220" w:top="308" w:right="1440" w:bottom="1440" w:gutter="0" w:footer="0" w:header="0"/>
        </w:sectPr>
      </w:pPr>
    </w:p>
    <w:bookmarkStart w:id="33" w:name="page34"/>
    <w:bookmarkEnd w:id="33"/>
    <w:p>
      <w:pPr>
        <w:ind w:left="3300"/>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following is a wholly owned subsidiary of the Registrant:</w:t>
      </w:r>
    </w:p>
    <w:p>
      <w:pPr>
        <w:sectPr>
          <w:pgSz w:w="11900" w:h="16838" w:orient="portrait"/>
          <w:cols w:equalWidth="0" w:num="1">
            <w:col w:w="10239"/>
          </w:cols>
          <w:pgMar w:left="220" w:top="642"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in which organized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100" w:space="720"/>
            <w:col w:w="6419"/>
          </w:cols>
          <w:pgMar w:left="220" w:top="64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Hawkins Water Treatment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Minnesota</w:t>
      </w:r>
    </w:p>
    <w:p>
      <w:pPr>
        <w:spacing w:after="0" w:line="200" w:lineRule="exact"/>
        <w:rPr>
          <w:sz w:val="20"/>
          <w:szCs w:val="20"/>
          <w:color w:val="auto"/>
        </w:rPr>
      </w:pPr>
    </w:p>
    <w:p>
      <w:pPr>
        <w:sectPr>
          <w:pgSz w:w="11900" w:h="16838" w:orient="portrait"/>
          <w:cols w:equalWidth="0" w:num="2">
            <w:col w:w="3800" w:space="720"/>
            <w:col w:w="5719"/>
          </w:cols>
          <w:pgMar w:left="220" w:top="642" w:right="1440" w:bottom="1440" w:gutter="0" w:footer="0" w:header="0"/>
          <w:type w:val="continuous"/>
        </w:sectPr>
      </w:pPr>
    </w:p>
    <w:p>
      <w:pPr>
        <w:spacing w:after="0" w:line="30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financial statements of the predecessors of Hawkins Water Treatment Group, Inc., Feed-Rite Controls, Inc., Mon-Dak Chemical, Inc., and Dakota Chemical, Inc. (which predecessors were merged into a single entity now known as Hawkins Water Treatment Group, Inc. following the end of fiscal 1997), are consolidated with those of the Registrant.</w:t>
      </w:r>
    </w:p>
    <w:p>
      <w:pPr>
        <w:sectPr>
          <w:pgSz w:w="11900" w:h="16838" w:orient="portrait"/>
          <w:cols w:equalWidth="0" w:num="1">
            <w:col w:w="10239"/>
          </w:cols>
          <w:pgMar w:left="220" w:top="642" w:right="1440" w:bottom="1440" w:gutter="0" w:footer="0" w:header="0"/>
          <w:type w:val="continuous"/>
        </w:sectPr>
      </w:pPr>
    </w:p>
    <w:bookmarkStart w:id="34" w:name="page35"/>
    <w:bookmarkEnd w:id="34"/>
    <w:p>
      <w:pPr>
        <w:jc w:val="center"/>
        <w:ind w:right="2759"/>
        <w:spacing w:after="0"/>
        <w:rPr>
          <w:sz w:val="20"/>
          <w:szCs w:val="20"/>
          <w:color w:val="auto"/>
        </w:rPr>
      </w:pPr>
      <w:r>
        <w:rPr>
          <w:rFonts w:ascii="Courier New" w:cs="Courier New" w:eastAsia="Courier New" w:hAnsi="Courier New"/>
          <w:sz w:val="14"/>
          <w:szCs w:val="14"/>
          <w:color w:val="auto"/>
        </w:rPr>
        <w:t>EXHIBIT 23</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Registration Statement No. 33-41323 of Hawkins Chemical, Inc. and subsidiaries (the Company) on Form S-8 of our report dated December 9, 1997 incorporated by reference in the Annual Report on Form 10-K for the Company for the year ended September 28, 1997.</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1997</w:t>
      </w:r>
    </w:p>
    <w:p>
      <w:pPr>
        <w:sectPr>
          <w:pgSz w:w="11900" w:h="16838" w:orient="portrait"/>
          <w:cols w:equalWidth="0" w:num="1">
            <w:col w:w="10239"/>
          </w:cols>
          <w:pgMar w:left="220" w:top="475" w:right="1440" w:bottom="1440"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SEP-28-1997</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SEP-30-1996</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SEP-28-1997</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8,065,021</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11,980,078</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11,117,991</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8,580,705</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41,879,066</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15,487,545</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63,652,616</w:t>
      </w:r>
    </w:p>
    <w:p>
      <w:pPr>
        <w:spacing w:after="0" w:line="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13,215,317</w:t>
      </w:r>
    </w:p>
    <w:p>
      <w:pPr>
        <w:spacing w:after="0" w:line="8"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580,195</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48,361,579</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63,652,616</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87,745,980</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87,745,980</w:t>
      </w:r>
    </w:p>
    <w:p>
      <w:pPr>
        <w:spacing w:after="0" w:line="8"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66,413,954</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77,684,951</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47,439</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12,726,257</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4,935,770</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7,790,487</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7,790,487</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.67</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.67</w:t>
      </w:r>
    </w:p>
    <w:sectPr>
      <w:pgSz w:w="11900" w:h="16838" w:orient="portrait"/>
      <w:cols w:equalWidth="0" w:num="1">
        <w:col w:w="10139"/>
      </w:cols>
      <w:pgMar w:left="3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5"/>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5"/>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Roman"/>
      <w:start w:val="1"/>
    </w:lvl>
    <w:lvl w:ilvl="1">
      <w:lvlJc w:val="left"/>
      <w:lvlText w:val="(%2)"/>
      <w:numFmt w:val="upperLetter"/>
      <w:start w:val="1"/>
    </w:lvl>
  </w:abstractNum>
  <w:abstractNum w:abstractNumId="6">
    <w:nsid w:val="8EDBDAB"/>
    <w:multiLevelType w:val="hybridMultilevel"/>
    <w:lvl w:ilvl="0">
      <w:lvlJc w:val="left"/>
      <w:lvlText w:val="%1"/>
      <w:numFmt w:val="lowerRoman"/>
      <w:start w:val="1"/>
    </w:lvl>
    <w:lvl w:ilvl="1">
      <w:lvlJc w:val="left"/>
      <w:lvlText w:val="(%2)"/>
      <w:numFmt w:val="upperLetter"/>
      <w:start w:val="3"/>
    </w:lvl>
  </w:abstractNum>
  <w:abstractNum w:abstractNumId="7">
    <w:nsid w:val="79838CB2"/>
    <w:multiLevelType w:val="hybridMultilevel"/>
    <w:lvl w:ilvl="0">
      <w:lvlJc w:val="left"/>
      <w:lvlText w:val="(%1)"/>
      <w:numFmt w:val="lowerRoman"/>
      <w:start w:val="2"/>
    </w:lvl>
    <w:lvl w:ilvl="1">
      <w:lvlJc w:val="left"/>
      <w:lvlText w:val="%2"/>
      <w:numFmt w:val="upperLetter"/>
      <w:start w:val="1"/>
    </w:lvl>
  </w:abstractNum>
  <w:abstractNum w:abstractNumId="8">
    <w:nsid w:val="4353D0CD"/>
    <w:multiLevelType w:val="hybridMultilevel"/>
    <w:lvl w:ilvl="0">
      <w:lvlJc w:val="left"/>
      <w:lvlText w:val="(%1)"/>
      <w:numFmt w:val="lowerRoman"/>
      <w:start w:val="4"/>
    </w:lvl>
  </w:abstractNum>
  <w:abstractNum w:abstractNumId="9">
    <w:nsid w:val="B03E0C6"/>
    <w:multiLevelType w:val="hybridMultilevel"/>
    <w:lvl w:ilvl="0">
      <w:lvlJc w:val="left"/>
      <w:lvlText w:val="(%1)"/>
      <w:numFmt w:val="lowerRoman"/>
      <w:start w:val="5"/>
    </w:lvl>
  </w:abstractNum>
  <w:abstractNum w:abstractNumId="10">
    <w:nsid w:val="189A769B"/>
    <w:multiLevelType w:val="hybridMultilevel"/>
    <w:lvl w:ilvl="0">
      <w:lvlJc w:val="left"/>
      <w:lvlText w:val="(%1)"/>
      <w:numFmt w:val="lowerRoman"/>
      <w:start w:val="10"/>
    </w:lvl>
  </w:abstractNum>
  <w:abstractNum w:abstractNumId="11">
    <w:nsid w:val="54E49EB4"/>
    <w:multiLevelType w:val="hybridMultilevel"/>
    <w:lvl w:ilvl="0">
      <w:lvlJc w:val="left"/>
      <w:lvlText w:val="(%1)"/>
      <w:numFmt w:val="lowerLetter"/>
      <w:start w:val="4"/>
    </w:lvl>
  </w:abstractNum>
  <w:abstractNum w:abstractNumId="12">
    <w:nsid w:val="71F32454"/>
    <w:multiLevelType w:val="hybridMultilevel"/>
    <w:lvl w:ilvl="0">
      <w:lvlJc w:val="left"/>
      <w:lvlText w:val="-"/>
      <w:numFmt w:val="bullet"/>
      <w:start w:val="1"/>
    </w:lvl>
    <w:lvl w:ilvl="1">
      <w:lvlJc w:val="left"/>
      <w:lvlText w:val="(%2)"/>
      <w:numFmt w:val="decimal"/>
      <w:start w:val="1"/>
    </w:lvl>
  </w:abstractNum>
  <w:abstractNum w:abstractNumId="13">
    <w:nsid w:val="2CA88611"/>
    <w:multiLevelType w:val="hybridMultilevel"/>
    <w:lvl w:ilvl="0">
      <w:lvlJc w:val="left"/>
      <w:lvlText w:val="(%1)"/>
      <w:numFmt w:val="decimal"/>
      <w:start w:val="2"/>
    </w:lvl>
  </w:abstractNum>
  <w:abstractNum w:abstractNumId="14">
    <w:nsid w:val="836C40E"/>
    <w:multiLevelType w:val="hybridMultilevel"/>
    <w:lvl w:ilvl="0">
      <w:lvlJc w:val="left"/>
      <w:lvlText w:val="(%1)"/>
      <w:numFmt w:val="lowerLetter"/>
      <w:start w:val="1"/>
    </w:lvl>
    <w:lvl w:ilvl="1">
      <w:lvlJc w:val="left"/>
      <w:lvlText w:val="%2."/>
      <w:numFmt w:val="decimal"/>
      <w:start w:val="1"/>
    </w:lvl>
  </w:abstractNum>
  <w:abstractNum w:abstractNumId="15">
    <w:nsid w:val="2901D82"/>
    <w:multiLevelType w:val="hybridMultilevel"/>
    <w:lvl w:ilvl="0">
      <w:lvlJc w:val="left"/>
      <w:lvlText w:val="%1."/>
      <w:numFmt w:val="decimal"/>
      <w:start w:val="2"/>
    </w:lvl>
  </w:abstractNum>
  <w:abstractNum w:abstractNumId="16">
    <w:nsid w:val="3A95F874"/>
    <w:multiLevelType w:val="hybridMultilevel"/>
    <w:lvl w:ilvl="0">
      <w:lvlJc w:val="left"/>
      <w:lvlText w:val="%1."/>
      <w:numFmt w:val="decimal"/>
      <w:start w:val="3"/>
    </w:lvl>
  </w:abstractNum>
  <w:abstractNum w:abstractNumId="17">
    <w:nsid w:val="8138641"/>
    <w:multiLevelType w:val="hybridMultilevel"/>
    <w:lvl w:ilvl="0">
      <w:lvlJc w:val="left"/>
      <w:lvlText w:val="4"/>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4"/>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800"/>
    </w:lvl>
  </w:abstractNum>
  <w:abstractNum w:abstractNumId="34">
    <w:nsid w:val="2463B9EA"/>
    <w:multiLevelType w:val="hybridMultilevel"/>
    <w:lvl w:ilvl="0">
      <w:lvlJc w:val="left"/>
      <w:lvlText w:val="(%1)"/>
      <w:numFmt w:val="decimal"/>
      <w:start w:val="612"/>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800"/>
    </w:lvl>
  </w:abstractNum>
  <w:abstractNum w:abstractNumId="39">
    <w:nsid w:val="153EA438"/>
    <w:multiLevelType w:val="hybridMultilevel"/>
    <w:lvl w:ilvl="0">
      <w:lvlJc w:val="left"/>
      <w:lvlText w:val="(%1)"/>
      <w:numFmt w:val="decimal"/>
      <w:start w:val="612"/>
    </w:lvl>
  </w:abstractNum>
  <w:abstractNum w:abstractNumId="40">
    <w:nsid w:val="3855585C"/>
    <w:multiLevelType w:val="hybridMultilevel"/>
    <w:lvl w:ilvl="0">
      <w:lvlJc w:val="left"/>
      <w:lvlText w:val="(%1)"/>
      <w:numFmt w:val="decimal"/>
      <w:start w:val="800"/>
    </w:lvl>
  </w:abstractNum>
  <w:abstractNum w:abstractNumId="41">
    <w:nsid w:val="70A64E2A"/>
    <w:multiLevelType w:val="hybridMultilevel"/>
    <w:lvl w:ilvl="0">
      <w:lvlJc w:val="left"/>
      <w:lvlText w:val="(%1)"/>
      <w:numFmt w:val="decimal"/>
      <w:start w:val="6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2019-12-13T01:51:26Z</dcterms:created>
  <dcterms:modified xsi:type="dcterms:W3CDTF">2019-12-13T01:51:26Z</dcterms:modified>
</cp:coreProperties>
</file>