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48"/>
        <w:spacing w:after="0"/>
        <w:rPr>
          <w:sz w:val="20"/>
          <w:szCs w:val="20"/>
          <w:color w:val="auto"/>
        </w:rPr>
      </w:pPr>
      <w:r>
        <w:rPr>
          <w:rFonts w:ascii="Courier New" w:cs="Courier New" w:eastAsia="Courier New" w:hAnsi="Courier New"/>
          <w:sz w:val="15"/>
          <w:szCs w:val="15"/>
          <w:color w:val="auto"/>
        </w:rPr>
        <w:t>UNITED STATES</w:t>
      </w:r>
    </w:p>
    <w:p>
      <w:pPr>
        <w:spacing w:after="0" w:line="30" w:lineRule="exact"/>
        <w:rPr>
          <w:sz w:val="24"/>
          <w:szCs w:val="24"/>
          <w:color w:val="auto"/>
        </w:rPr>
      </w:pPr>
    </w:p>
    <w:p>
      <w:pPr>
        <w:ind w:left="2048"/>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10-Q</w:t>
      </w:r>
    </w:p>
    <w:p>
      <w:pPr>
        <w:spacing w:after="0" w:line="318"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30" w:lineRule="exact"/>
        <w:rPr>
          <w:sz w:val="24"/>
          <w:szCs w:val="24"/>
          <w:color w:val="auto"/>
        </w:rPr>
      </w:pPr>
    </w:p>
    <w:p>
      <w:pPr>
        <w:ind w:left="348" w:right="3159" w:hanging="348"/>
        <w:spacing w:after="0" w:line="319" w:lineRule="auto"/>
        <w:tabs>
          <w:tab w:leader="none" w:pos="3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36" w:lineRule="exact"/>
        <w:rPr>
          <w:sz w:val="24"/>
          <w:szCs w:val="24"/>
          <w:color w:val="auto"/>
        </w:rPr>
      </w:pPr>
    </w:p>
    <w:p>
      <w:pPr>
        <w:ind w:left="1528"/>
        <w:spacing w:after="0"/>
        <w:tabs>
          <w:tab w:leader="none" w:pos="4368" w:val="left"/>
        </w:tabs>
        <w:rPr>
          <w:sz w:val="20"/>
          <w:szCs w:val="20"/>
          <w:color w:val="auto"/>
        </w:rPr>
      </w:pPr>
      <w:r>
        <w:rPr>
          <w:rFonts w:ascii="Courier New" w:cs="Courier New" w:eastAsia="Courier New" w:hAnsi="Courier New"/>
          <w:sz w:val="15"/>
          <w:szCs w:val="15"/>
          <w:color w:val="auto"/>
        </w:rPr>
        <w:t>For the quarterly period ended</w:t>
      </w:r>
      <w:r>
        <w:rPr>
          <w:sz w:val="20"/>
          <w:szCs w:val="20"/>
          <w:color w:val="auto"/>
        </w:rPr>
        <w:tab/>
      </w:r>
      <w:r>
        <w:rPr>
          <w:rFonts w:ascii="Courier New" w:cs="Courier New" w:eastAsia="Courier New" w:hAnsi="Courier New"/>
          <w:sz w:val="14"/>
          <w:szCs w:val="14"/>
          <w:color w:val="auto"/>
        </w:rPr>
        <w:t>March 31, 1995</w:t>
      </w:r>
    </w:p>
    <w:p>
      <w:pPr>
        <w:spacing w:after="0" w:line="30" w:lineRule="exact"/>
        <w:rPr>
          <w:sz w:val="24"/>
          <w:szCs w:val="24"/>
          <w:color w:val="auto"/>
        </w:rPr>
      </w:pPr>
    </w:p>
    <w:p>
      <w:pPr>
        <w:ind w:left="43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3488"/>
        <w:spacing w:after="0"/>
        <w:rPr>
          <w:sz w:val="20"/>
          <w:szCs w:val="20"/>
          <w:color w:val="auto"/>
        </w:rPr>
      </w:pPr>
      <w:r>
        <w:rPr>
          <w:rFonts w:ascii="Courier New" w:cs="Courier New" w:eastAsia="Courier New" w:hAnsi="Courier New"/>
          <w:sz w:val="15"/>
          <w:szCs w:val="15"/>
          <w:color w:val="auto"/>
        </w:rPr>
        <w:t>OR</w:t>
      </w:r>
    </w:p>
    <w:p>
      <w:pPr>
        <w:spacing w:after="0" w:line="146" w:lineRule="exact"/>
        <w:rPr>
          <w:sz w:val="24"/>
          <w:szCs w:val="24"/>
          <w:color w:val="auto"/>
        </w:rPr>
      </w:pPr>
    </w:p>
    <w:p>
      <w:pPr>
        <w:ind w:left="348" w:right="3079" w:hanging="348"/>
        <w:spacing w:after="0" w:line="359" w:lineRule="auto"/>
        <w:tabs>
          <w:tab w:leader="none" w:pos="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8"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For the transition period from ___________________to ___________________</w:t>
      </w:r>
    </w:p>
    <w:p>
      <w:pPr>
        <w:spacing w:after="0" w:line="174"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Commission file number 0-7647</w:t>
      </w:r>
    </w:p>
    <w:p>
      <w:pPr>
        <w:spacing w:after="0" w:line="30" w:lineRule="exact"/>
        <w:rPr>
          <w:sz w:val="24"/>
          <w:szCs w:val="24"/>
          <w:color w:val="auto"/>
        </w:rPr>
      </w:pPr>
    </w:p>
    <w:p>
      <w:pPr>
        <w:ind w:left="4388"/>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HAWKINS CHEMICAL, INC.</w:t>
      </w:r>
    </w:p>
    <w:p>
      <w:pPr>
        <w:spacing w:after="0" w:line="30"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46" w:lineRule="exact"/>
        <w:rPr>
          <w:sz w:val="24"/>
          <w:szCs w:val="24"/>
          <w:color w:val="auto"/>
        </w:rPr>
      </w:pPr>
    </w:p>
    <w:tbl>
      <w:tblPr>
        <w:tblLayout w:type="fixed"/>
        <w:tblInd w:w="448" w:type="dxa"/>
        <w:tblCellMar>
          <w:top w:w="0" w:type="dxa"/>
          <w:left w:w="0" w:type="dxa"/>
          <w:bottom w:w="0" w:type="dxa"/>
          <w:right w:w="0" w:type="dxa"/>
        </w:tblCellMar>
      </w:tblPr>
      <w:tr>
        <w:trPr>
          <w:trHeight w:val="172"/>
        </w:trPr>
        <w:tc>
          <w:tcPr>
            <w:tcW w:w="3120" w:type="dxa"/>
            <w:vAlign w:val="bottom"/>
          </w:tcPr>
          <w:p>
            <w:pPr>
              <w:ind w:left="900"/>
              <w:spacing w:after="0"/>
              <w:rPr>
                <w:sz w:val="20"/>
                <w:szCs w:val="20"/>
                <w:color w:val="auto"/>
              </w:rPr>
            </w:pPr>
            <w:r>
              <w:rPr>
                <w:rFonts w:ascii="Courier New" w:cs="Courier New" w:eastAsia="Courier New" w:hAnsi="Courier New"/>
                <w:sz w:val="15"/>
                <w:szCs w:val="15"/>
                <w:color w:val="auto"/>
              </w:rPr>
              <w:t>MINNESOTA</w:t>
            </w:r>
          </w:p>
        </w:tc>
        <w:tc>
          <w:tcPr>
            <w:tcW w:w="358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7"/>
              </w:rPr>
              <w:t>41-0771293</w:t>
            </w:r>
          </w:p>
        </w:tc>
        <w:tc>
          <w:tcPr>
            <w:tcW w:w="0" w:type="dxa"/>
            <w:vAlign w:val="bottom"/>
          </w:tcPr>
          <w:p>
            <w:pPr>
              <w:spacing w:after="0"/>
              <w:rPr>
                <w:sz w:val="1"/>
                <w:szCs w:val="1"/>
                <w:color w:val="auto"/>
              </w:rPr>
            </w:pPr>
          </w:p>
        </w:tc>
      </w:tr>
      <w:tr>
        <w:trPr>
          <w:trHeight w:val="172"/>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w w:val="82"/>
              </w:rPr>
              <w:t>(State or other</w:t>
            </w:r>
            <w:r>
              <w:rPr>
                <w:rFonts w:ascii="Courier New" w:cs="Courier New" w:eastAsia="Courier New" w:hAnsi="Courier New"/>
                <w:sz w:val="29"/>
                <w:szCs w:val="29"/>
                <w:color w:val="auto"/>
                <w:w w:val="82"/>
                <w:vertAlign w:val="superscript"/>
              </w:rPr>
              <w:t>---------</w:t>
            </w:r>
            <w:r>
              <w:rPr>
                <w:rFonts w:ascii="Courier New" w:cs="Courier New" w:eastAsia="Courier New" w:hAnsi="Courier New"/>
                <w:sz w:val="15"/>
                <w:szCs w:val="15"/>
                <w:color w:val="auto"/>
                <w:w w:val="82"/>
              </w:rPr>
              <w:t>jurisdiction of</w:t>
            </w:r>
          </w:p>
        </w:tc>
        <w:tc>
          <w:tcPr>
            <w:tcW w:w="358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2"/>
        </w:trPr>
        <w:tc>
          <w:tcPr>
            <w:tcW w:w="3120" w:type="dxa"/>
            <w:vAlign w:val="bottom"/>
            <w:vMerge w:val="continue"/>
          </w:tcPr>
          <w:p>
            <w:pPr>
              <w:spacing w:after="0"/>
              <w:rPr>
                <w:sz w:val="14"/>
                <w:szCs w:val="14"/>
                <w:color w:val="auto"/>
              </w:rPr>
            </w:pPr>
          </w:p>
        </w:tc>
        <w:tc>
          <w:tcPr>
            <w:tcW w:w="358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(I.R.S. Employer Identification No.)</w:t>
            </w:r>
          </w:p>
        </w:tc>
        <w:tc>
          <w:tcPr>
            <w:tcW w:w="0" w:type="dxa"/>
            <w:vAlign w:val="bottom"/>
          </w:tcPr>
          <w:p>
            <w:pPr>
              <w:spacing w:after="0"/>
              <w:rPr>
                <w:sz w:val="1"/>
                <w:szCs w:val="1"/>
                <w:color w:val="auto"/>
              </w:rPr>
            </w:pPr>
          </w:p>
        </w:tc>
      </w:tr>
      <w:tr>
        <w:trPr>
          <w:trHeight w:val="252"/>
        </w:trPr>
        <w:tc>
          <w:tcPr>
            <w:tcW w:w="3120" w:type="dxa"/>
            <w:vAlign w:val="bottom"/>
          </w:tcPr>
          <w:p>
            <w:pPr>
              <w:spacing w:after="0"/>
              <w:rPr>
                <w:sz w:val="20"/>
                <w:szCs w:val="20"/>
                <w:color w:val="auto"/>
              </w:rPr>
            </w:pPr>
            <w:r>
              <w:rPr>
                <w:rFonts w:ascii="Courier New" w:cs="Courier New" w:eastAsia="Courier New" w:hAnsi="Courier New"/>
                <w:sz w:val="15"/>
                <w:szCs w:val="15"/>
                <w:color w:val="auto"/>
              </w:rPr>
              <w:t>incorporation of organization)</w:t>
            </w:r>
          </w:p>
        </w:tc>
        <w:tc>
          <w:tcPr>
            <w:tcW w:w="3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3100 East Hennepin Avenue, Minneapolis, Minnesota 55413</w:t>
      </w:r>
    </w:p>
    <w:p>
      <w:pPr>
        <w:spacing w:after="0" w:line="30"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168"/>
        <w:spacing w:after="0"/>
        <w:tabs>
          <w:tab w:leader="none" w:pos="5348"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18" w:lineRule="exact"/>
        <w:rPr>
          <w:sz w:val="24"/>
          <w:szCs w:val="24"/>
          <w:color w:val="auto"/>
        </w:rPr>
      </w:pPr>
    </w:p>
    <w:p>
      <w:pPr>
        <w:ind w:left="3048"/>
        <w:spacing w:after="0"/>
        <w:rPr>
          <w:sz w:val="20"/>
          <w:szCs w:val="20"/>
          <w:color w:val="auto"/>
        </w:rPr>
      </w:pPr>
      <w:r>
        <w:rPr>
          <w:rFonts w:ascii="Courier New" w:cs="Courier New" w:eastAsia="Courier New" w:hAnsi="Courier New"/>
          <w:sz w:val="15"/>
          <w:szCs w:val="15"/>
          <w:color w:val="auto"/>
        </w:rPr>
        <w:t>(612)331-6910</w:t>
      </w:r>
    </w:p>
    <w:p>
      <w:pPr>
        <w:spacing w:after="0" w:line="30" w:lineRule="exact"/>
        <w:rPr>
          <w:sz w:val="24"/>
          <w:szCs w:val="24"/>
          <w:color w:val="auto"/>
        </w:rPr>
      </w:pPr>
    </w:p>
    <w:p>
      <w:pPr>
        <w:ind w:left="30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348"/>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18" w:lineRule="exact"/>
        <w:rPr>
          <w:sz w:val="24"/>
          <w:szCs w:val="24"/>
          <w:color w:val="auto"/>
        </w:rPr>
      </w:pPr>
    </w:p>
    <w:p>
      <w:pPr>
        <w:ind w:left="8" w:right="3079"/>
        <w:spacing w:after="0" w:line="27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9" w:lineRule="exact"/>
        <w:rPr>
          <w:sz w:val="24"/>
          <w:szCs w:val="24"/>
          <w:color w:val="auto"/>
        </w:rPr>
      </w:pPr>
    </w:p>
    <w:p>
      <w:pPr>
        <w:ind w:left="2688"/>
        <w:spacing w:after="0"/>
        <w:tabs>
          <w:tab w:leader="none" w:pos="3288" w:val="left"/>
          <w:tab w:leader="none" w:pos="3908"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p>
    <w:p>
      <w:pPr>
        <w:spacing w:after="0" w:line="30" w:lineRule="exact"/>
        <w:rPr>
          <w:sz w:val="24"/>
          <w:szCs w:val="24"/>
          <w:color w:val="auto"/>
        </w:rPr>
      </w:pPr>
    </w:p>
    <w:p>
      <w:pPr>
        <w:ind w:left="3048"/>
        <w:spacing w:after="0"/>
        <w:tabs>
          <w:tab w:leader="none" w:pos="41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46" w:lineRule="exact"/>
        <w:rPr>
          <w:sz w:val="24"/>
          <w:szCs w:val="24"/>
          <w:color w:val="auto"/>
        </w:rPr>
      </w:pPr>
    </w:p>
    <w:p>
      <w:pPr>
        <w:ind w:left="8" w:right="3439"/>
        <w:spacing w:after="0" w:line="359"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27"/>
          </w:cols>
          <w:pgMar w:left="232" w:top="549" w:right="1440" w:bottom="1440" w:gutter="0" w:footer="0" w:header="0"/>
        </w:sectPr>
      </w:pPr>
    </w:p>
    <w:p>
      <w:pPr>
        <w:spacing w:after="0" w:line="8" w:lineRule="exact"/>
        <w:rPr>
          <w:sz w:val="24"/>
          <w:szCs w:val="24"/>
          <w:color w:val="auto"/>
        </w:rPr>
      </w:pPr>
    </w:p>
    <w:p>
      <w:pPr>
        <w:ind w:left="1348"/>
        <w:spacing w:after="0"/>
        <w:rPr>
          <w:sz w:val="20"/>
          <w:szCs w:val="20"/>
          <w:color w:val="auto"/>
        </w:rPr>
      </w:pPr>
      <w:r>
        <w:rPr>
          <w:rFonts w:ascii="Courier New" w:cs="Courier New" w:eastAsia="Courier New" w:hAnsi="Courier New"/>
          <w:sz w:val="15"/>
          <w:szCs w:val="15"/>
          <w:color w:val="auto"/>
        </w:rPr>
        <w:t>Class</w:t>
      </w:r>
    </w:p>
    <w:p>
      <w:pPr>
        <w:spacing w:after="0" w:line="30" w:lineRule="exact"/>
        <w:rPr>
          <w:sz w:val="24"/>
          <w:szCs w:val="24"/>
          <w:color w:val="auto"/>
        </w:rPr>
      </w:pPr>
    </w:p>
    <w:p>
      <w:pPr>
        <w:ind w:left="13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Common Stock, par value $.05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Outstanding at May 12, 1995</w:t>
      </w:r>
    </w:p>
    <w:p>
      <w:pPr>
        <w:spacing w:after="0" w:line="4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10,525,772</w:t>
      </w:r>
    </w:p>
    <w:p>
      <w:pPr>
        <w:sectPr>
          <w:pgSz w:w="11900" w:h="16838" w:orient="portrait"/>
          <w:cols w:equalWidth="0" w:num="2">
            <w:col w:w="3668" w:space="720"/>
            <w:col w:w="5839"/>
          </w:cols>
          <w:pgMar w:left="232" w:top="54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2"/>
        </w:trPr>
        <w:tc>
          <w:tcPr>
            <w:tcW w:w="800" w:type="dxa"/>
            <w:vAlign w:val="bottom"/>
          </w:tcPr>
          <w:p>
            <w:pPr>
              <w:spacing w:after="0"/>
              <w:rPr>
                <w:sz w:val="21"/>
                <w:szCs w:val="21"/>
                <w:color w:val="auto"/>
              </w:rPr>
            </w:pPr>
          </w:p>
        </w:tc>
        <w:tc>
          <w:tcPr>
            <w:tcW w:w="5360" w:type="dxa"/>
            <w:vAlign w:val="bottom"/>
          </w:tcPr>
          <w:p>
            <w:pPr>
              <w:ind w:left="1080"/>
              <w:spacing w:after="0"/>
              <w:rPr>
                <w:sz w:val="20"/>
                <w:szCs w:val="20"/>
                <w:color w:val="auto"/>
              </w:rPr>
            </w:pPr>
            <w:r>
              <w:rPr>
                <w:rFonts w:ascii="Courier New" w:cs="Courier New" w:eastAsia="Courier New" w:hAnsi="Courier New"/>
                <w:sz w:val="15"/>
                <w:szCs w:val="15"/>
                <w:color w:val="auto"/>
              </w:rPr>
              <w:t>HAWKINS CHEMICAL, INC. AND SUBSIDIARIES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5360" w:type="dxa"/>
            <w:vAlign w:val="bottom"/>
          </w:tcPr>
          <w:p>
            <w:pPr>
              <w:ind w:left="1960"/>
              <w:spacing w:after="0"/>
              <w:rPr>
                <w:sz w:val="20"/>
                <w:szCs w:val="20"/>
                <w:color w:val="auto"/>
              </w:rPr>
            </w:pPr>
            <w:r>
              <w:rPr>
                <w:rFonts w:ascii="Courier New" w:cs="Courier New" w:eastAsia="Courier New" w:hAnsi="Courier New"/>
                <w:sz w:val="15"/>
                <w:szCs w:val="15"/>
                <w:color w:val="auto"/>
              </w:rPr>
              <w:t>INDEX TO FORM 10-Q</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0"/>
        </w:trPr>
        <w:tc>
          <w:tcPr>
            <w:tcW w:w="8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360" w:type="dxa"/>
            <w:vAlign w:val="bottom"/>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36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5360" w:type="dxa"/>
            <w:vAlign w:val="bottom"/>
          </w:tcPr>
          <w:p>
            <w:pPr>
              <w:ind w:left="80"/>
              <w:spacing w:after="0"/>
              <w:rPr>
                <w:sz w:val="20"/>
                <w:szCs w:val="20"/>
                <w:color w:val="auto"/>
              </w:rPr>
            </w:pPr>
            <w:r>
              <w:rPr>
                <w:rFonts w:ascii="Courier New" w:cs="Courier New" w:eastAsia="Courier New" w:hAnsi="Courier New"/>
                <w:sz w:val="15"/>
                <w:szCs w:val="15"/>
                <w:color w:val="auto"/>
              </w:rPr>
              <w:t>Consolidated Condensed Balance Sheets - March 31, 1995</w:t>
            </w:r>
          </w:p>
        </w:tc>
        <w:tc>
          <w:tcPr>
            <w:tcW w:w="9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and October 2, 1994. . . . . . . . . . . . . . . . . . .</w:t>
            </w: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5360" w:type="dxa"/>
            <w:vAlign w:val="bottom"/>
          </w:tcPr>
          <w:p>
            <w:pPr>
              <w:ind w:left="80"/>
              <w:spacing w:after="0"/>
              <w:rPr>
                <w:sz w:val="20"/>
                <w:szCs w:val="20"/>
                <w:color w:val="auto"/>
              </w:rPr>
            </w:pPr>
            <w:r>
              <w:rPr>
                <w:rFonts w:ascii="Courier New" w:cs="Courier New" w:eastAsia="Courier New" w:hAnsi="Courier New"/>
                <w:sz w:val="15"/>
                <w:szCs w:val="15"/>
                <w:color w:val="auto"/>
              </w:rPr>
              <w:t>Consolidated Condensed Statements of Income - Three</w:t>
            </w:r>
          </w:p>
        </w:tc>
        <w:tc>
          <w:tcPr>
            <w:tcW w:w="9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Months and Six Months Ended March 31, 1995 and 1994. . .</w:t>
            </w: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5360" w:type="dxa"/>
            <w:vAlign w:val="bottom"/>
          </w:tcPr>
          <w:p>
            <w:pPr>
              <w:ind w:left="80"/>
              <w:spacing w:after="0"/>
              <w:rPr>
                <w:sz w:val="20"/>
                <w:szCs w:val="20"/>
                <w:color w:val="auto"/>
              </w:rPr>
            </w:pPr>
            <w:r>
              <w:rPr>
                <w:rFonts w:ascii="Courier New" w:cs="Courier New" w:eastAsia="Courier New" w:hAnsi="Courier New"/>
                <w:sz w:val="15"/>
                <w:szCs w:val="15"/>
                <w:color w:val="auto"/>
              </w:rPr>
              <w:t>Consolidated Condensed Statements of Cash Flows - Six</w:t>
            </w:r>
          </w:p>
        </w:tc>
        <w:tc>
          <w:tcPr>
            <w:tcW w:w="9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Months Ended March 31, 1995 and 1994 . . . . . . . . . .</w:t>
            </w: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5360" w:type="dxa"/>
            <w:vAlign w:val="bottom"/>
          </w:tcPr>
          <w:p>
            <w:pPr>
              <w:ind w:left="80"/>
              <w:spacing w:after="0"/>
              <w:rPr>
                <w:sz w:val="20"/>
                <w:szCs w:val="20"/>
                <w:color w:val="auto"/>
              </w:rPr>
            </w:pPr>
            <w:r>
              <w:rPr>
                <w:rFonts w:ascii="Courier New" w:cs="Courier New" w:eastAsia="Courier New" w:hAnsi="Courier New"/>
                <w:sz w:val="15"/>
                <w:szCs w:val="15"/>
                <w:color w:val="auto"/>
              </w:rPr>
              <w:t>Notes to Consolidated Condensed Financial Statements . . .</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264"/>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360" w:type="dxa"/>
            <w:vAlign w:val="bottom"/>
          </w:tcPr>
          <w:p>
            <w:pPr>
              <w:ind w:left="8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8-9</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Condition and Results of Operations. . . . . . . . . . .</w:t>
            </w: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360" w:type="dxa"/>
            <w:vAlign w:val="bottom"/>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360" w:type="dxa"/>
            <w:vAlign w:val="bottom"/>
          </w:tcPr>
          <w:p>
            <w:pPr>
              <w:ind w:left="80"/>
              <w:spacing w:after="0"/>
              <w:rPr>
                <w:sz w:val="20"/>
                <w:szCs w:val="20"/>
                <w:color w:val="auto"/>
              </w:rPr>
            </w:pPr>
            <w:r>
              <w:rPr>
                <w:rFonts w:ascii="Courier New" w:cs="Courier New" w:eastAsia="Courier New" w:hAnsi="Courier New"/>
                <w:sz w:val="15"/>
                <w:szCs w:val="15"/>
                <w:color w:val="auto"/>
              </w:rPr>
              <w:t>Legal Proceedings. . . . . . . . . . . . . . . . . . . . .</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360" w:type="dxa"/>
            <w:vAlign w:val="bottom"/>
          </w:tcPr>
          <w:p>
            <w:pPr>
              <w:ind w:left="80"/>
              <w:spacing w:after="0"/>
              <w:rPr>
                <w:sz w:val="20"/>
                <w:szCs w:val="20"/>
                <w:color w:val="auto"/>
              </w:rPr>
            </w:pPr>
            <w:r>
              <w:rPr>
                <w:rFonts w:ascii="Courier New" w:cs="Courier New" w:eastAsia="Courier New" w:hAnsi="Courier New"/>
                <w:sz w:val="15"/>
                <w:szCs w:val="15"/>
                <w:color w:val="auto"/>
              </w:rPr>
              <w:t>Submission of Matters to a Vote of Securities Holders. . .</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360" w:type="dxa"/>
            <w:vAlign w:val="bottom"/>
          </w:tcPr>
          <w:p>
            <w:pPr>
              <w:ind w:left="80"/>
              <w:spacing w:after="0"/>
              <w:rPr>
                <w:sz w:val="20"/>
                <w:szCs w:val="20"/>
                <w:color w:val="auto"/>
              </w:rPr>
            </w:pPr>
            <w:r>
              <w:rPr>
                <w:rFonts w:ascii="Courier New" w:cs="Courier New" w:eastAsia="Courier New" w:hAnsi="Courier New"/>
                <w:sz w:val="15"/>
                <w:szCs w:val="15"/>
                <w:color w:val="auto"/>
              </w:rPr>
              <w:t>Exhibits and Reports of Form 8-K . . . . . . . . . . . . .</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5360" w:type="dxa"/>
            <w:vAlign w:val="bottom"/>
          </w:tcPr>
          <w:p>
            <w:pPr>
              <w:ind w:left="80"/>
              <w:spacing w:after="0"/>
              <w:rPr>
                <w:sz w:val="20"/>
                <w:szCs w:val="20"/>
                <w:color w:val="auto"/>
              </w:rPr>
            </w:pPr>
            <w:r>
              <w:rPr>
                <w:rFonts w:ascii="Courier New" w:cs="Courier New" w:eastAsia="Courier New" w:hAnsi="Courier New"/>
                <w:sz w:val="15"/>
                <w:szCs w:val="15"/>
                <w:color w:val="auto"/>
              </w:rPr>
              <w:t>Financial Data Schedule. . . . . . . . . . . . . . . . .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Exhibit 27</w:t>
            </w:r>
          </w:p>
        </w:tc>
        <w:tc>
          <w:tcPr>
            <w:tcW w:w="0" w:type="dxa"/>
            <w:vAlign w:val="bottom"/>
          </w:tcPr>
          <w:p>
            <w:pPr>
              <w:spacing w:after="0"/>
              <w:rPr>
                <w:sz w:val="1"/>
                <w:szCs w:val="1"/>
                <w:color w:val="auto"/>
              </w:rPr>
            </w:pPr>
          </w:p>
        </w:tc>
      </w:tr>
      <w:tr>
        <w:trPr>
          <w:trHeight w:val="516"/>
        </w:trPr>
        <w:tc>
          <w:tcPr>
            <w:tcW w:w="800" w:type="dxa"/>
            <w:vAlign w:val="bottom"/>
          </w:tcPr>
          <w:p>
            <w:pPr>
              <w:spacing w:after="0"/>
              <w:rPr>
                <w:sz w:val="24"/>
                <w:szCs w:val="24"/>
                <w:color w:val="auto"/>
              </w:rPr>
            </w:pPr>
          </w:p>
        </w:tc>
        <w:tc>
          <w:tcPr>
            <w:tcW w:w="5360" w:type="dxa"/>
            <w:vAlign w:val="bottom"/>
          </w:tcPr>
          <w:p>
            <w:pPr>
              <w:ind w:left="2760"/>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7" w:right="1440" w:bottom="1440" w:gutter="0" w:footer="0" w:header="0"/>
        </w:sectPr>
      </w:pPr>
    </w:p>
    <w:bookmarkStart w:id="2" w:name="page3"/>
    <w:bookmarkEnd w:id="2"/>
    <w:p>
      <w:pPr>
        <w:ind w:left="2220"/>
        <w:spacing w:after="0"/>
        <w:tabs>
          <w:tab w:leader="none" w:pos="302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I.</w:t>
      </w:r>
      <w:r>
        <w:rPr>
          <w:sz w:val="20"/>
          <w:szCs w:val="20"/>
          <w:color w:val="auto"/>
        </w:rPr>
        <w:tab/>
      </w:r>
      <w:r>
        <w:rPr>
          <w:rFonts w:ascii="Courier New" w:cs="Courier New" w:eastAsia="Courier New" w:hAnsi="Courier New"/>
          <w:sz w:val="14"/>
          <w:szCs w:val="14"/>
          <w:color w:val="auto"/>
        </w:rPr>
        <w:t>Financial Statements</w:t>
      </w:r>
    </w:p>
    <w:p>
      <w:pPr>
        <w:spacing w:after="0" w:line="17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HAWKINS CHEMICAL, INC. AND SUBSIDIARIES</w:t>
      </w:r>
    </w:p>
    <w:p>
      <w:pPr>
        <w:spacing w:after="0" w:line="30"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CONSOLIDATED CONDENSED BALANCE SHEETS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0" w:type="dxa"/>
            <w:vAlign w:val="bottom"/>
          </w:tcPr>
          <w:p>
            <w:pPr>
              <w:spacing w:after="0"/>
              <w:rPr>
                <w:sz w:val="14"/>
                <w:szCs w:val="14"/>
                <w:color w:val="auto"/>
              </w:rPr>
            </w:pPr>
          </w:p>
        </w:tc>
        <w:tc>
          <w:tcPr>
            <w:tcW w:w="1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March 31, 1995</w:t>
            </w: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October 2, 1994</w:t>
            </w:r>
          </w:p>
        </w:tc>
        <w:tc>
          <w:tcPr>
            <w:tcW w:w="0" w:type="dxa"/>
            <w:vAlign w:val="bottom"/>
          </w:tcPr>
          <w:p>
            <w:pPr>
              <w:spacing w:after="0"/>
              <w:rPr>
                <w:sz w:val="1"/>
                <w:szCs w:val="1"/>
                <w:color w:val="auto"/>
              </w:rPr>
            </w:pPr>
          </w:p>
        </w:tc>
      </w:tr>
      <w:tr>
        <w:trPr>
          <w:trHeight w:val="172"/>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1960" w:type="dxa"/>
            <w:vAlign w:val="bottom"/>
            <w:vMerge w:val="restart"/>
          </w:tcPr>
          <w:p>
            <w:pPr>
              <w:jc w:val="right"/>
              <w:ind w:right="266"/>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(Unaudited)</w:t>
            </w:r>
          </w:p>
        </w:tc>
        <w:tc>
          <w:tcPr>
            <w:tcW w:w="234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2"/>
        </w:trPr>
        <w:tc>
          <w:tcPr>
            <w:tcW w:w="500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234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(Derived from Audited</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financial statements)</w:t>
            </w: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960" w:type="dxa"/>
            <w:vAlign w:val="bottom"/>
            <w:vMerge w:val="restart"/>
          </w:tcPr>
          <w:p>
            <w:pPr>
              <w:jc w:val="right"/>
              <w:ind w:right="546"/>
              <w:spacing w:after="0"/>
              <w:rPr>
                <w:sz w:val="20"/>
                <w:szCs w:val="20"/>
                <w:color w:val="auto"/>
              </w:rPr>
            </w:pPr>
            <w:r>
              <w:rPr>
                <w:rFonts w:ascii="Courier New" w:cs="Courier New" w:eastAsia="Courier New" w:hAnsi="Courier New"/>
                <w:sz w:val="15"/>
                <w:szCs w:val="15"/>
                <w:color w:val="auto"/>
              </w:rPr>
              <w:t>$ 8,080,781</w:t>
            </w:r>
          </w:p>
        </w:tc>
        <w:tc>
          <w:tcPr>
            <w:tcW w:w="234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rPr>
              <w:t>$ 6,895,341</w:t>
            </w:r>
          </w:p>
        </w:tc>
        <w:tc>
          <w:tcPr>
            <w:tcW w:w="0" w:type="dxa"/>
            <w:vAlign w:val="bottom"/>
          </w:tcPr>
          <w:p>
            <w:pPr>
              <w:spacing w:after="0"/>
              <w:rPr>
                <w:sz w:val="1"/>
                <w:szCs w:val="1"/>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Cash and cash equivalents. . . . . . . . . . . . . .</w:t>
            </w:r>
          </w:p>
        </w:tc>
        <w:tc>
          <w:tcPr>
            <w:tcW w:w="196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Cash investments . . . . . . . . . .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6,764,267</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6,576,743</w:t>
            </w:r>
          </w:p>
        </w:tc>
        <w:tc>
          <w:tcPr>
            <w:tcW w:w="0" w:type="dxa"/>
            <w:vAlign w:val="bottom"/>
          </w:tcPr>
          <w:p>
            <w:pPr>
              <w:spacing w:after="0"/>
              <w:rPr>
                <w:sz w:val="1"/>
                <w:szCs w:val="1"/>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Accounts receivable-net. . . . . . .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9,985,828</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9,509,807</w:t>
            </w:r>
          </w:p>
        </w:tc>
        <w:tc>
          <w:tcPr>
            <w:tcW w:w="0" w:type="dxa"/>
            <w:vAlign w:val="bottom"/>
          </w:tcPr>
          <w:p>
            <w:pPr>
              <w:spacing w:after="0"/>
              <w:rPr>
                <w:sz w:val="1"/>
                <w:szCs w:val="1"/>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Note receivable. . . . . . . . . . .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208,943</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Inventories. . . . . . . . . . . . .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7,582,249</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7,844,591</w:t>
            </w:r>
          </w:p>
        </w:tc>
        <w:tc>
          <w:tcPr>
            <w:tcW w:w="0" w:type="dxa"/>
            <w:vAlign w:val="bottom"/>
          </w:tcPr>
          <w:p>
            <w:pPr>
              <w:spacing w:after="0"/>
              <w:rPr>
                <w:sz w:val="1"/>
                <w:szCs w:val="1"/>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 current assets . . . . . . . .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2,242,940</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1,339,833</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current assets . . . . . .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34,865,008</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32,166,315</w:t>
            </w:r>
          </w:p>
        </w:tc>
        <w:tc>
          <w:tcPr>
            <w:tcW w:w="0" w:type="dxa"/>
            <w:vAlign w:val="bottom"/>
          </w:tcPr>
          <w:p>
            <w:pPr>
              <w:spacing w:after="0"/>
              <w:rPr>
                <w:sz w:val="1"/>
                <w:szCs w:val="1"/>
                <w:color w:val="auto"/>
              </w:rPr>
            </w:pPr>
          </w:p>
        </w:tc>
      </w:tr>
      <w:tr>
        <w:trPr>
          <w:trHeight w:val="264"/>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Property, plant and equipment-net. . .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10,320,502</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9,582,007</w:t>
            </w:r>
          </w:p>
        </w:tc>
        <w:tc>
          <w:tcPr>
            <w:tcW w:w="0" w:type="dxa"/>
            <w:vAlign w:val="bottom"/>
          </w:tcPr>
          <w:p>
            <w:pPr>
              <w:spacing w:after="0"/>
              <w:rPr>
                <w:sz w:val="1"/>
                <w:szCs w:val="1"/>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assets of discontinued operations.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38,185</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1,614,717</w:t>
            </w:r>
          </w:p>
        </w:tc>
        <w:tc>
          <w:tcPr>
            <w:tcW w:w="0" w:type="dxa"/>
            <w:vAlign w:val="bottom"/>
          </w:tcPr>
          <w:p>
            <w:pPr>
              <w:spacing w:after="0"/>
              <w:rPr>
                <w:sz w:val="1"/>
                <w:szCs w:val="1"/>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Note receivable-non current. . . . . .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835,771</w:t>
            </w:r>
          </w:p>
        </w:tc>
        <w:tc>
          <w:tcPr>
            <w:tcW w:w="234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rPr>
              <w:t>2,611,945</w:t>
            </w:r>
          </w:p>
        </w:tc>
        <w:tc>
          <w:tcPr>
            <w:tcW w:w="0" w:type="dxa"/>
            <w:vAlign w:val="bottom"/>
          </w:tcPr>
          <w:p>
            <w:pPr>
              <w:spacing w:after="0"/>
              <w:rPr>
                <w:sz w:val="1"/>
                <w:szCs w:val="1"/>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Other assets . . . . . . . . . . . . .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2,623,637</w:t>
            </w:r>
          </w:p>
        </w:tc>
        <w:tc>
          <w:tcPr>
            <w:tcW w:w="2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000" w:type="dxa"/>
            <w:vAlign w:val="bottom"/>
          </w:tcPr>
          <w:p>
            <w:pPr>
              <w:jc w:val="right"/>
              <w:ind w:right="4305"/>
              <w:spacing w:after="0"/>
              <w:rPr>
                <w:sz w:val="20"/>
                <w:szCs w:val="20"/>
                <w:color w:val="auto"/>
              </w:rPr>
            </w:pPr>
            <w:r>
              <w:rPr>
                <w:rFonts w:ascii="Courier New" w:cs="Courier New" w:eastAsia="Courier New" w:hAnsi="Courier New"/>
                <w:sz w:val="15"/>
                <w:szCs w:val="15"/>
                <w:color w:val="auto"/>
              </w:rPr>
              <w:t>Total</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$48,683,103</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$45,974,984</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960" w:type="dxa"/>
            <w:vAlign w:val="bottom"/>
            <w:vMerge w:val="restart"/>
          </w:tcPr>
          <w:p>
            <w:pPr>
              <w:jc w:val="right"/>
              <w:ind w:right="546"/>
              <w:spacing w:after="0"/>
              <w:rPr>
                <w:sz w:val="20"/>
                <w:szCs w:val="20"/>
                <w:color w:val="auto"/>
              </w:rPr>
            </w:pPr>
            <w:r>
              <w:rPr>
                <w:rFonts w:ascii="Courier New" w:cs="Courier New" w:eastAsia="Courier New" w:hAnsi="Courier New"/>
                <w:sz w:val="15"/>
                <w:szCs w:val="15"/>
                <w:color w:val="auto"/>
              </w:rPr>
              <w:t>$ 9,037,864</w:t>
            </w:r>
          </w:p>
        </w:tc>
        <w:tc>
          <w:tcPr>
            <w:tcW w:w="234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rPr>
              <w:t>$ 5,746,620</w:t>
            </w:r>
          </w:p>
        </w:tc>
        <w:tc>
          <w:tcPr>
            <w:tcW w:w="0" w:type="dxa"/>
            <w:vAlign w:val="bottom"/>
          </w:tcPr>
          <w:p>
            <w:pPr>
              <w:spacing w:after="0"/>
              <w:rPr>
                <w:sz w:val="1"/>
                <w:szCs w:val="1"/>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Accounts payable . . . . . . . . . . . . . . . . . . .</w:t>
            </w:r>
          </w:p>
        </w:tc>
        <w:tc>
          <w:tcPr>
            <w:tcW w:w="196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Current portion of long-term debt. . .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52,344</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48,919</w:t>
            </w:r>
          </w:p>
        </w:tc>
        <w:tc>
          <w:tcPr>
            <w:tcW w:w="0" w:type="dxa"/>
            <w:vAlign w:val="bottom"/>
          </w:tcPr>
          <w:p>
            <w:pPr>
              <w:spacing w:after="0"/>
              <w:rPr>
                <w:sz w:val="1"/>
                <w:szCs w:val="1"/>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Other current liabilities. . . . . . .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3,615,662</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4,389,962</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current liabilities. . . . . .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12,705,870</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10,185,501</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Long term debt . . . . . . . . . . . .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628,461</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680,805</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Deferred income taxes. . . . . . . . .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333,300</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335,300</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00" w:type="dxa"/>
            <w:vAlign w:val="bottom"/>
          </w:tcPr>
          <w:p>
            <w:pPr>
              <w:ind w:left="340"/>
              <w:spacing w:after="0"/>
              <w:rPr>
                <w:sz w:val="20"/>
                <w:szCs w:val="20"/>
                <w:color w:val="auto"/>
              </w:rPr>
            </w:pPr>
            <w:r>
              <w:rPr>
                <w:rFonts w:ascii="Courier New" w:cs="Courier New" w:eastAsia="Courier New" w:hAnsi="Courier New"/>
                <w:sz w:val="15"/>
                <w:szCs w:val="15"/>
                <w:color w:val="auto"/>
              </w:rPr>
              <w:t>Common stock, par value $.05 per share; issued</w:t>
            </w:r>
          </w:p>
        </w:tc>
        <w:tc>
          <w:tcPr>
            <w:tcW w:w="19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000" w:type="dxa"/>
            <w:vAlign w:val="bottom"/>
          </w:tcPr>
          <w:p>
            <w:pPr>
              <w:ind w:left="340"/>
              <w:spacing w:after="0"/>
              <w:rPr>
                <w:sz w:val="20"/>
                <w:szCs w:val="20"/>
                <w:color w:val="auto"/>
              </w:rPr>
            </w:pPr>
            <w:r>
              <w:rPr>
                <w:rFonts w:ascii="Courier New" w:cs="Courier New" w:eastAsia="Courier New" w:hAnsi="Courier New"/>
                <w:sz w:val="15"/>
                <w:szCs w:val="15"/>
                <w:color w:val="auto"/>
              </w:rPr>
              <w:t>and outstanding, 10,525,772 shares and</w:t>
            </w:r>
          </w:p>
        </w:tc>
        <w:tc>
          <w:tcPr>
            <w:tcW w:w="1960" w:type="dxa"/>
            <w:vAlign w:val="bottom"/>
            <w:vMerge w:val="restart"/>
          </w:tcPr>
          <w:p>
            <w:pPr>
              <w:jc w:val="right"/>
              <w:ind w:right="546"/>
              <w:spacing w:after="0"/>
              <w:rPr>
                <w:sz w:val="20"/>
                <w:szCs w:val="20"/>
                <w:color w:val="auto"/>
              </w:rPr>
            </w:pPr>
            <w:r>
              <w:rPr>
                <w:rFonts w:ascii="Courier New" w:cs="Courier New" w:eastAsia="Courier New" w:hAnsi="Courier New"/>
                <w:sz w:val="15"/>
                <w:szCs w:val="15"/>
                <w:color w:val="auto"/>
              </w:rPr>
              <w:t>526,289</w:t>
            </w:r>
          </w:p>
        </w:tc>
        <w:tc>
          <w:tcPr>
            <w:tcW w:w="2340" w:type="dxa"/>
            <w:vAlign w:val="bottom"/>
            <w:vMerge w:val="restart"/>
          </w:tcPr>
          <w:p>
            <w:pPr>
              <w:jc w:val="right"/>
              <w:ind w:right="565"/>
              <w:spacing w:after="0"/>
              <w:rPr>
                <w:sz w:val="20"/>
                <w:szCs w:val="20"/>
                <w:color w:val="auto"/>
              </w:rPr>
            </w:pPr>
            <w:r>
              <w:rPr>
                <w:rFonts w:ascii="Courier New" w:cs="Courier New" w:eastAsia="Courier New" w:hAnsi="Courier New"/>
                <w:sz w:val="15"/>
                <w:szCs w:val="15"/>
                <w:color w:val="auto"/>
              </w:rPr>
              <w:t>478,460</w:t>
            </w:r>
          </w:p>
        </w:tc>
        <w:tc>
          <w:tcPr>
            <w:tcW w:w="0" w:type="dxa"/>
            <w:vAlign w:val="bottom"/>
          </w:tcPr>
          <w:p>
            <w:pPr>
              <w:spacing w:after="0"/>
              <w:rPr>
                <w:sz w:val="1"/>
                <w:szCs w:val="1"/>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9,569,196 shares respectively. . . . . . . . . . .</w:t>
            </w:r>
          </w:p>
        </w:tc>
        <w:tc>
          <w:tcPr>
            <w:tcW w:w="196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Additional paid-in capital . . . .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34,235,623</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26,869,988</w:t>
            </w:r>
          </w:p>
        </w:tc>
        <w:tc>
          <w:tcPr>
            <w:tcW w:w="0" w:type="dxa"/>
            <w:vAlign w:val="bottom"/>
          </w:tcPr>
          <w:p>
            <w:pPr>
              <w:spacing w:after="0"/>
              <w:rPr>
                <w:sz w:val="1"/>
                <w:szCs w:val="1"/>
                <w:color w:val="auto"/>
              </w:rPr>
            </w:pPr>
          </w:p>
        </w:tc>
      </w:tr>
      <w:tr>
        <w:trPr>
          <w:trHeight w:val="172"/>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Retained earnings. . . . . . . . .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253,560</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7,424,930</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shareholders' equity . . . . . . . . . . .</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35,015,472</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34,773,378</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000" w:type="dxa"/>
            <w:vAlign w:val="bottom"/>
          </w:tcPr>
          <w:p>
            <w:pPr>
              <w:jc w:val="right"/>
              <w:ind w:right="3945"/>
              <w:spacing w:after="0"/>
              <w:rPr>
                <w:sz w:val="20"/>
                <w:szCs w:val="20"/>
                <w:color w:val="auto"/>
              </w:rPr>
            </w:pPr>
            <w:r>
              <w:rPr>
                <w:rFonts w:ascii="Courier New" w:cs="Courier New" w:eastAsia="Courier New" w:hAnsi="Courier New"/>
                <w:sz w:val="15"/>
                <w:szCs w:val="15"/>
                <w:color w:val="auto"/>
              </w:rPr>
              <w:t>Total</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$48,683,103</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$45,974,984</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7" w:right="1440" w:bottom="1440" w:gutter="0" w:footer="0" w:header="0"/>
        </w:sectPr>
      </w:pPr>
    </w:p>
    <w:bookmarkStart w:id="3" w:name="page4"/>
    <w:bookmarkEnd w:id="3"/>
    <w:p>
      <w:pPr>
        <w:jc w:val="center"/>
        <w:ind w:right="4300"/>
        <w:spacing w:after="0"/>
        <w:rPr>
          <w:sz w:val="20"/>
          <w:szCs w:val="20"/>
          <w:color w:val="auto"/>
        </w:rPr>
      </w:pPr>
      <w:r>
        <w:rPr>
          <w:rFonts w:ascii="Courier New" w:cs="Courier New" w:eastAsia="Courier New" w:hAnsi="Courier New"/>
          <w:sz w:val="15"/>
          <w:szCs w:val="15"/>
          <w:color w:val="auto"/>
        </w:rPr>
        <w:t>HAWKINS CHEMICAL, INC. AND SUBSIDIARIES</w:t>
      </w:r>
    </w:p>
    <w:p>
      <w:pPr>
        <w:spacing w:after="0" w:line="30"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CONSOLIDATED CONDENSED STATEMENTS OF INCOME</w:t>
      </w:r>
    </w:p>
    <w:p>
      <w:pPr>
        <w:spacing w:after="0" w:line="2"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40" w:type="dxa"/>
            <w:vAlign w:val="bottom"/>
          </w:tcPr>
          <w:p>
            <w:pPr>
              <w:spacing w:after="0"/>
              <w:rPr>
                <w:sz w:val="14"/>
                <w:szCs w:val="14"/>
                <w:color w:val="auto"/>
              </w:rPr>
            </w:pPr>
          </w:p>
        </w:tc>
        <w:tc>
          <w:tcPr>
            <w:tcW w:w="3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Three Months Ended March 31</w:t>
            </w:r>
          </w:p>
        </w:tc>
        <w:tc>
          <w:tcPr>
            <w:tcW w:w="298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Six Months Ended March 31</w:t>
            </w:r>
          </w:p>
        </w:tc>
        <w:tc>
          <w:tcPr>
            <w:tcW w:w="0" w:type="dxa"/>
            <w:vAlign w:val="bottom"/>
          </w:tcPr>
          <w:p>
            <w:pPr>
              <w:spacing w:after="0"/>
              <w:rPr>
                <w:sz w:val="1"/>
                <w:szCs w:val="1"/>
                <w:color w:val="auto"/>
              </w:rPr>
            </w:pPr>
          </w:p>
        </w:tc>
      </w:tr>
      <w:tr>
        <w:trPr>
          <w:trHeight w:val="172"/>
        </w:trPr>
        <w:tc>
          <w:tcPr>
            <w:tcW w:w="5140" w:type="dxa"/>
            <w:vAlign w:val="bottom"/>
          </w:tcPr>
          <w:p>
            <w:pPr>
              <w:spacing w:after="0"/>
              <w:rPr>
                <w:sz w:val="14"/>
                <w:szCs w:val="14"/>
                <w:color w:val="auto"/>
              </w:rPr>
            </w:pP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1995</w:t>
            </w:r>
          </w:p>
        </w:tc>
        <w:tc>
          <w:tcPr>
            <w:tcW w:w="16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1994</w:t>
            </w:r>
          </w:p>
        </w:tc>
        <w:tc>
          <w:tcPr>
            <w:tcW w:w="1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1995</w:t>
            </w:r>
          </w:p>
        </w:tc>
        <w:tc>
          <w:tcPr>
            <w:tcW w:w="13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2"/>
        </w:trPr>
        <w:tc>
          <w:tcPr>
            <w:tcW w:w="5140" w:type="dxa"/>
            <w:vAlign w:val="bottom"/>
          </w:tcPr>
          <w:p>
            <w:pPr>
              <w:spacing w:after="0"/>
              <w:rPr>
                <w:sz w:val="21"/>
                <w:szCs w:val="21"/>
                <w:color w:val="auto"/>
              </w:rPr>
            </w:pP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$18,902,641</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$15,293,140</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$35,397,118</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$29,485,158</w:t>
            </w:r>
          </w:p>
        </w:tc>
        <w:tc>
          <w:tcPr>
            <w:tcW w:w="0" w:type="dxa"/>
            <w:vAlign w:val="bottom"/>
          </w:tcPr>
          <w:p>
            <w:pPr>
              <w:spacing w:after="0"/>
              <w:rPr>
                <w:sz w:val="1"/>
                <w:szCs w:val="1"/>
                <w:color w:val="auto"/>
              </w:rPr>
            </w:pPr>
          </w:p>
        </w:tc>
      </w:tr>
      <w:tr>
        <w:trPr>
          <w:trHeight w:val="252"/>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Costs and expenses:</w:t>
            </w: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40" w:type="dxa"/>
            <w:vAlign w:val="bottom"/>
            <w:vMerge w:val="continue"/>
          </w:tcPr>
          <w:p>
            <w:pPr>
              <w:spacing w:after="0"/>
              <w:rPr>
                <w:sz w:val="7"/>
                <w:szCs w:val="7"/>
                <w:color w:val="auto"/>
              </w:rPr>
            </w:pPr>
          </w:p>
        </w:tc>
        <w:tc>
          <w:tcPr>
            <w:tcW w:w="17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14,928,367</w:t>
            </w:r>
          </w:p>
        </w:tc>
        <w:tc>
          <w:tcPr>
            <w:tcW w:w="16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11,704,670</w:t>
            </w:r>
          </w:p>
        </w:tc>
        <w:tc>
          <w:tcPr>
            <w:tcW w:w="16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27,785,095</w:t>
            </w:r>
          </w:p>
        </w:tc>
        <w:tc>
          <w:tcPr>
            <w:tcW w:w="13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22,460,781</w:t>
            </w:r>
          </w:p>
        </w:tc>
        <w:tc>
          <w:tcPr>
            <w:tcW w:w="0" w:type="dxa"/>
            <w:vAlign w:val="bottom"/>
          </w:tcPr>
          <w:p>
            <w:pPr>
              <w:spacing w:after="0"/>
              <w:rPr>
                <w:sz w:val="1"/>
                <w:szCs w:val="1"/>
                <w:color w:val="auto"/>
              </w:rPr>
            </w:pPr>
          </w:p>
        </w:tc>
      </w:tr>
      <w:tr>
        <w:trPr>
          <w:trHeight w:val="172"/>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Cost of sales</w:t>
            </w:r>
          </w:p>
        </w:tc>
        <w:tc>
          <w:tcPr>
            <w:tcW w:w="17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1,953,278</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1,886,422</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3,831,077</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3,657,047</w:t>
            </w:r>
          </w:p>
        </w:tc>
        <w:tc>
          <w:tcPr>
            <w:tcW w:w="0" w:type="dxa"/>
            <w:vAlign w:val="bottom"/>
          </w:tcPr>
          <w:p>
            <w:pPr>
              <w:spacing w:after="0"/>
              <w:rPr>
                <w:sz w:val="1"/>
                <w:szCs w:val="1"/>
                <w:color w:val="auto"/>
              </w:rPr>
            </w:pPr>
          </w:p>
        </w:tc>
      </w:tr>
      <w:tr>
        <w:trPr>
          <w:trHeight w:val="172"/>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Unusual and nonrecurring</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750,000</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750,000</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2"/>
        </w:trPr>
        <w:tc>
          <w:tcPr>
            <w:tcW w:w="5140" w:type="dxa"/>
            <w:vAlign w:val="bottom"/>
          </w:tcPr>
          <w:p>
            <w:pPr>
              <w:spacing w:after="0"/>
              <w:rPr>
                <w:sz w:val="21"/>
                <w:szCs w:val="21"/>
                <w:color w:val="auto"/>
              </w:rPr>
            </w:pP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140" w:type="dxa"/>
            <w:vAlign w:val="bottom"/>
          </w:tcPr>
          <w:p>
            <w:pPr>
              <w:ind w:left="520"/>
              <w:spacing w:after="0"/>
              <w:rPr>
                <w:sz w:val="20"/>
                <w:szCs w:val="20"/>
                <w:color w:val="auto"/>
              </w:rPr>
            </w:pPr>
            <w:r>
              <w:rPr>
                <w:rFonts w:ascii="Courier New" w:cs="Courier New" w:eastAsia="Courier New" w:hAnsi="Courier New"/>
                <w:sz w:val="15"/>
                <w:szCs w:val="15"/>
                <w:color w:val="auto"/>
              </w:rPr>
              <w:t>Total costs and expenses</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17,631,645</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13,591,092</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32,366,172</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26,117,828</w:t>
            </w:r>
          </w:p>
        </w:tc>
        <w:tc>
          <w:tcPr>
            <w:tcW w:w="0" w:type="dxa"/>
            <w:vAlign w:val="bottom"/>
          </w:tcPr>
          <w:p>
            <w:pPr>
              <w:spacing w:after="0"/>
              <w:rPr>
                <w:sz w:val="1"/>
                <w:szCs w:val="1"/>
                <w:color w:val="auto"/>
              </w:rPr>
            </w:pPr>
          </w:p>
        </w:tc>
      </w:tr>
      <w:tr>
        <w:trPr>
          <w:trHeight w:val="252"/>
        </w:trPr>
        <w:tc>
          <w:tcPr>
            <w:tcW w:w="5140" w:type="dxa"/>
            <w:vAlign w:val="bottom"/>
          </w:tcPr>
          <w:p>
            <w:pPr>
              <w:spacing w:after="0"/>
              <w:rPr>
                <w:sz w:val="21"/>
                <w:szCs w:val="21"/>
                <w:color w:val="auto"/>
              </w:rPr>
            </w:pP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1,270,996</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1,702,048</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3,030,946</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3,367,330</w:t>
            </w:r>
          </w:p>
        </w:tc>
        <w:tc>
          <w:tcPr>
            <w:tcW w:w="0" w:type="dxa"/>
            <w:vAlign w:val="bottom"/>
          </w:tcPr>
          <w:p>
            <w:pPr>
              <w:spacing w:after="0"/>
              <w:rPr>
                <w:sz w:val="1"/>
                <w:szCs w:val="1"/>
                <w:color w:val="auto"/>
              </w:rPr>
            </w:pPr>
          </w:p>
        </w:tc>
      </w:tr>
      <w:tr>
        <w:trPr>
          <w:trHeight w:val="252"/>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Other income (deductions):</w:t>
            </w: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40" w:type="dxa"/>
            <w:vAlign w:val="bottom"/>
            <w:vMerge w:val="continue"/>
          </w:tcPr>
          <w:p>
            <w:pPr>
              <w:spacing w:after="0"/>
              <w:rPr>
                <w:sz w:val="7"/>
                <w:szCs w:val="7"/>
                <w:color w:val="auto"/>
              </w:rPr>
            </w:pPr>
          </w:p>
        </w:tc>
        <w:tc>
          <w:tcPr>
            <w:tcW w:w="17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241,373</w:t>
            </w:r>
          </w:p>
        </w:tc>
        <w:tc>
          <w:tcPr>
            <w:tcW w:w="16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143,421</w:t>
            </w:r>
          </w:p>
        </w:tc>
        <w:tc>
          <w:tcPr>
            <w:tcW w:w="16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433,588</w:t>
            </w:r>
          </w:p>
        </w:tc>
        <w:tc>
          <w:tcPr>
            <w:tcW w:w="13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267,638</w:t>
            </w:r>
          </w:p>
        </w:tc>
        <w:tc>
          <w:tcPr>
            <w:tcW w:w="0" w:type="dxa"/>
            <w:vAlign w:val="bottom"/>
          </w:tcPr>
          <w:p>
            <w:pPr>
              <w:spacing w:after="0"/>
              <w:rPr>
                <w:sz w:val="1"/>
                <w:szCs w:val="1"/>
                <w:color w:val="auto"/>
              </w:rPr>
            </w:pPr>
          </w:p>
        </w:tc>
      </w:tr>
      <w:tr>
        <w:trPr>
          <w:trHeight w:val="172"/>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Interest income</w:t>
            </w:r>
          </w:p>
        </w:tc>
        <w:tc>
          <w:tcPr>
            <w:tcW w:w="17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Interest expense</w:t>
            </w: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(13,750)</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(14,597)</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(27,489)</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(32,108)</w:t>
            </w:r>
          </w:p>
        </w:tc>
        <w:tc>
          <w:tcPr>
            <w:tcW w:w="0" w:type="dxa"/>
            <w:vAlign w:val="bottom"/>
          </w:tcPr>
          <w:p>
            <w:pPr>
              <w:spacing w:after="0"/>
              <w:rPr>
                <w:sz w:val="1"/>
                <w:szCs w:val="1"/>
                <w:color w:val="auto"/>
              </w:rPr>
            </w:pPr>
          </w:p>
        </w:tc>
      </w:tr>
      <w:tr>
        <w:trPr>
          <w:trHeight w:val="172"/>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Miscellaneous</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1,176</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2,302</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23,764</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38,923</w:t>
            </w:r>
          </w:p>
        </w:tc>
        <w:tc>
          <w:tcPr>
            <w:tcW w:w="0" w:type="dxa"/>
            <w:vAlign w:val="bottom"/>
          </w:tcPr>
          <w:p>
            <w:pPr>
              <w:spacing w:after="0"/>
              <w:rPr>
                <w:sz w:val="1"/>
                <w:szCs w:val="1"/>
                <w:color w:val="auto"/>
              </w:rPr>
            </w:pPr>
          </w:p>
        </w:tc>
      </w:tr>
      <w:tr>
        <w:trPr>
          <w:trHeight w:val="252"/>
        </w:trPr>
        <w:tc>
          <w:tcPr>
            <w:tcW w:w="5140" w:type="dxa"/>
            <w:vAlign w:val="bottom"/>
          </w:tcPr>
          <w:p>
            <w:pPr>
              <w:spacing w:after="0"/>
              <w:rPr>
                <w:sz w:val="21"/>
                <w:szCs w:val="21"/>
                <w:color w:val="auto"/>
              </w:rPr>
            </w:pP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5140" w:type="dxa"/>
            <w:vAlign w:val="bottom"/>
          </w:tcPr>
          <w:p>
            <w:pPr>
              <w:ind w:left="520"/>
              <w:spacing w:after="0"/>
              <w:rPr>
                <w:sz w:val="20"/>
                <w:szCs w:val="20"/>
                <w:color w:val="auto"/>
              </w:rPr>
            </w:pPr>
            <w:r>
              <w:rPr>
                <w:rFonts w:ascii="Courier New" w:cs="Courier New" w:eastAsia="Courier New" w:hAnsi="Courier New"/>
                <w:sz w:val="15"/>
                <w:szCs w:val="15"/>
                <w:color w:val="auto"/>
              </w:rPr>
              <w:t>Total other income (deductions)</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228,799</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131,126</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429,863</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274,453</w:t>
            </w: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income</w:t>
            </w:r>
          </w:p>
        </w:tc>
        <w:tc>
          <w:tcPr>
            <w:tcW w:w="17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1,499,795</w:t>
            </w:r>
          </w:p>
        </w:tc>
        <w:tc>
          <w:tcPr>
            <w:tcW w:w="16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1,833,174</w:t>
            </w:r>
          </w:p>
        </w:tc>
        <w:tc>
          <w:tcPr>
            <w:tcW w:w="16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3,460,809</w:t>
            </w:r>
          </w:p>
        </w:tc>
        <w:tc>
          <w:tcPr>
            <w:tcW w:w="13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3,641,783</w:t>
            </w:r>
          </w:p>
        </w:tc>
        <w:tc>
          <w:tcPr>
            <w:tcW w:w="0" w:type="dxa"/>
            <w:vAlign w:val="bottom"/>
          </w:tcPr>
          <w:p>
            <w:pPr>
              <w:spacing w:after="0"/>
              <w:rPr>
                <w:sz w:val="1"/>
                <w:szCs w:val="1"/>
                <w:color w:val="auto"/>
              </w:rPr>
            </w:pPr>
          </w:p>
        </w:tc>
      </w:tr>
      <w:tr>
        <w:trPr>
          <w:trHeight w:val="252"/>
        </w:trPr>
        <w:tc>
          <w:tcPr>
            <w:tcW w:w="5140" w:type="dxa"/>
            <w:vAlign w:val="bottom"/>
          </w:tcPr>
          <w:p>
            <w:pPr>
              <w:spacing w:after="0"/>
              <w:rPr>
                <w:sz w:val="20"/>
                <w:szCs w:val="20"/>
                <w:color w:val="auto"/>
              </w:rPr>
            </w:pPr>
            <w:r>
              <w:rPr>
                <w:rFonts w:ascii="Courier New" w:cs="Courier New" w:eastAsia="Courier New" w:hAnsi="Courier New"/>
                <w:sz w:val="15"/>
                <w:szCs w:val="15"/>
                <w:color w:val="auto"/>
              </w:rPr>
              <w:t>taxes</w:t>
            </w:r>
          </w:p>
        </w:tc>
        <w:tc>
          <w:tcPr>
            <w:tcW w:w="1780" w:type="dxa"/>
            <w:vAlign w:val="bottom"/>
            <w:vMerge w:val="continue"/>
          </w:tcPr>
          <w:p>
            <w:pPr>
              <w:spacing w:after="0"/>
              <w:rPr>
                <w:sz w:val="21"/>
                <w:szCs w:val="21"/>
                <w:color w:val="auto"/>
              </w:rPr>
            </w:pPr>
          </w:p>
        </w:tc>
        <w:tc>
          <w:tcPr>
            <w:tcW w:w="162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Provision for income taxes from continuing operations</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601,800</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729,400</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1,389,900</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1,448,800</w:t>
            </w:r>
          </w:p>
        </w:tc>
        <w:tc>
          <w:tcPr>
            <w:tcW w:w="0" w:type="dxa"/>
            <w:vAlign w:val="bottom"/>
          </w:tcPr>
          <w:p>
            <w:pPr>
              <w:spacing w:after="0"/>
              <w:rPr>
                <w:sz w:val="1"/>
                <w:szCs w:val="1"/>
                <w:color w:val="auto"/>
              </w:rPr>
            </w:pPr>
          </w:p>
        </w:tc>
      </w:tr>
      <w:tr>
        <w:trPr>
          <w:trHeight w:val="252"/>
        </w:trPr>
        <w:tc>
          <w:tcPr>
            <w:tcW w:w="5140" w:type="dxa"/>
            <w:vAlign w:val="bottom"/>
          </w:tcPr>
          <w:p>
            <w:pPr>
              <w:spacing w:after="0"/>
              <w:rPr>
                <w:sz w:val="21"/>
                <w:szCs w:val="21"/>
                <w:color w:val="auto"/>
              </w:rPr>
            </w:pP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897,995</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1,103,774</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2,070,909</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2,192,983</w:t>
            </w: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7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Income (loss) from operations of Tessman Seed,</w:t>
            </w:r>
          </w:p>
        </w:tc>
        <w:tc>
          <w:tcPr>
            <w:tcW w:w="1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Inc. (less applicable income taxes of ($8,600),</w:t>
            </w:r>
          </w:p>
        </w:tc>
        <w:tc>
          <w:tcPr>
            <w:tcW w:w="17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(12,972)</w:t>
            </w:r>
          </w:p>
        </w:tc>
        <w:tc>
          <w:tcPr>
            <w:tcW w:w="16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5,105</w:t>
            </w:r>
          </w:p>
        </w:tc>
        <w:tc>
          <w:tcPr>
            <w:tcW w:w="160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(69,905)</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(22,716)</w:t>
            </w:r>
          </w:p>
        </w:tc>
        <w:tc>
          <w:tcPr>
            <w:tcW w:w="0" w:type="dxa"/>
            <w:vAlign w:val="bottom"/>
          </w:tcPr>
          <w:p>
            <w:pPr>
              <w:spacing w:after="0"/>
              <w:rPr>
                <w:sz w:val="1"/>
                <w:szCs w:val="1"/>
                <w:color w:val="auto"/>
              </w:rPr>
            </w:pPr>
          </w:p>
        </w:tc>
      </w:tr>
      <w:tr>
        <w:trPr>
          <w:trHeight w:val="252"/>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$3,500, ($46,500),($15,000), respectively)</w:t>
            </w:r>
          </w:p>
        </w:tc>
        <w:tc>
          <w:tcPr>
            <w:tcW w:w="1780" w:type="dxa"/>
            <w:vAlign w:val="bottom"/>
            <w:vMerge w:val="continue"/>
          </w:tcPr>
          <w:p>
            <w:pPr>
              <w:spacing w:after="0"/>
              <w:rPr>
                <w:sz w:val="21"/>
                <w:szCs w:val="21"/>
                <w:color w:val="auto"/>
              </w:rPr>
            </w:pPr>
          </w:p>
        </w:tc>
        <w:tc>
          <w:tcPr>
            <w:tcW w:w="162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Loss on disposal of assets of Tessman Seed, Inc.</w:t>
            </w:r>
          </w:p>
        </w:tc>
        <w:tc>
          <w:tcPr>
            <w:tcW w:w="17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(321,266)</w:t>
            </w:r>
          </w:p>
        </w:tc>
        <w:tc>
          <w:tcPr>
            <w:tcW w:w="16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60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(321,266)</w:t>
            </w:r>
          </w:p>
        </w:tc>
        <w:tc>
          <w:tcPr>
            <w:tcW w:w="13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(less applicable income taxes of $214,200)</w:t>
            </w:r>
          </w:p>
        </w:tc>
        <w:tc>
          <w:tcPr>
            <w:tcW w:w="17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140" w:type="dxa"/>
            <w:vAlign w:val="bottom"/>
          </w:tcPr>
          <w:p>
            <w:pPr>
              <w:spacing w:after="0"/>
              <w:rPr>
                <w:sz w:val="21"/>
                <w:szCs w:val="21"/>
                <w:color w:val="auto"/>
              </w:rPr>
            </w:pP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(loss) from discontinued operations</w:t>
            </w: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(334,238)</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5,105</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(391,171)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(22,716)</w:t>
            </w:r>
          </w:p>
        </w:tc>
        <w:tc>
          <w:tcPr>
            <w:tcW w:w="0" w:type="dxa"/>
            <w:vAlign w:val="bottom"/>
          </w:tcPr>
          <w:p>
            <w:pPr>
              <w:spacing w:after="0"/>
              <w:rPr>
                <w:sz w:val="1"/>
                <w:szCs w:val="1"/>
                <w:color w:val="auto"/>
              </w:rPr>
            </w:pPr>
          </w:p>
        </w:tc>
      </w:tr>
      <w:tr>
        <w:trPr>
          <w:trHeight w:val="252"/>
        </w:trPr>
        <w:tc>
          <w:tcPr>
            <w:tcW w:w="5140" w:type="dxa"/>
            <w:vAlign w:val="bottom"/>
          </w:tcPr>
          <w:p>
            <w:pPr>
              <w:spacing w:after="0"/>
              <w:rPr>
                <w:sz w:val="21"/>
                <w:szCs w:val="21"/>
                <w:color w:val="auto"/>
              </w:rPr>
            </w:pP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563,757</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$ 1,108,879</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$ 1,679,738</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$ 2,170,267</w:t>
            </w:r>
          </w:p>
        </w:tc>
        <w:tc>
          <w:tcPr>
            <w:tcW w:w="0" w:type="dxa"/>
            <w:vAlign w:val="bottom"/>
          </w:tcPr>
          <w:p>
            <w:pPr>
              <w:spacing w:after="0"/>
              <w:rPr>
                <w:sz w:val="1"/>
                <w:szCs w:val="1"/>
                <w:color w:val="auto"/>
              </w:rPr>
            </w:pPr>
          </w:p>
        </w:tc>
      </w:tr>
      <w:tr>
        <w:trPr>
          <w:trHeight w:val="172"/>
        </w:trPr>
        <w:tc>
          <w:tcPr>
            <w:tcW w:w="5140" w:type="dxa"/>
            <w:vAlign w:val="bottom"/>
          </w:tcPr>
          <w:p>
            <w:pPr>
              <w:spacing w:after="0"/>
              <w:rPr>
                <w:sz w:val="14"/>
                <w:szCs w:val="14"/>
                <w:color w:val="auto"/>
              </w:rPr>
            </w:pP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number of shares</w:t>
            </w: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40" w:type="dxa"/>
            <w:vAlign w:val="bottom"/>
            <w:vMerge w:val="continue"/>
          </w:tcPr>
          <w:p>
            <w:pPr>
              <w:spacing w:after="0"/>
              <w:rPr>
                <w:sz w:val="7"/>
                <w:szCs w:val="7"/>
                <w:color w:val="auto"/>
              </w:rPr>
            </w:pPr>
          </w:p>
        </w:tc>
        <w:tc>
          <w:tcPr>
            <w:tcW w:w="17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10,525,772</w:t>
            </w:r>
          </w:p>
        </w:tc>
        <w:tc>
          <w:tcPr>
            <w:tcW w:w="16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10,525,772</w:t>
            </w:r>
          </w:p>
        </w:tc>
        <w:tc>
          <w:tcPr>
            <w:tcW w:w="16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10,525,772</w:t>
            </w:r>
          </w:p>
        </w:tc>
        <w:tc>
          <w:tcPr>
            <w:tcW w:w="13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10,525,772</w:t>
            </w:r>
          </w:p>
        </w:tc>
        <w:tc>
          <w:tcPr>
            <w:tcW w:w="0" w:type="dxa"/>
            <w:vAlign w:val="bottom"/>
          </w:tcPr>
          <w:p>
            <w:pPr>
              <w:spacing w:after="0"/>
              <w:rPr>
                <w:sz w:val="1"/>
                <w:szCs w:val="1"/>
                <w:color w:val="auto"/>
              </w:rPr>
            </w:pP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17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40" w:type="dxa"/>
            <w:vAlign w:val="bottom"/>
          </w:tcPr>
          <w:p>
            <w:pPr>
              <w:spacing w:after="0"/>
              <w:rPr>
                <w:sz w:val="14"/>
                <w:szCs w:val="14"/>
                <w:color w:val="auto"/>
              </w:rPr>
            </w:pP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140" w:type="dxa"/>
            <w:vAlign w:val="bottom"/>
          </w:tcPr>
          <w:p>
            <w:pPr>
              <w:spacing w:after="0"/>
              <w:rPr>
                <w:sz w:val="21"/>
                <w:szCs w:val="21"/>
                <w:color w:val="auto"/>
              </w:rPr>
            </w:pP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17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$0.08</w:t>
            </w:r>
          </w:p>
        </w:tc>
        <w:tc>
          <w:tcPr>
            <w:tcW w:w="16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$0.10</w:t>
            </w:r>
          </w:p>
        </w:tc>
        <w:tc>
          <w:tcPr>
            <w:tcW w:w="16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$0.20</w:t>
            </w:r>
          </w:p>
        </w:tc>
        <w:tc>
          <w:tcPr>
            <w:tcW w:w="13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$0.21</w:t>
            </w:r>
          </w:p>
        </w:tc>
        <w:tc>
          <w:tcPr>
            <w:tcW w:w="0" w:type="dxa"/>
            <w:vAlign w:val="bottom"/>
          </w:tcPr>
          <w:p>
            <w:pPr>
              <w:spacing w:after="0"/>
              <w:rPr>
                <w:sz w:val="1"/>
                <w:szCs w:val="1"/>
                <w:color w:val="auto"/>
              </w:rPr>
            </w:pPr>
          </w:p>
        </w:tc>
      </w:tr>
      <w:tr>
        <w:trPr>
          <w:trHeight w:val="172"/>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Continuing operations</w:t>
            </w:r>
          </w:p>
        </w:tc>
        <w:tc>
          <w:tcPr>
            <w:tcW w:w="17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40" w:type="dxa"/>
            <w:vAlign w:val="bottom"/>
          </w:tcPr>
          <w:p>
            <w:pPr>
              <w:ind w:left="340"/>
              <w:spacing w:after="0"/>
              <w:rPr>
                <w:sz w:val="20"/>
                <w:szCs w:val="20"/>
                <w:color w:val="auto"/>
              </w:rPr>
            </w:pPr>
            <w:r>
              <w:rPr>
                <w:rFonts w:ascii="Courier New" w:cs="Courier New" w:eastAsia="Courier New" w:hAnsi="Courier New"/>
                <w:sz w:val="15"/>
                <w:szCs w:val="15"/>
                <w:color w:val="auto"/>
              </w:rPr>
              <w:t>Discontinued operations</w:t>
            </w: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(0.03)</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0.00</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(0.04)</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0.00</w:t>
            </w:r>
          </w:p>
        </w:tc>
        <w:tc>
          <w:tcPr>
            <w:tcW w:w="0" w:type="dxa"/>
            <w:vAlign w:val="bottom"/>
          </w:tcPr>
          <w:p>
            <w:pPr>
              <w:spacing w:after="0"/>
              <w:rPr>
                <w:sz w:val="1"/>
                <w:szCs w:val="1"/>
                <w:color w:val="auto"/>
              </w:rPr>
            </w:pPr>
          </w:p>
        </w:tc>
      </w:tr>
      <w:tr>
        <w:trPr>
          <w:trHeight w:val="172"/>
        </w:trPr>
        <w:tc>
          <w:tcPr>
            <w:tcW w:w="514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Total</w:t>
            </w:r>
          </w:p>
        </w:tc>
        <w:tc>
          <w:tcPr>
            <w:tcW w:w="17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88"/>
              </w:rPr>
              <w:t>--------------</w:t>
            </w:r>
            <w:r>
              <w:rPr>
                <w:rFonts w:ascii="Courier New" w:cs="Courier New" w:eastAsia="Courier New" w:hAnsi="Courier New"/>
                <w:sz w:val="29"/>
                <w:szCs w:val="29"/>
                <w:color w:val="auto"/>
                <w:w w:val="88"/>
                <w:vertAlign w:val="subscript"/>
              </w:rPr>
              <w:t>$0.05</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4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$0.10</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$0.16</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$0.21</w:t>
            </w:r>
          </w:p>
        </w:tc>
        <w:tc>
          <w:tcPr>
            <w:tcW w:w="0" w:type="dxa"/>
            <w:vAlign w:val="bottom"/>
          </w:tcPr>
          <w:p>
            <w:pPr>
              <w:spacing w:after="0"/>
              <w:rPr>
                <w:sz w:val="1"/>
                <w:szCs w:val="1"/>
                <w:color w:val="auto"/>
              </w:rPr>
            </w:pPr>
          </w:p>
        </w:tc>
      </w:tr>
      <w:tr>
        <w:trPr>
          <w:trHeight w:val="172"/>
        </w:trPr>
        <w:tc>
          <w:tcPr>
            <w:tcW w:w="5140" w:type="dxa"/>
            <w:vAlign w:val="bottom"/>
          </w:tcPr>
          <w:p>
            <w:pPr>
              <w:spacing w:after="0"/>
              <w:rPr>
                <w:sz w:val="14"/>
                <w:szCs w:val="14"/>
                <w:color w:val="auto"/>
              </w:rPr>
            </w:pP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140" w:type="dxa"/>
            <w:vAlign w:val="bottom"/>
          </w:tcPr>
          <w:p>
            <w:pPr>
              <w:spacing w:after="0"/>
              <w:rPr>
                <w:sz w:val="21"/>
                <w:szCs w:val="21"/>
                <w:color w:val="auto"/>
              </w:rPr>
            </w:pP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607" w:right="139" w:bottom="1440" w:gutter="0" w:footer="0" w:header="0"/>
        </w:sectPr>
      </w:pPr>
    </w:p>
    <w:bookmarkStart w:id="4" w:name="page5"/>
    <w:bookmarkEnd w:id="4"/>
    <w:p>
      <w:pPr>
        <w:jc w:val="center"/>
        <w:ind w:right="3240"/>
        <w:spacing w:after="0"/>
        <w:rPr>
          <w:sz w:val="20"/>
          <w:szCs w:val="20"/>
          <w:color w:val="auto"/>
        </w:rPr>
      </w:pPr>
      <w:r>
        <w:rPr>
          <w:rFonts w:ascii="Courier New" w:cs="Courier New" w:eastAsia="Courier New" w:hAnsi="Courier New"/>
          <w:sz w:val="15"/>
          <w:szCs w:val="15"/>
          <w:color w:val="auto"/>
        </w:rPr>
        <w:t>HAWKINS CHEMICAL, INC. AND SUBSIDIARIES</w:t>
      </w:r>
    </w:p>
    <w:p>
      <w:pPr>
        <w:spacing w:after="0" w:line="30"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5"/>
          <w:szCs w:val="15"/>
          <w:color w:val="auto"/>
        </w:rPr>
        <w:t>CONSOLIDATED CONDENSED STATEMENTS OF CASH FLOWS</w:t>
      </w:r>
    </w:p>
    <w:p>
      <w:pPr>
        <w:spacing w:after="0" w:line="14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6360"/>
        <w:spacing w:after="0"/>
        <w:rPr>
          <w:sz w:val="20"/>
          <w:szCs w:val="20"/>
          <w:color w:val="auto"/>
        </w:rPr>
      </w:pPr>
      <w:r>
        <w:rPr>
          <w:rFonts w:ascii="Courier New" w:cs="Courier New" w:eastAsia="Courier New" w:hAnsi="Courier New"/>
          <w:sz w:val="15"/>
          <w:szCs w:val="15"/>
          <w:color w:val="auto"/>
        </w:rPr>
        <w:t>SIX MONTHS ENDED MARCH 31</w:t>
      </w:r>
    </w:p>
    <w:p>
      <w:pPr>
        <w:spacing w:after="0" w:line="30" w:lineRule="exact"/>
        <w:rPr>
          <w:sz w:val="20"/>
          <w:szCs w:val="20"/>
          <w:color w:val="auto"/>
        </w:rPr>
      </w:pPr>
    </w:p>
    <w:p>
      <w:pPr>
        <w:ind w:left="7320"/>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1995</w:t>
            </w:r>
          </w:p>
        </w:tc>
        <w:tc>
          <w:tcPr>
            <w:tcW w:w="580" w:type="dxa"/>
            <w:vAlign w:val="bottom"/>
          </w:tcPr>
          <w:p>
            <w:pPr>
              <w:spacing w:after="0"/>
              <w:rPr>
                <w:sz w:val="14"/>
                <w:szCs w:val="14"/>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2"/>
        </w:trPr>
        <w:tc>
          <w:tcPr>
            <w:tcW w:w="7200" w:type="dxa"/>
            <w:vAlign w:val="bottom"/>
          </w:tcPr>
          <w:p>
            <w:pPr>
              <w:spacing w:after="0"/>
              <w:rPr>
                <w:sz w:val="21"/>
                <w:szCs w:val="21"/>
                <w:color w:val="auto"/>
              </w:rPr>
            </w:pP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7200" w:type="dxa"/>
            <w:vAlign w:val="bottom"/>
          </w:tcPr>
          <w:p>
            <w:pPr>
              <w:jc w:val="right"/>
              <w:ind w:right="3825"/>
              <w:spacing w:after="0"/>
              <w:rPr>
                <w:sz w:val="20"/>
                <w:szCs w:val="20"/>
                <w:color w:val="auto"/>
              </w:rPr>
            </w:pPr>
            <w:r>
              <w:rPr>
                <w:rFonts w:ascii="Courier New" w:cs="Courier New" w:eastAsia="Courier New" w:hAnsi="Courier New"/>
                <w:sz w:val="15"/>
                <w:szCs w:val="15"/>
                <w:color w:val="auto"/>
                <w:w w:val="98"/>
              </w:rPr>
              <w:t>CASH FLOWS FROM OPERATING ACTIVITIES:</w:t>
            </w:r>
          </w:p>
        </w:tc>
        <w:tc>
          <w:tcPr>
            <w:tcW w:w="480" w:type="dxa"/>
            <w:vAlign w:val="bottom"/>
            <w:vMerge w:val="restart"/>
          </w:tcPr>
          <w:p>
            <w:pPr>
              <w:ind w:left="40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1,679,738</w:t>
            </w:r>
          </w:p>
        </w:tc>
        <w:tc>
          <w:tcPr>
            <w:tcW w:w="156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rPr>
              <w:t>$ 2,170,268</w:t>
            </w:r>
          </w:p>
        </w:tc>
        <w:tc>
          <w:tcPr>
            <w:tcW w:w="0" w:type="dxa"/>
            <w:vAlign w:val="bottom"/>
          </w:tcPr>
          <w:p>
            <w:pPr>
              <w:spacing w:after="0"/>
              <w:rPr>
                <w:sz w:val="1"/>
                <w:szCs w:val="1"/>
                <w:color w:val="auto"/>
              </w:rPr>
            </w:pPr>
          </w:p>
        </w:tc>
      </w:tr>
      <w:tr>
        <w:trPr>
          <w:trHeight w:val="172"/>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Net income . . . . . . . . . . . . . . . . . . . . . . . . . . . . . . . . .</w:t>
            </w:r>
          </w:p>
        </w:tc>
        <w:tc>
          <w:tcPr>
            <w:tcW w:w="4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Net loss on disposal of assets of Tessman Seed, Inc. . . . . . . . . . . . .</w:t>
            </w:r>
          </w:p>
        </w:tc>
        <w:tc>
          <w:tcPr>
            <w:tcW w:w="48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321,266</w:t>
            </w:r>
          </w:p>
        </w:tc>
        <w:tc>
          <w:tcPr>
            <w:tcW w:w="5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Net loss on discontinued operations of Tessman Seed, Inc . . . . . . . . . .</w:t>
            </w:r>
          </w:p>
        </w:tc>
        <w:tc>
          <w:tcPr>
            <w:tcW w:w="48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69,905</w:t>
            </w:r>
          </w:p>
        </w:tc>
        <w:tc>
          <w:tcPr>
            <w:tcW w:w="5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Unusual and nonrecurring charge. . . . . . . . . . . . . . . . . . . . . . .</w:t>
            </w:r>
          </w:p>
        </w:tc>
        <w:tc>
          <w:tcPr>
            <w:tcW w:w="48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750,000</w:t>
            </w:r>
          </w:p>
        </w:tc>
        <w:tc>
          <w:tcPr>
            <w:tcW w:w="5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Depreciation and amortization. . . . . . . . . . . . . . . . . . . . . . . .</w:t>
            </w:r>
          </w:p>
        </w:tc>
        <w:tc>
          <w:tcPr>
            <w:tcW w:w="48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652,849</w:t>
            </w:r>
          </w:p>
        </w:tc>
        <w:tc>
          <w:tcPr>
            <w:tcW w:w="5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641,804</w:t>
            </w:r>
          </w:p>
        </w:tc>
        <w:tc>
          <w:tcPr>
            <w:tcW w:w="0" w:type="dxa"/>
            <w:vAlign w:val="bottom"/>
          </w:tcPr>
          <w:p>
            <w:pPr>
              <w:spacing w:after="0"/>
              <w:rPr>
                <w:sz w:val="1"/>
                <w:szCs w:val="1"/>
                <w:color w:val="auto"/>
              </w:rPr>
            </w:pPr>
          </w:p>
        </w:tc>
      </w:tr>
      <w:tr>
        <w:trPr>
          <w:trHeight w:val="172"/>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Deferred income taxes. . . . . . . . . . . . . . . . . . . . . . . . . . . .</w:t>
            </w:r>
          </w:p>
        </w:tc>
        <w:tc>
          <w:tcPr>
            <w:tcW w:w="48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(262,000)</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(53,250)</w:t>
            </w:r>
          </w:p>
        </w:tc>
        <w:tc>
          <w:tcPr>
            <w:tcW w:w="0" w:type="dxa"/>
            <w:vAlign w:val="bottom"/>
          </w:tcPr>
          <w:p>
            <w:pPr>
              <w:spacing w:after="0"/>
              <w:rPr>
                <w:sz w:val="1"/>
                <w:szCs w:val="1"/>
                <w:color w:val="auto"/>
              </w:rPr>
            </w:pPr>
          </w:p>
        </w:tc>
      </w:tr>
      <w:tr>
        <w:trPr>
          <w:trHeight w:val="172"/>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Other  . . . . . . . . . . . . . . . . . . . . . . . . . . . . . . . . . . .</w:t>
            </w:r>
          </w:p>
        </w:tc>
        <w:tc>
          <w:tcPr>
            <w:tcW w:w="48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(44,091)</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(40,591)</w:t>
            </w:r>
          </w:p>
        </w:tc>
        <w:tc>
          <w:tcPr>
            <w:tcW w:w="0" w:type="dxa"/>
            <w:vAlign w:val="bottom"/>
          </w:tcPr>
          <w:p>
            <w:pPr>
              <w:spacing w:after="0"/>
              <w:rPr>
                <w:sz w:val="1"/>
                <w:szCs w:val="1"/>
                <w:color w:val="auto"/>
              </w:rPr>
            </w:pPr>
          </w:p>
        </w:tc>
      </w:tr>
      <w:tr>
        <w:trPr>
          <w:trHeight w:val="172"/>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Changes in certain current assets and liabilities. . . . . . . . . . . . . .</w:t>
            </w:r>
          </w:p>
        </w:tc>
        <w:tc>
          <w:tcPr>
            <w:tcW w:w="48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(486,839)</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(798,972)</w:t>
            </w:r>
          </w:p>
        </w:tc>
        <w:tc>
          <w:tcPr>
            <w:tcW w:w="0" w:type="dxa"/>
            <w:vAlign w:val="bottom"/>
          </w:tcPr>
          <w:p>
            <w:pPr>
              <w:spacing w:after="0"/>
              <w:rPr>
                <w:sz w:val="1"/>
                <w:szCs w:val="1"/>
                <w:color w:val="auto"/>
              </w:rPr>
            </w:pPr>
          </w:p>
        </w:tc>
      </w:tr>
      <w:tr>
        <w:trPr>
          <w:trHeight w:val="172"/>
        </w:trPr>
        <w:tc>
          <w:tcPr>
            <w:tcW w:w="7200" w:type="dxa"/>
            <w:vAlign w:val="bottom"/>
            <w:vMerge w:val="restart"/>
          </w:tcPr>
          <w:p>
            <w:pPr>
              <w:jc w:val="right"/>
              <w:ind w:right="1225"/>
              <w:spacing w:after="0"/>
              <w:rPr>
                <w:sz w:val="20"/>
                <w:szCs w:val="20"/>
                <w:color w:val="auto"/>
              </w:rPr>
            </w:pPr>
            <w:r>
              <w:rPr>
                <w:rFonts w:ascii="Courier New" w:cs="Courier New" w:eastAsia="Courier New" w:hAnsi="Courier New"/>
                <w:sz w:val="15"/>
                <w:szCs w:val="15"/>
                <w:color w:val="auto"/>
              </w:rPr>
              <w:t>Net cash provided by operating activities . . . . . . . . . .</w:t>
            </w:r>
          </w:p>
        </w:tc>
        <w:tc>
          <w:tcPr>
            <w:tcW w:w="480" w:type="dxa"/>
            <w:vAlign w:val="bottom"/>
          </w:tcPr>
          <w:p>
            <w:pPr>
              <w:ind w:left="220"/>
              <w:spacing w:after="0"/>
              <w:rPr>
                <w:sz w:val="20"/>
                <w:szCs w:val="20"/>
                <w:color w:val="auto"/>
              </w:rPr>
            </w:pPr>
            <w:r>
              <w:rPr>
                <w:rFonts w:ascii="Courier New" w:cs="Courier New" w:eastAsia="Courier New" w:hAnsi="Courier New"/>
                <w:sz w:val="4"/>
                <w:szCs w:val="4"/>
                <w:color w:val="auto"/>
                <w:w w:val="71"/>
              </w:rPr>
              <w:t>--------------</w:t>
            </w:r>
          </w:p>
        </w:tc>
        <w:tc>
          <w:tcPr>
            <w:tcW w:w="12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2,680,828</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200" w:type="dxa"/>
            <w:vAlign w:val="bottom"/>
            <w:vMerge w:val="continue"/>
          </w:tcPr>
          <w:p>
            <w:pPr>
              <w:jc w:val="right"/>
              <w:ind w:right="165"/>
              <w:spacing w:after="0" w:line="152" w:lineRule="exact"/>
              <w:rPr>
                <w:sz w:val="20"/>
                <w:szCs w:val="20"/>
                <w:color w:val="auto"/>
              </w:rPr>
            </w:pPr>
            <w:r>
              <w:rPr>
                <w:rFonts w:ascii="Courier New" w:cs="Courier New" w:eastAsia="Courier New" w:hAnsi="Courier New"/>
                <w:sz w:val="15"/>
                <w:szCs w:val="15"/>
                <w:color w:val="auto"/>
              </w:rPr>
              <w:t>. . . . . .</w:t>
            </w:r>
          </w:p>
        </w:tc>
        <w:tc>
          <w:tcPr>
            <w:tcW w:w="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1,919,259</w:t>
            </w:r>
          </w:p>
        </w:tc>
        <w:tc>
          <w:tcPr>
            <w:tcW w:w="0" w:type="dxa"/>
            <w:vAlign w:val="bottom"/>
          </w:tcPr>
          <w:p>
            <w:pPr>
              <w:spacing w:after="0"/>
              <w:rPr>
                <w:sz w:val="1"/>
                <w:szCs w:val="1"/>
                <w:color w:val="auto"/>
              </w:rPr>
            </w:pPr>
          </w:p>
        </w:tc>
      </w:tr>
      <w:tr>
        <w:trPr>
          <w:trHeight w:val="252"/>
        </w:trPr>
        <w:tc>
          <w:tcPr>
            <w:tcW w:w="7200" w:type="dxa"/>
            <w:vAlign w:val="bottom"/>
          </w:tcPr>
          <w:p>
            <w:pPr>
              <w:spacing w:after="0"/>
              <w:rPr>
                <w:sz w:val="21"/>
                <w:szCs w:val="21"/>
                <w:color w:val="auto"/>
              </w:rPr>
            </w:pP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7200" w:type="dxa"/>
            <w:vAlign w:val="bottom"/>
          </w:tcPr>
          <w:p>
            <w:pPr>
              <w:jc w:val="right"/>
              <w:ind w:right="3825"/>
              <w:spacing w:after="0"/>
              <w:rPr>
                <w:sz w:val="20"/>
                <w:szCs w:val="20"/>
                <w:color w:val="auto"/>
              </w:rPr>
            </w:pPr>
            <w:r>
              <w:rPr>
                <w:rFonts w:ascii="Courier New" w:cs="Courier New" w:eastAsia="Courier New" w:hAnsi="Courier New"/>
                <w:sz w:val="15"/>
                <w:szCs w:val="15"/>
                <w:color w:val="auto"/>
                <w:w w:val="98"/>
              </w:rPr>
              <w:t>CASH FLOWS FROM INVESTING ACTIVITIES:</w:t>
            </w:r>
          </w:p>
        </w:tc>
        <w:tc>
          <w:tcPr>
            <w:tcW w:w="480" w:type="dxa"/>
            <w:vAlign w:val="bottom"/>
          </w:tcPr>
          <w:p>
            <w:pPr>
              <w:spacing w:after="0"/>
              <w:rPr>
                <w:sz w:val="22"/>
                <w:szCs w:val="22"/>
                <w:color w:val="auto"/>
              </w:rPr>
            </w:pPr>
          </w:p>
        </w:tc>
        <w:tc>
          <w:tcPr>
            <w:tcW w:w="12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w w:val="96"/>
              </w:rPr>
              <w:t>(1,358,945)</w:t>
            </w:r>
          </w:p>
        </w:tc>
        <w:tc>
          <w:tcPr>
            <w:tcW w:w="58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(457,423)</w:t>
            </w:r>
          </w:p>
        </w:tc>
        <w:tc>
          <w:tcPr>
            <w:tcW w:w="0" w:type="dxa"/>
            <w:vAlign w:val="bottom"/>
          </w:tcPr>
          <w:p>
            <w:pPr>
              <w:spacing w:after="0"/>
              <w:rPr>
                <w:sz w:val="1"/>
                <w:szCs w:val="1"/>
                <w:color w:val="auto"/>
              </w:rPr>
            </w:pPr>
          </w:p>
        </w:tc>
      </w:tr>
      <w:tr>
        <w:trPr>
          <w:trHeight w:val="172"/>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Additions to property, plant and equipment . . . . . . . . . . . . . . . . .</w:t>
            </w:r>
          </w:p>
        </w:tc>
        <w:tc>
          <w:tcPr>
            <w:tcW w:w="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Cash investment additions. . . . . . . . . . . . . . . . . . . . . . . . . .</w:t>
            </w:r>
          </w:p>
        </w:tc>
        <w:tc>
          <w:tcPr>
            <w:tcW w:w="48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(187,524)</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(600,522)</w:t>
            </w:r>
          </w:p>
        </w:tc>
        <w:tc>
          <w:tcPr>
            <w:tcW w:w="0" w:type="dxa"/>
            <w:vAlign w:val="bottom"/>
          </w:tcPr>
          <w:p>
            <w:pPr>
              <w:spacing w:after="0"/>
              <w:rPr>
                <w:sz w:val="1"/>
                <w:szCs w:val="1"/>
                <w:color w:val="auto"/>
              </w:rPr>
            </w:pPr>
          </w:p>
        </w:tc>
      </w:tr>
      <w:tr>
        <w:trPr>
          <w:trHeight w:val="172"/>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Acquisition of Industrial Chemical . . . . . . . . . . . . . . . . . . . . .</w:t>
            </w:r>
          </w:p>
        </w:tc>
        <w:tc>
          <w:tcPr>
            <w:tcW w:w="48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(1,772,706)</w:t>
            </w:r>
          </w:p>
        </w:tc>
        <w:tc>
          <w:tcPr>
            <w:tcW w:w="0" w:type="dxa"/>
            <w:vAlign w:val="bottom"/>
          </w:tcPr>
          <w:p>
            <w:pPr>
              <w:spacing w:after="0"/>
              <w:rPr>
                <w:sz w:val="1"/>
                <w:szCs w:val="1"/>
                <w:color w:val="auto"/>
              </w:rPr>
            </w:pPr>
          </w:p>
        </w:tc>
      </w:tr>
      <w:tr>
        <w:trPr>
          <w:trHeight w:val="172"/>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Cash received on sale of assets and business of Tessman Seed, Inc. . . . . .</w:t>
            </w:r>
          </w:p>
        </w:tc>
        <w:tc>
          <w:tcPr>
            <w:tcW w:w="48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100,000</w:t>
            </w:r>
          </w:p>
        </w:tc>
        <w:tc>
          <w:tcPr>
            <w:tcW w:w="5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7200" w:type="dxa"/>
            <w:vAlign w:val="bottom"/>
            <w:vMerge w:val="restart"/>
          </w:tcPr>
          <w:p>
            <w:pPr>
              <w:jc w:val="right"/>
              <w:ind w:right="1225"/>
              <w:spacing w:after="0"/>
              <w:rPr>
                <w:sz w:val="20"/>
                <w:szCs w:val="20"/>
                <w:color w:val="auto"/>
              </w:rPr>
            </w:pPr>
            <w:r>
              <w:rPr>
                <w:rFonts w:ascii="Courier New" w:cs="Courier New" w:eastAsia="Courier New" w:hAnsi="Courier New"/>
                <w:sz w:val="15"/>
                <w:szCs w:val="15"/>
                <w:color w:val="auto"/>
              </w:rPr>
              <w:t>Net cash used in investing activities . . . . . . . . . . . .</w:t>
            </w:r>
          </w:p>
        </w:tc>
        <w:tc>
          <w:tcPr>
            <w:tcW w:w="480" w:type="dxa"/>
            <w:vAlign w:val="bottom"/>
          </w:tcPr>
          <w:p>
            <w:pPr>
              <w:ind w:left="220"/>
              <w:spacing w:after="0"/>
              <w:rPr>
                <w:sz w:val="20"/>
                <w:szCs w:val="20"/>
                <w:color w:val="auto"/>
              </w:rPr>
            </w:pPr>
            <w:r>
              <w:rPr>
                <w:rFonts w:ascii="Courier New" w:cs="Courier New" w:eastAsia="Courier New" w:hAnsi="Courier New"/>
                <w:sz w:val="4"/>
                <w:szCs w:val="4"/>
                <w:color w:val="auto"/>
                <w:w w:val="71"/>
              </w:rPr>
              <w:t>--------------</w:t>
            </w:r>
          </w:p>
        </w:tc>
        <w:tc>
          <w:tcPr>
            <w:tcW w:w="12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w w:val="96"/>
              </w:rPr>
              <w:t>(1,446,469)</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200" w:type="dxa"/>
            <w:vAlign w:val="bottom"/>
            <w:vMerge w:val="continue"/>
          </w:tcPr>
          <w:p>
            <w:pPr>
              <w:jc w:val="right"/>
              <w:ind w:right="165"/>
              <w:spacing w:after="0" w:line="152" w:lineRule="exact"/>
              <w:rPr>
                <w:sz w:val="20"/>
                <w:szCs w:val="20"/>
                <w:color w:val="auto"/>
              </w:rPr>
            </w:pPr>
            <w:r>
              <w:rPr>
                <w:rFonts w:ascii="Courier New" w:cs="Courier New" w:eastAsia="Courier New" w:hAnsi="Courier New"/>
                <w:sz w:val="15"/>
                <w:szCs w:val="15"/>
                <w:color w:val="auto"/>
              </w:rPr>
              <w:t>. . . . . .</w:t>
            </w:r>
          </w:p>
        </w:tc>
        <w:tc>
          <w:tcPr>
            <w:tcW w:w="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(2,830,651)</w:t>
            </w:r>
          </w:p>
        </w:tc>
        <w:tc>
          <w:tcPr>
            <w:tcW w:w="0" w:type="dxa"/>
            <w:vAlign w:val="bottom"/>
          </w:tcPr>
          <w:p>
            <w:pPr>
              <w:spacing w:after="0"/>
              <w:rPr>
                <w:sz w:val="1"/>
                <w:szCs w:val="1"/>
                <w:color w:val="auto"/>
              </w:rPr>
            </w:pPr>
          </w:p>
        </w:tc>
      </w:tr>
      <w:tr>
        <w:trPr>
          <w:trHeight w:val="252"/>
        </w:trPr>
        <w:tc>
          <w:tcPr>
            <w:tcW w:w="7200" w:type="dxa"/>
            <w:vAlign w:val="bottom"/>
          </w:tcPr>
          <w:p>
            <w:pPr>
              <w:spacing w:after="0"/>
              <w:rPr>
                <w:sz w:val="21"/>
                <w:szCs w:val="21"/>
                <w:color w:val="auto"/>
              </w:rPr>
            </w:pP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7200" w:type="dxa"/>
            <w:vAlign w:val="bottom"/>
          </w:tcPr>
          <w:p>
            <w:pPr>
              <w:jc w:val="right"/>
              <w:ind w:right="3825"/>
              <w:spacing w:after="0"/>
              <w:rPr>
                <w:sz w:val="20"/>
                <w:szCs w:val="20"/>
                <w:color w:val="auto"/>
              </w:rPr>
            </w:pPr>
            <w:r>
              <w:rPr>
                <w:rFonts w:ascii="Courier New" w:cs="Courier New" w:eastAsia="Courier New" w:hAnsi="Courier New"/>
                <w:sz w:val="15"/>
                <w:szCs w:val="15"/>
                <w:color w:val="auto"/>
                <w:w w:val="98"/>
              </w:rPr>
              <w:t>CASH FLOWS FROM FINANCING ACTIVITIES:</w:t>
            </w:r>
          </w:p>
        </w:tc>
        <w:tc>
          <w:tcPr>
            <w:tcW w:w="480" w:type="dxa"/>
            <w:vAlign w:val="bottom"/>
          </w:tcPr>
          <w:p>
            <w:pPr>
              <w:spacing w:after="0"/>
              <w:rPr>
                <w:sz w:val="22"/>
                <w:szCs w:val="22"/>
                <w:color w:val="auto"/>
              </w:rPr>
            </w:pPr>
          </w:p>
        </w:tc>
        <w:tc>
          <w:tcPr>
            <w:tcW w:w="12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(48,919)</w:t>
            </w:r>
          </w:p>
        </w:tc>
        <w:tc>
          <w:tcPr>
            <w:tcW w:w="580" w:type="dxa"/>
            <w:vAlign w:val="bottom"/>
          </w:tcPr>
          <w:p>
            <w:pPr>
              <w:spacing w:after="0"/>
              <w:rPr>
                <w:sz w:val="22"/>
                <w:szCs w:val="22"/>
                <w:color w:val="auto"/>
              </w:rPr>
            </w:pPr>
          </w:p>
        </w:tc>
        <w:tc>
          <w:tcPr>
            <w:tcW w:w="9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Debt repayment . . . . . . . . . . . . . . . . . . . . . . . . . . . . . . .</w:t>
            </w:r>
          </w:p>
        </w:tc>
        <w:tc>
          <w:tcPr>
            <w:tcW w:w="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00" w:type="dxa"/>
            <w:vAlign w:val="bottom"/>
            <w:vMerge w:val="restart"/>
          </w:tcPr>
          <w:p>
            <w:pPr>
              <w:jc w:val="right"/>
              <w:ind w:right="1225"/>
              <w:spacing w:after="0"/>
              <w:rPr>
                <w:sz w:val="20"/>
                <w:szCs w:val="20"/>
                <w:color w:val="auto"/>
              </w:rPr>
            </w:pPr>
            <w:r>
              <w:rPr>
                <w:rFonts w:ascii="Courier New" w:cs="Courier New" w:eastAsia="Courier New" w:hAnsi="Courier New"/>
                <w:sz w:val="15"/>
                <w:szCs w:val="15"/>
                <w:color w:val="auto"/>
              </w:rPr>
              <w:t>Net cash used in financing activities . . . . . . . . . . . .</w:t>
            </w:r>
          </w:p>
        </w:tc>
        <w:tc>
          <w:tcPr>
            <w:tcW w:w="480" w:type="dxa"/>
            <w:vAlign w:val="bottom"/>
          </w:tcPr>
          <w:p>
            <w:pPr>
              <w:ind w:left="220"/>
              <w:spacing w:after="0"/>
              <w:rPr>
                <w:sz w:val="20"/>
                <w:szCs w:val="20"/>
                <w:color w:val="auto"/>
              </w:rPr>
            </w:pPr>
            <w:r>
              <w:rPr>
                <w:rFonts w:ascii="Courier New" w:cs="Courier New" w:eastAsia="Courier New" w:hAnsi="Courier New"/>
                <w:sz w:val="4"/>
                <w:szCs w:val="4"/>
                <w:color w:val="auto"/>
                <w:w w:val="71"/>
              </w:rPr>
              <w:t>--------------</w:t>
            </w:r>
          </w:p>
        </w:tc>
        <w:tc>
          <w:tcPr>
            <w:tcW w:w="122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(48,919)</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7200" w:type="dxa"/>
            <w:vAlign w:val="bottom"/>
            <w:vMerge w:val="continue"/>
          </w:tcPr>
          <w:p>
            <w:pPr>
              <w:jc w:val="right"/>
              <w:ind w:right="165"/>
              <w:spacing w:after="0" w:line="152" w:lineRule="exact"/>
              <w:rPr>
                <w:sz w:val="20"/>
                <w:szCs w:val="20"/>
                <w:color w:val="auto"/>
              </w:rPr>
            </w:pPr>
            <w:r>
              <w:rPr>
                <w:rFonts w:ascii="Courier New" w:cs="Courier New" w:eastAsia="Courier New" w:hAnsi="Courier New"/>
                <w:sz w:val="15"/>
                <w:szCs w:val="15"/>
                <w:color w:val="auto"/>
              </w:rPr>
              <w:t>. . . . . .</w:t>
            </w:r>
          </w:p>
        </w:tc>
        <w:tc>
          <w:tcPr>
            <w:tcW w:w="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2"/>
        </w:trPr>
        <w:tc>
          <w:tcPr>
            <w:tcW w:w="7200" w:type="dxa"/>
            <w:vAlign w:val="bottom"/>
          </w:tcPr>
          <w:p>
            <w:pPr>
              <w:spacing w:after="0"/>
              <w:rPr>
                <w:sz w:val="21"/>
                <w:szCs w:val="21"/>
                <w:color w:val="auto"/>
              </w:rPr>
            </w:pP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8"/>
              </w:rPr>
              <w:t>INCREASE (DECREASE) IN CASH AND CASH EQUIVALENTS . . . . . . . . . . . . . . .</w:t>
            </w:r>
          </w:p>
        </w:tc>
        <w:tc>
          <w:tcPr>
            <w:tcW w:w="480" w:type="dxa"/>
            <w:vAlign w:val="bottom"/>
          </w:tcPr>
          <w:p>
            <w:pPr>
              <w:spacing w:after="0"/>
              <w:rPr>
                <w:sz w:val="24"/>
                <w:szCs w:val="2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1,185,440</w:t>
            </w:r>
          </w:p>
        </w:tc>
        <w:tc>
          <w:tcPr>
            <w:tcW w:w="5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(911,392)</w:t>
            </w:r>
          </w:p>
        </w:tc>
        <w:tc>
          <w:tcPr>
            <w:tcW w:w="0" w:type="dxa"/>
            <w:vAlign w:val="bottom"/>
          </w:tcPr>
          <w:p>
            <w:pPr>
              <w:spacing w:after="0"/>
              <w:rPr>
                <w:sz w:val="1"/>
                <w:szCs w:val="1"/>
                <w:color w:val="auto"/>
              </w:rPr>
            </w:pPr>
          </w:p>
        </w:tc>
      </w:tr>
      <w:tr>
        <w:trPr>
          <w:trHeight w:val="264"/>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8"/>
              </w:rPr>
              <w:t>CASH AND CASH EQUIVALENTS, BEGINNING OF YEAR . . . . . . . . . . . . . . . . .</w:t>
            </w:r>
          </w:p>
        </w:tc>
        <w:tc>
          <w:tcPr>
            <w:tcW w:w="480" w:type="dxa"/>
            <w:vAlign w:val="bottom"/>
          </w:tcPr>
          <w:p>
            <w:pPr>
              <w:spacing w:after="0"/>
              <w:rPr>
                <w:sz w:val="22"/>
                <w:szCs w:val="22"/>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6,895,341</w:t>
            </w:r>
          </w:p>
        </w:tc>
        <w:tc>
          <w:tcPr>
            <w:tcW w:w="580" w:type="dxa"/>
            <w:vAlign w:val="bottom"/>
          </w:tcPr>
          <w:p>
            <w:pPr>
              <w:spacing w:after="0"/>
              <w:rPr>
                <w:sz w:val="22"/>
                <w:szCs w:val="22"/>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9,519,580</w:t>
            </w:r>
          </w:p>
        </w:tc>
        <w:tc>
          <w:tcPr>
            <w:tcW w:w="0" w:type="dxa"/>
            <w:vAlign w:val="bottom"/>
          </w:tcPr>
          <w:p>
            <w:pPr>
              <w:spacing w:after="0"/>
              <w:rPr>
                <w:sz w:val="1"/>
                <w:szCs w:val="1"/>
                <w:color w:val="auto"/>
              </w:rPr>
            </w:pPr>
          </w:p>
        </w:tc>
      </w:tr>
      <w:tr>
        <w:trPr>
          <w:trHeight w:val="252"/>
        </w:trPr>
        <w:tc>
          <w:tcPr>
            <w:tcW w:w="7200" w:type="dxa"/>
            <w:vAlign w:val="bottom"/>
          </w:tcPr>
          <w:p>
            <w:pPr>
              <w:spacing w:after="0"/>
              <w:rPr>
                <w:sz w:val="21"/>
                <w:szCs w:val="21"/>
                <w:color w:val="auto"/>
              </w:rPr>
            </w:pP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8"/>
              </w:rPr>
              <w:t>CASH AND CASH EQUIVALENTS, END OF PERIOD . . . . . . . . . . . . . . . . . . .</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8,080,781</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8,608,188</w:t>
            </w:r>
          </w:p>
        </w:tc>
        <w:tc>
          <w:tcPr>
            <w:tcW w:w="0" w:type="dxa"/>
            <w:vAlign w:val="bottom"/>
          </w:tcPr>
          <w:p>
            <w:pPr>
              <w:spacing w:after="0"/>
              <w:rPr>
                <w:sz w:val="1"/>
                <w:szCs w:val="1"/>
                <w:color w:val="auto"/>
              </w:rPr>
            </w:pPr>
          </w:p>
        </w:tc>
      </w:tr>
      <w:tr>
        <w:trPr>
          <w:trHeight w:val="172"/>
        </w:trPr>
        <w:tc>
          <w:tcPr>
            <w:tcW w:w="7200" w:type="dxa"/>
            <w:vAlign w:val="bottom"/>
          </w:tcPr>
          <w:p>
            <w:pPr>
              <w:spacing w:after="0"/>
              <w:rPr>
                <w:sz w:val="14"/>
                <w:szCs w:val="14"/>
                <w:color w:val="auto"/>
              </w:rPr>
            </w:pP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7200" w:type="dxa"/>
            <w:vAlign w:val="bottom"/>
          </w:tcPr>
          <w:p>
            <w:pPr>
              <w:spacing w:after="0"/>
              <w:rPr>
                <w:sz w:val="21"/>
                <w:szCs w:val="21"/>
                <w:color w:val="auto"/>
              </w:rPr>
            </w:pP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7200" w:type="dxa"/>
            <w:vAlign w:val="bottom"/>
          </w:tcPr>
          <w:p>
            <w:pPr>
              <w:jc w:val="right"/>
              <w:ind w:right="3825"/>
              <w:spacing w:after="0"/>
              <w:rPr>
                <w:sz w:val="20"/>
                <w:szCs w:val="20"/>
                <w:color w:val="auto"/>
              </w:rPr>
            </w:pPr>
            <w:r>
              <w:rPr>
                <w:rFonts w:ascii="Courier New" w:cs="Courier New" w:eastAsia="Courier New" w:hAnsi="Courier New"/>
                <w:sz w:val="15"/>
                <w:szCs w:val="15"/>
                <w:color w:val="auto"/>
                <w:w w:val="98"/>
              </w:rPr>
              <w:t>SUPPLEMENTAL DISCLOSURES OF CASH FLOW</w:t>
            </w: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7200" w:type="dxa"/>
            <w:vAlign w:val="bottom"/>
          </w:tcPr>
          <w:p>
            <w:pPr>
              <w:jc w:val="right"/>
              <w:ind w:right="5885"/>
              <w:spacing w:after="0"/>
              <w:rPr>
                <w:sz w:val="20"/>
                <w:szCs w:val="20"/>
                <w:color w:val="auto"/>
              </w:rPr>
            </w:pPr>
            <w:r>
              <w:rPr>
                <w:rFonts w:ascii="Courier New" w:cs="Courier New" w:eastAsia="Courier New" w:hAnsi="Courier New"/>
                <w:sz w:val="15"/>
                <w:szCs w:val="15"/>
                <w:color w:val="auto"/>
              </w:rPr>
              <w:t>INFORMATION:</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Cash paid for interest . . . . . . . . . . . . . . . . . . . . . . . . . . .</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56,111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7,961</w:t>
            </w:r>
          </w:p>
        </w:tc>
        <w:tc>
          <w:tcPr>
            <w:tcW w:w="0" w:type="dxa"/>
            <w:vAlign w:val="bottom"/>
          </w:tcPr>
          <w:p>
            <w:pPr>
              <w:spacing w:after="0"/>
              <w:rPr>
                <w:sz w:val="1"/>
                <w:szCs w:val="1"/>
                <w:color w:val="auto"/>
              </w:rPr>
            </w:pPr>
          </w:p>
        </w:tc>
      </w:tr>
      <w:tr>
        <w:trPr>
          <w:trHeight w:val="172"/>
        </w:trPr>
        <w:tc>
          <w:tcPr>
            <w:tcW w:w="7200" w:type="dxa"/>
            <w:vAlign w:val="bottom"/>
          </w:tcPr>
          <w:p>
            <w:pPr>
              <w:spacing w:after="0"/>
              <w:rPr>
                <w:sz w:val="14"/>
                <w:szCs w:val="14"/>
                <w:color w:val="auto"/>
              </w:rPr>
            </w:pP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7200" w:type="dxa"/>
            <w:vAlign w:val="bottom"/>
          </w:tcPr>
          <w:p>
            <w:pPr>
              <w:spacing w:after="0"/>
              <w:rPr>
                <w:sz w:val="21"/>
                <w:szCs w:val="21"/>
                <w:color w:val="auto"/>
              </w:rPr>
            </w:pP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72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Cash paid for income taxes . . . . . . . . . . . . . . . . . . . . . . . . .</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1,404,000</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1,749,794</w:t>
            </w:r>
          </w:p>
        </w:tc>
        <w:tc>
          <w:tcPr>
            <w:tcW w:w="0" w:type="dxa"/>
            <w:vAlign w:val="bottom"/>
          </w:tcPr>
          <w:p>
            <w:pPr>
              <w:spacing w:after="0"/>
              <w:rPr>
                <w:sz w:val="1"/>
                <w:szCs w:val="1"/>
                <w:color w:val="auto"/>
              </w:rPr>
            </w:pPr>
          </w:p>
        </w:tc>
      </w:tr>
      <w:tr>
        <w:trPr>
          <w:trHeight w:val="172"/>
        </w:trPr>
        <w:tc>
          <w:tcPr>
            <w:tcW w:w="7200" w:type="dxa"/>
            <w:vAlign w:val="bottom"/>
          </w:tcPr>
          <w:p>
            <w:pPr>
              <w:spacing w:after="0"/>
              <w:rPr>
                <w:sz w:val="14"/>
                <w:szCs w:val="14"/>
                <w:color w:val="auto"/>
              </w:rPr>
            </w:pP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7200" w:type="dxa"/>
            <w:vAlign w:val="bottom"/>
          </w:tcPr>
          <w:p>
            <w:pPr>
              <w:spacing w:after="0"/>
              <w:rPr>
                <w:sz w:val="21"/>
                <w:szCs w:val="21"/>
                <w:color w:val="auto"/>
              </w:rPr>
            </w:pP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460"/>
          </w:cols>
          <w:pgMar w:left="240" w:top="607" w:right="1199" w:bottom="1440" w:gutter="0" w:footer="0" w:header="0"/>
        </w:sectPr>
      </w:pPr>
    </w:p>
    <w:bookmarkStart w:id="5" w:name="page6"/>
    <w:bookmarkEnd w:id="5"/>
    <w:p>
      <w:pPr>
        <w:ind w:left="1888"/>
        <w:spacing w:after="0"/>
        <w:rPr>
          <w:sz w:val="20"/>
          <w:szCs w:val="20"/>
          <w:color w:val="auto"/>
        </w:rPr>
      </w:pPr>
      <w:r>
        <w:rPr>
          <w:rFonts w:ascii="Courier New" w:cs="Courier New" w:eastAsia="Courier New" w:hAnsi="Courier New"/>
          <w:sz w:val="15"/>
          <w:szCs w:val="15"/>
          <w:color w:val="auto"/>
        </w:rPr>
        <w:t>HAWKINS CHEMICAL, INC. AND SUBSIDIARIES</w:t>
      </w:r>
    </w:p>
    <w:p>
      <w:pPr>
        <w:spacing w:after="0" w:line="30"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NOTES TO CONSOLIDATED CONDENSED FINANCIAL STATEMENTS</w:t>
      </w:r>
    </w:p>
    <w:p>
      <w:pPr>
        <w:spacing w:after="0" w:line="318" w:lineRule="exact"/>
        <w:rPr>
          <w:sz w:val="20"/>
          <w:szCs w:val="20"/>
          <w:color w:val="auto"/>
        </w:rPr>
      </w:pPr>
    </w:p>
    <w:p>
      <w:pPr>
        <w:ind w:left="8" w:right="3079" w:hanging="8"/>
        <w:spacing w:after="0" w:line="253" w:lineRule="auto"/>
        <w:tabs>
          <w:tab w:leader="none" w:pos="45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October 2, 1994, previously filed with the Commission. In the opinion of management, the accompanying unaudited consolidated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 except as discussed in note 3 below.</w:t>
      </w:r>
    </w:p>
    <w:p>
      <w:pPr>
        <w:spacing w:after="0" w:line="87" w:lineRule="exact"/>
        <w:rPr>
          <w:sz w:val="20"/>
          <w:szCs w:val="20"/>
          <w:color w:val="auto"/>
        </w:rPr>
      </w:pPr>
    </w:p>
    <w:p>
      <w:pPr>
        <w:ind w:left="8" w:right="3159"/>
        <w:spacing w:after="0" w:line="281" w:lineRule="auto"/>
        <w:rPr>
          <w:sz w:val="20"/>
          <w:szCs w:val="20"/>
          <w:color w:val="auto"/>
        </w:rPr>
      </w:pPr>
      <w:r>
        <w:rPr>
          <w:rFonts w:ascii="Courier New" w:cs="Courier New" w:eastAsia="Courier New" w:hAnsi="Courier New"/>
          <w:sz w:val="15"/>
          <w:szCs w:val="15"/>
          <w:color w:val="auto"/>
        </w:rPr>
        <w:t>The accounting policies followed by the Company are set forth in Note 1 to the Company's financial statements in the 1994 Hawkins Chemical, Inc. Annual Report which is incorporated by reference to Form 10-K filed with the Commission on December 30, 1994.</w:t>
      </w:r>
    </w:p>
    <w:p>
      <w:pPr>
        <w:spacing w:after="0" w:line="64" w:lineRule="exact"/>
        <w:rPr>
          <w:sz w:val="20"/>
          <w:szCs w:val="20"/>
          <w:color w:val="auto"/>
        </w:rPr>
      </w:pPr>
    </w:p>
    <w:p>
      <w:pPr>
        <w:ind w:left="8" w:right="3259" w:hanging="8"/>
        <w:spacing w:after="0" w:line="272" w:lineRule="auto"/>
        <w:tabs>
          <w:tab w:leader="none" w:pos="45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March 1, 1995, the Company sold the inventory, equipment and operations of Tessman Seed, Inc., which sold a wide range of horticulture and pest control products. As a result of the sale the Company recorded a loss on disposal of $321,266, net of taxes totaling $214,200, to write-down Tessman's assets to the amount realized.</w:t>
      </w:r>
    </w:p>
    <w:p>
      <w:pPr>
        <w:spacing w:after="0" w:line="6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Revenues for Tessman for the quarters ending March 31, 1995 and 1994 were</w:t>
      </w:r>
    </w:p>
    <w:p>
      <w:pPr>
        <w:spacing w:after="0" w:line="30" w:lineRule="exact"/>
        <w:rPr>
          <w:sz w:val="20"/>
          <w:szCs w:val="20"/>
          <w:color w:val="auto"/>
        </w:rPr>
      </w:pPr>
    </w:p>
    <w:p>
      <w:pPr>
        <w:ind w:left="8" w:right="3079"/>
        <w:spacing w:after="0" w:line="258" w:lineRule="auto"/>
        <w:rPr>
          <w:sz w:val="20"/>
          <w:szCs w:val="20"/>
          <w:color w:val="auto"/>
        </w:rPr>
      </w:pPr>
      <w:r>
        <w:rPr>
          <w:rFonts w:ascii="Courier New" w:cs="Courier New" w:eastAsia="Courier New" w:hAnsi="Courier New"/>
          <w:sz w:val="15"/>
          <w:szCs w:val="15"/>
          <w:color w:val="auto"/>
        </w:rPr>
        <w:t>$507,000 and $1,214,000, respectively, and for the six months ending March 31, 1995 and 1994 were $931,000 and $1,919,000, respectively. The assets and liabilities of the discontinued operations have been reclassified on the balance sheet from their historic classification to separately identify them as net assets of discontinued operations and principally consisted at October 2, 1994 of accounts receivable, inventory, equipment and accounts payable.</w:t>
      </w:r>
    </w:p>
    <w:p>
      <w:pPr>
        <w:spacing w:after="0" w:line="80" w:lineRule="exact"/>
        <w:rPr>
          <w:sz w:val="20"/>
          <w:szCs w:val="20"/>
          <w:color w:val="auto"/>
        </w:rPr>
      </w:pPr>
    </w:p>
    <w:p>
      <w:pPr>
        <w:ind w:left="8" w:right="3079"/>
        <w:spacing w:after="0" w:line="301" w:lineRule="auto"/>
        <w:rPr>
          <w:sz w:val="20"/>
          <w:szCs w:val="20"/>
          <w:color w:val="auto"/>
        </w:rPr>
      </w:pPr>
      <w:r>
        <w:rPr>
          <w:rFonts w:ascii="Courier New" w:cs="Courier New" w:eastAsia="Courier New" w:hAnsi="Courier New"/>
          <w:sz w:val="15"/>
          <w:szCs w:val="15"/>
          <w:color w:val="auto"/>
        </w:rPr>
        <w:t>The inventory, equipment and operations of Tessman were sold for $1,144,714. At closing Hawkins received $100,000 and a note receivable for the balance. The note receivable is due over the next 5 years plus interest at 8%.</w:t>
      </w:r>
    </w:p>
    <w:p>
      <w:pPr>
        <w:spacing w:after="0" w:line="49" w:lineRule="exact"/>
        <w:rPr>
          <w:sz w:val="20"/>
          <w:szCs w:val="20"/>
          <w:color w:val="auto"/>
        </w:rPr>
      </w:pPr>
    </w:p>
    <w:p>
      <w:pPr>
        <w:ind w:left="8" w:right="3259" w:hanging="8"/>
        <w:spacing w:after="0" w:line="288" w:lineRule="auto"/>
        <w:tabs>
          <w:tab w:leader="none" w:pos="455"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recorded in the three months ended March 31, 1995, as unusual and nonrecurring expenses, an accrual of $750,000 to cover expected settlement costs, legal fees and expenses which may be incurred by the Company in connection with it's defense of a lawsuit filed against The Company related to a fire in the office/warehouse of Lynde Company, a wholly owned subsidiary. See Part II, Item 1 of this filing for additional information.</w:t>
      </w:r>
    </w:p>
    <w:p>
      <w:pPr>
        <w:spacing w:after="0" w:line="62" w:lineRule="exact"/>
        <w:rPr>
          <w:rFonts w:ascii="Courier New" w:cs="Courier New" w:eastAsia="Courier New" w:hAnsi="Courier New"/>
          <w:sz w:val="14"/>
          <w:szCs w:val="14"/>
          <w:color w:val="auto"/>
        </w:rPr>
      </w:pPr>
    </w:p>
    <w:p>
      <w:pPr>
        <w:ind w:left="8" w:right="3259" w:hanging="8"/>
        <w:spacing w:after="0" w:line="268" w:lineRule="auto"/>
        <w:tabs>
          <w:tab w:leader="none" w:pos="455"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consist of insurance contracts with highly rated, stable insurance companies, and marketable securities consisting of investment grade municipal securities, all of which are carried at cost which approximates fair value. On October 3, 1994, the Company adopted SFAS No. 115, "Accounting for Certain Investments in Debt and Equity Securities." The adoption of SFAS No.</w:t>
      </w:r>
    </w:p>
    <w:p>
      <w:pPr>
        <w:spacing w:after="0" w:line="2" w:lineRule="exact"/>
        <w:rPr>
          <w:rFonts w:ascii="Courier New" w:cs="Courier New" w:eastAsia="Courier New" w:hAnsi="Courier New"/>
          <w:sz w:val="14"/>
          <w:szCs w:val="14"/>
          <w:color w:val="auto"/>
        </w:rPr>
      </w:pPr>
    </w:p>
    <w:p>
      <w:pPr>
        <w:ind w:left="8" w:right="3079" w:hanging="8"/>
        <w:spacing w:after="0" w:line="319" w:lineRule="auto"/>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did not have a material impact on the Company's financial statements. These securities are classified as "available-for-sale" as defined by SFAS No. 115.</w:t>
      </w:r>
    </w:p>
    <w:p>
      <w:pPr>
        <w:spacing w:after="0" w:line="36" w:lineRule="exact"/>
        <w:rPr>
          <w:rFonts w:ascii="Courier New" w:cs="Courier New" w:eastAsia="Courier New" w:hAnsi="Courier New"/>
          <w:sz w:val="15"/>
          <w:szCs w:val="15"/>
          <w:color w:val="auto"/>
        </w:rPr>
      </w:pPr>
    </w:p>
    <w:p>
      <w:pPr>
        <w:ind w:left="8" w:right="3339" w:hanging="8"/>
        <w:spacing w:after="0" w:line="401" w:lineRule="auto"/>
        <w:tabs>
          <w:tab w:leader="none" w:pos="45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results of operations for the period ended March 31, 1995 are not necessarily indicative of the results that may be expected for the full year.</w:t>
      </w:r>
    </w:p>
    <w:p>
      <w:pPr>
        <w:spacing w:after="0" w:line="15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07" w:right="1440" w:bottom="1440" w:gutter="0" w:footer="0" w:header="0"/>
        </w:sectPr>
      </w:pPr>
    </w:p>
    <w:bookmarkStart w:id="6" w:name="page7"/>
    <w:bookmarkEnd w:id="6"/>
    <w:p>
      <w:pPr>
        <w:ind w:left="8" w:right="3079" w:hanging="8"/>
        <w:spacing w:after="0" w:line="272" w:lineRule="auto"/>
        <w:tabs>
          <w:tab w:leader="none" w:pos="45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principally valued by the LIFO method, are less than current cost by approximately $2,017,521 at March 31, 1995. Inventory consists principally of finished goods. Inventory quantities fluctuate during the year. No material amounts of interim liquidation of inventory quantities have occurred that are not expected to be replaced by year-end.</w:t>
      </w:r>
    </w:p>
    <w:p>
      <w:pPr>
        <w:spacing w:after="0" w:line="69" w:lineRule="exact"/>
        <w:rPr>
          <w:rFonts w:ascii="Courier New" w:cs="Courier New" w:eastAsia="Courier New" w:hAnsi="Courier New"/>
          <w:sz w:val="15"/>
          <w:szCs w:val="15"/>
          <w:color w:val="auto"/>
        </w:rPr>
      </w:pPr>
    </w:p>
    <w:p>
      <w:pPr>
        <w:ind w:left="8" w:right="3159" w:hanging="8"/>
        <w:spacing w:after="0" w:line="295" w:lineRule="auto"/>
        <w:tabs>
          <w:tab w:leader="none" w:pos="45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common share and cash dividends per common share are based upon the weighted average number of shares outstanding after giving retroactive effect to a 10% stock dividend declared February 15, 1995 to shareholders of record at the close of business on March 31, 1995. Cash dividends accrued of $1,437,644 are included in accounts payable at March 31, 1995.</w:t>
      </w:r>
    </w:p>
    <w:p>
      <w:pPr>
        <w:spacing w:after="0" w:line="229"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07" w:right="1440" w:bottom="1440" w:gutter="0" w:footer="0" w:header="0"/>
        </w:sectPr>
      </w:pPr>
    </w:p>
    <w:bookmarkStart w:id="7" w:name="page8"/>
    <w:bookmarkEnd w:id="7"/>
    <w:p>
      <w:pPr>
        <w:ind w:left="1600" w:right="4599" w:hanging="1609"/>
        <w:spacing w:after="0" w:line="401" w:lineRule="auto"/>
        <w:tabs>
          <w:tab w:leader="none" w:pos="15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CONTINUING OPERATIONS</w:t>
      </w:r>
    </w:p>
    <w:p>
      <w:pPr>
        <w:spacing w:after="0" w:line="17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Net sales increased $3,609,501 (23.6%) in the second quarter of this fiscal year as compared to the same quarter a year ago, and $5,911,960 (20.1%) in the first six months of fiscal 1995 as compared to the same period in fiscal 1994. These increases are primarily due to increases in the selling price of a single large-volume product, as well as volume increases which were less significant.</w:t>
      </w:r>
    </w:p>
    <w:p>
      <w:pPr>
        <w:spacing w:after="0" w:line="69"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Gross margin, as a percentage of net sales, for the second quarter of fiscal 1995 was 21.0% compared to 23.5% for the same quarter one year ago, and 21.5% for the first six months of fiscal 1995 as compared to 23.8% for the first six months of fiscal 1994. These decreases are mainly attributable to the increased cost of the single large-volume product mentioned previously, which resulted in an increase in the cost of sales of $450,000 and $1,015,000 in the second quarter and first six months of fiscal 1995 respectively. One year ago, the cost of this product dropped substantially, causing unusually high gross margins. Gross margins are now more in line with what they have been in the past. The Company has generally been able to and expects to continue to adjust its selling prices as the cost of materials and other expenses change, thereby maintaining relatively stable gross margins.</w:t>
      </w:r>
    </w:p>
    <w:p>
      <w:pPr>
        <w:spacing w:after="0" w:line="87"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Selling, general and administrative expenses, as a percentage of net sales, for the second quarter of fiscal 1995 were 10.3% compared to 12.3% for the same quarter one year ago, and 10.8% for the first six months of fiscal 1995 as compared to 12.4% for the first six months of fiscal 1994. These expenses are primarily fixed and do not fluctuate with net sales.</w:t>
      </w:r>
    </w:p>
    <w:p>
      <w:pPr>
        <w:spacing w:after="0" w:line="69" w:lineRule="exact"/>
        <w:rPr>
          <w:sz w:val="20"/>
          <w:szCs w:val="20"/>
          <w:color w:val="auto"/>
        </w:rPr>
      </w:pPr>
    </w:p>
    <w:p>
      <w:pPr>
        <w:ind w:right="3079"/>
        <w:spacing w:after="0" w:line="251" w:lineRule="auto"/>
        <w:rPr>
          <w:sz w:val="20"/>
          <w:szCs w:val="20"/>
          <w:color w:val="auto"/>
        </w:rPr>
      </w:pPr>
      <w:r>
        <w:rPr>
          <w:rFonts w:ascii="Courier New" w:cs="Courier New" w:eastAsia="Courier New" w:hAnsi="Courier New"/>
          <w:sz w:val="15"/>
          <w:szCs w:val="15"/>
          <w:color w:val="auto"/>
        </w:rPr>
        <w:t>The unusual and nonrecurring charge in the second quarter and first six months of fiscal 1995 is attributable to the recording of a $750,000 reserve to cover settlement costs, legal fees and expenses which may be incurred by the Company in connection with its defense of a lawsuit filed against the Company. The lawsuit alleges that the plaintiff sustained damages resulting from a fire at an office/warehouse facility used by The Lynde Company, a wholly owned subsidiary of the Company. The actual legal fees and expenses, and liability or settlement costs, if any, which may be incurred by the Company throughout the life of the lawsuit are highly dependent on a variety of technical legal issues. For further discussion of the lawsuit, please see Part II, Item 1 of this Form 10-Q. The Company's operations were not materially impacted by the event as operations were able to be relocated to other facilities. Additionally, insurance will cover most of the loss sustained to the building and inventory.</w:t>
      </w:r>
    </w:p>
    <w:p>
      <w:pPr>
        <w:spacing w:after="0" w:line="92"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Interest income increased $97,952 in the second quarter of fiscal 1995 as compared to the same quarter one year ago and $165,950 for the first six months of this fiscal year as compared to the same period one year ago. These increases are due to an increase in the amount of cash available for investments and to a higher rate of return earned on cash equivalents and investments. Interest expense decreased slightly due mainly to the settlement of an income tax audit in the prior year.</w:t>
      </w:r>
    </w:p>
    <w:p>
      <w:pPr>
        <w:spacing w:after="0" w:line="78"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Income from operations before income taxes decreased $431,052 (25.3%) in the second quarter and $336,384 (10.0%) for the first six months of fiscal 1995 when compared to fiscal 1994. These decreases are primarily attributable to the $750,000 accrual mentioned above. The decreases were offset in part by an increase in gross margin dollars associated with increased revenues.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4"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In March 1995, the Company adopted a formal plan to discontinue operations of Tessman Seed, which sold a wide range of horticulture and pest control products. Effective March 1, 1995, the Company sold the inventory, equipment and operations of Tessman. As a result of the purchase transaction the</w:t>
      </w:r>
    </w:p>
    <w:p>
      <w:pPr>
        <w:spacing w:after="0" w:line="23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07" w:right="1440" w:bottom="1440" w:gutter="0" w:footer="0" w:header="0"/>
        </w:sectPr>
      </w:pPr>
    </w:p>
    <w:bookmarkStart w:id="8" w:name="page9"/>
    <w:bookmarkEnd w:id="8"/>
    <w:p>
      <w:pPr>
        <w:ind w:right="3259"/>
        <w:spacing w:after="0" w:line="301" w:lineRule="auto"/>
        <w:rPr>
          <w:sz w:val="20"/>
          <w:szCs w:val="20"/>
          <w:color w:val="auto"/>
        </w:rPr>
      </w:pPr>
      <w:r>
        <w:rPr>
          <w:rFonts w:ascii="Courier New" w:cs="Courier New" w:eastAsia="Courier New" w:hAnsi="Courier New"/>
          <w:sz w:val="15"/>
          <w:szCs w:val="15"/>
          <w:color w:val="auto"/>
        </w:rPr>
        <w:t>Company recorded a loss on the disposal in the second quarter of $321,266, net of taxes totaling $214,200, to write-down Tessman's assets to the amount realized.</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for Tessman for the quarters ended March 31, 1995 and 1994 were</w:t>
      </w:r>
    </w:p>
    <w:p>
      <w:pPr>
        <w:spacing w:after="0" w:line="3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$507,000 and $1,214,000, respectively, and for the six months ended March 31, 1995 and 1994 were $931,000 and $1,919,000, respectively. The income/(loss) for Tessman for the quarters and six months ending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1995 and 1994 were less than $.01 per share.</w:t>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six month period ended March 31, 1995 cash flows from operations were</w:t>
      </w:r>
    </w:p>
    <w:p>
      <w:pPr>
        <w:spacing w:after="0" w:line="30"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$2,680,828, which is $1,001,090 higher than net income primarily due to non-cash charges incurred for the loss on the sale of Tessman and the unusual and nonrecurring charge relating to the Lynde lawsuit.</w:t>
      </w:r>
    </w:p>
    <w:p>
      <w:pPr>
        <w:spacing w:after="0" w:line="63" w:lineRule="exact"/>
        <w:rPr>
          <w:sz w:val="20"/>
          <w:szCs w:val="20"/>
          <w:color w:val="auto"/>
        </w:rPr>
      </w:pPr>
    </w:p>
    <w:p>
      <w:pPr>
        <w:ind w:right="3439"/>
        <w:spacing w:after="0" w:line="301" w:lineRule="auto"/>
        <w:rPr>
          <w:sz w:val="20"/>
          <w:szCs w:val="20"/>
          <w:color w:val="auto"/>
        </w:rPr>
      </w:pPr>
      <w:r>
        <w:rPr>
          <w:rFonts w:ascii="Courier New" w:cs="Courier New" w:eastAsia="Courier New" w:hAnsi="Courier New"/>
          <w:sz w:val="15"/>
          <w:szCs w:val="15"/>
          <w:color w:val="auto"/>
        </w:rPr>
        <w:t>During the six months ended March 31, 1995, the Company purchased additional equipment and made improvements to the existing facilities for cash of $1,358,945, and purchased $187,524 of investments.</w:t>
      </w:r>
    </w:p>
    <w:p>
      <w:pPr>
        <w:spacing w:after="0" w:line="49"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The inventory, equipment and operations of Tessman were sold for $1,144,714. At closing Hawkins received $100,000 and a note receivable for the balance. The note receivable is due over the next five years plus interest at 8%.</w:t>
      </w:r>
    </w:p>
    <w:p>
      <w:pPr>
        <w:spacing w:after="0" w:line="49"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The cash flows from operations, coupled with the Company's strong cash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the Company in a position to issue either debt or equity securities on favorable terms.</w:t>
      </w:r>
    </w:p>
    <w:p>
      <w:pPr>
        <w:spacing w:after="0" w:line="81"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consist of short-term certificates of deposit and investments consist of low-risk investment contracts with highly rated, stable insurance companies, and marketable securities consisting of investment grade municipal securities, all of which are carried at cost which approximates fair value. All cash equivalents and investments are highly liquid and are available upon demand.</w:t>
      </w:r>
    </w:p>
    <w:p>
      <w:pPr>
        <w:spacing w:after="0" w:line="86" w:lineRule="exact"/>
        <w:rPr>
          <w:sz w:val="20"/>
          <w:szCs w:val="20"/>
          <w:color w:val="auto"/>
        </w:rPr>
      </w:pPr>
    </w:p>
    <w:p>
      <w:pPr>
        <w:ind w:right="3079"/>
        <w:spacing w:after="0" w:line="307" w:lineRule="auto"/>
        <w:rPr>
          <w:sz w:val="20"/>
          <w:szCs w:val="20"/>
          <w:color w:val="auto"/>
        </w:rPr>
      </w:pPr>
      <w:r>
        <w:rPr>
          <w:rFonts w:ascii="Courier New" w:cs="Courier New" w:eastAsia="Courier New" w:hAnsi="Courier New"/>
          <w:sz w:val="14"/>
          <w:szCs w:val="14"/>
          <w:color w:val="auto"/>
        </w:rPr>
        <w:t>Other than as discussed above, management is not aware of any matters that have materially affected the first six months of fiscal 1995, but are not expected to materially affect future periods, nor is management aware of other matters not affecting this period that are expected to materially affect future periods.</w:t>
      </w:r>
    </w:p>
    <w:p>
      <w:pPr>
        <w:spacing w:after="0" w:line="22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07" w:right="1440" w:bottom="1440" w:gutter="0" w:footer="0" w:header="0"/>
        </w:sectPr>
      </w:pPr>
    </w:p>
    <w:bookmarkStart w:id="9" w:name="page10"/>
    <w:bookmarkEnd w:id="9"/>
    <w:p>
      <w:pPr>
        <w:ind w:left="2400"/>
        <w:spacing w:after="0"/>
        <w:tabs>
          <w:tab w:leader="none" w:pos="328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4" w:lineRule="exact"/>
        <w:rPr>
          <w:sz w:val="20"/>
          <w:szCs w:val="20"/>
          <w:color w:val="auto"/>
        </w:rPr>
      </w:pPr>
    </w:p>
    <w:p>
      <w:pPr>
        <w:ind w:right="3079"/>
        <w:spacing w:after="0" w:line="257" w:lineRule="auto"/>
        <w:rPr>
          <w:sz w:val="20"/>
          <w:szCs w:val="20"/>
          <w:color w:val="auto"/>
        </w:rPr>
      </w:pPr>
      <w:r>
        <w:rPr>
          <w:rFonts w:ascii="Courier New" w:cs="Courier New" w:eastAsia="Courier New" w:hAnsi="Courier New"/>
          <w:sz w:val="15"/>
          <w:szCs w:val="15"/>
          <w:color w:val="auto"/>
        </w:rPr>
        <w:t>On March 1, 1995, the Company and its subsidiary The Lynde Company were named as defendants in DONNA M. COOKSEY.ET AL. V. HAWKINS CHEMICAL, INC. AND THE LYNDE COMPANY. This proceeding is currently pending in state district court in Hennepin County, Minnesota. The plaintiff is seeking damages for personal injury, property damage and other damages alleged to have been caused by the alleged release of certain pollutants as a result of a fire at an office/warehouse facility used by The Lynde Company. The plaintiff is also seeking to have the lawsuit certified as a class action. The Company has denied liability and intends to vigorously defend itself in this matter.</w:t>
      </w:r>
    </w:p>
    <w:p>
      <w:pPr>
        <w:spacing w:after="0" w:line="83" w:lineRule="exact"/>
        <w:rPr>
          <w:sz w:val="20"/>
          <w:szCs w:val="20"/>
          <w:color w:val="auto"/>
        </w:rPr>
      </w:pPr>
    </w:p>
    <w:p>
      <w:pPr>
        <w:ind w:right="3079"/>
        <w:spacing w:after="0" w:line="247" w:lineRule="auto"/>
        <w:rPr>
          <w:sz w:val="20"/>
          <w:szCs w:val="20"/>
          <w:color w:val="auto"/>
        </w:rPr>
      </w:pPr>
      <w:r>
        <w:rPr>
          <w:rFonts w:ascii="Courier New" w:cs="Courier New" w:eastAsia="Courier New" w:hAnsi="Courier New"/>
          <w:sz w:val="15"/>
          <w:szCs w:val="15"/>
          <w:color w:val="auto"/>
        </w:rPr>
        <w:t>The Company's insurer has denied a tender of the defense of the lawsuit and has denied any obligation to indemnify the Company for damages claimed by third parties in connection with the fire. This denial is based on a "Total Pollution Exclusion" which purports to exclude coverage for bodily injury and other losses caused by a release of pollutants. Because the insurer has denied tender of the defense of this action, the Company will incur significant legal fees and expenses in fiscal 1995 and future periods. The actual legal fees and expenses, and liability or settlement costs, if any, which may be incurred</w:t>
      </w:r>
    </w:p>
    <w:p>
      <w:pPr>
        <w:spacing w:after="0" w:line="5"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5"/>
          <w:szCs w:val="15"/>
          <w:color w:val="auto"/>
        </w:rPr>
        <w:t>by The Company throughout the life of the lawsuit are highly dependent on a variety of technical legal issues. The Company, based in part on discussions with legal counsel, has determined, however, to reserve $750,000 to cover its exposure for these costs and its potential liability. The Company reasonably believes, based on facts currently available, that this reserve will be sufficient to cover the Company's probable exposure for legal costs and liability in connection with the lawsuit.</w:t>
      </w:r>
    </w:p>
    <w:p>
      <w:pPr>
        <w:spacing w:after="0" w:line="25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 to a vote of Security Holders.</w:t>
      </w:r>
    </w:p>
    <w:p>
      <w:pPr>
        <w:spacing w:after="0" w:line="174" w:lineRule="exact"/>
        <w:rPr>
          <w:sz w:val="20"/>
          <w:szCs w:val="20"/>
          <w:color w:val="auto"/>
        </w:rPr>
      </w:pPr>
    </w:p>
    <w:p>
      <w:pPr>
        <w:ind w:left="800" w:right="3599" w:hanging="361"/>
        <w:spacing w:after="0" w:line="359"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meeting of the shareholders of the Company was held on February 15, 1995.</w:t>
      </w:r>
    </w:p>
    <w:p>
      <w:pPr>
        <w:spacing w:after="0" w:line="8" w:lineRule="exact"/>
        <w:rPr>
          <w:sz w:val="20"/>
          <w:szCs w:val="20"/>
          <w:color w:val="auto"/>
        </w:rPr>
      </w:pPr>
    </w:p>
    <w:p>
      <w:pPr>
        <w:ind w:left="800" w:right="3599" w:hanging="361"/>
        <w:spacing w:after="0" w:line="422"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tabulation of the results of votes cast on the matters noted upon at the annual meeting of the shareholders: Election of Directors:</w:t>
      </w:r>
    </w:p>
    <w:p>
      <w:pPr>
        <w:spacing w:after="0" w:line="136"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2180" w:type="dxa"/>
            <w:vAlign w:val="bottom"/>
          </w:tcPr>
          <w:p>
            <w:pPr>
              <w:spacing w:after="0"/>
              <w:rPr>
                <w:sz w:val="14"/>
                <w:szCs w:val="14"/>
                <w:color w:val="auto"/>
              </w:rPr>
            </w:pPr>
          </w:p>
        </w:tc>
        <w:tc>
          <w:tcPr>
            <w:tcW w:w="1400" w:type="dxa"/>
            <w:vAlign w:val="bottom"/>
            <w:vMerge w:val="restart"/>
          </w:tcPr>
          <w:p>
            <w:pPr>
              <w:ind w:left="760"/>
              <w:spacing w:after="0"/>
              <w:rPr>
                <w:sz w:val="20"/>
                <w:szCs w:val="20"/>
                <w:color w:val="auto"/>
              </w:rPr>
            </w:pPr>
            <w:r>
              <w:rPr>
                <w:rFonts w:ascii="Courier New" w:cs="Courier New" w:eastAsia="Courier New" w:hAnsi="Courier New"/>
                <w:sz w:val="15"/>
                <w:szCs w:val="15"/>
                <w:color w:val="auto"/>
              </w:rPr>
              <w:t>For</w:t>
            </w:r>
          </w:p>
        </w:tc>
        <w:tc>
          <w:tcPr>
            <w:tcW w:w="9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Against</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Broker</w:t>
            </w:r>
          </w:p>
        </w:tc>
        <w:tc>
          <w:tcPr>
            <w:tcW w:w="0" w:type="dxa"/>
            <w:vAlign w:val="bottom"/>
          </w:tcPr>
          <w:p>
            <w:pPr>
              <w:spacing w:after="0"/>
              <w:rPr>
                <w:sz w:val="1"/>
                <w:szCs w:val="1"/>
                <w:color w:val="auto"/>
              </w:rPr>
            </w:pPr>
          </w:p>
        </w:tc>
      </w:tr>
      <w:tr>
        <w:trPr>
          <w:trHeight w:val="172"/>
        </w:trPr>
        <w:tc>
          <w:tcPr>
            <w:tcW w:w="21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64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99"/>
              </w:rPr>
              <w:t>Withheld  Abstain  Non-Votes</w:t>
            </w:r>
          </w:p>
        </w:tc>
        <w:tc>
          <w:tcPr>
            <w:tcW w:w="0" w:type="dxa"/>
            <w:vAlign w:val="bottom"/>
          </w:tcPr>
          <w:p>
            <w:pPr>
              <w:spacing w:after="0"/>
              <w:rPr>
                <w:sz w:val="1"/>
                <w:szCs w:val="1"/>
                <w:color w:val="auto"/>
              </w:rPr>
            </w:pPr>
          </w:p>
        </w:tc>
      </w:tr>
      <w:tr>
        <w:trPr>
          <w:trHeight w:val="252"/>
        </w:trPr>
        <w:tc>
          <w:tcPr>
            <w:tcW w:w="2180" w:type="dxa"/>
            <w:vAlign w:val="bottom"/>
          </w:tcPr>
          <w:p>
            <w:pPr>
              <w:spacing w:after="0"/>
              <w:rPr>
                <w:sz w:val="21"/>
                <w:szCs w:val="21"/>
                <w:color w:val="auto"/>
              </w:rPr>
            </w:pP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0"/>
                <w:szCs w:val="20"/>
                <w:color w:val="auto"/>
              </w:rPr>
            </w:pPr>
            <w:r>
              <w:rPr>
                <w:rFonts w:ascii="Courier New" w:cs="Courier New" w:eastAsia="Courier New" w:hAnsi="Courier New"/>
                <w:sz w:val="15"/>
                <w:szCs w:val="15"/>
                <w:color w:val="auto"/>
              </w:rPr>
              <w:t>Howard J. Hawkins</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7,919,870</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51,787</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88"/>
              </w:rPr>
              <w:t>0</w:t>
            </w: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Dean L. Hahn</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7,919,870</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51,787</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88"/>
              </w:rPr>
              <w:t>0</w:t>
            </w: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Carl J. Ahlgren</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7,898,834</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72,823</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88"/>
              </w:rPr>
              <w:t>0</w:t>
            </w: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Howard M. Hawkins</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7,666,708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304,949</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88"/>
              </w:rPr>
              <w:t>0</w:t>
            </w: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Norman P. Anderson</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7,919,870</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51,787</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88"/>
              </w:rPr>
              <w:t>0</w:t>
            </w: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Donald L. Shipp</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7,645,672</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325,985</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88"/>
              </w:rPr>
              <w:t>0</w:t>
            </w: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C. Charles Jackson, Jr.</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7,898,834</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72,823</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88"/>
              </w:rPr>
              <w:t>0</w:t>
            </w: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John S. McKeon</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7,919,870</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51,787</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88"/>
              </w:rPr>
              <w:t>0</w:t>
            </w: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John R. Hawkins</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7,919,540</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52,117</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88"/>
              </w:rPr>
              <w:t>0</w:t>
            </w: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2"/>
        </w:trPr>
        <w:tc>
          <w:tcPr>
            <w:tcW w:w="2180" w:type="dxa"/>
            <w:vAlign w:val="bottom"/>
          </w:tcPr>
          <w:p>
            <w:pPr>
              <w:spacing w:after="0"/>
              <w:rPr>
                <w:sz w:val="20"/>
                <w:szCs w:val="20"/>
                <w:color w:val="auto"/>
              </w:rPr>
            </w:pPr>
            <w:r>
              <w:rPr>
                <w:rFonts w:ascii="Courier New" w:cs="Courier New" w:eastAsia="Courier New" w:hAnsi="Courier New"/>
                <w:sz w:val="15"/>
                <w:szCs w:val="15"/>
                <w:color w:val="auto"/>
              </w:rPr>
              <w:t>S. Albert Diez Hanser</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7,904,901</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66,756</w:t>
            </w:r>
          </w:p>
        </w:tc>
        <w:tc>
          <w:tcPr>
            <w:tcW w:w="9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88"/>
              </w:rPr>
              <w:t>0</w:t>
            </w:r>
          </w:p>
        </w:tc>
        <w:tc>
          <w:tcPr>
            <w:tcW w:w="900" w:type="dxa"/>
            <w:vAlign w:val="bottom"/>
          </w:tcPr>
          <w:p>
            <w:pPr>
              <w:jc w:val="center"/>
              <w:ind w:left="5"/>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688"/>
        </w:trPr>
        <w:tc>
          <w:tcPr>
            <w:tcW w:w="53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Approval of Deloitte &amp; Touche as Independent Auditors:</w:t>
            </w:r>
          </w:p>
        </w:tc>
        <w:tc>
          <w:tcPr>
            <w:tcW w:w="900" w:type="dxa"/>
            <w:vAlign w:val="bottom"/>
            <w:vMerge w:val="restart"/>
          </w:tcPr>
          <w:p>
            <w:pPr>
              <w:spacing w:after="0"/>
              <w:rPr>
                <w:sz w:val="20"/>
                <w:szCs w:val="20"/>
                <w:color w:val="auto"/>
              </w:rPr>
            </w:pPr>
            <w:r>
              <w:rPr>
                <w:rFonts w:ascii="Courier New" w:cs="Courier New" w:eastAsia="Courier New" w:hAnsi="Courier New"/>
                <w:sz w:val="15"/>
                <w:szCs w:val="15"/>
                <w:color w:val="auto"/>
              </w:rPr>
              <w:t>Broker</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180" w:type="dxa"/>
            <w:vAlign w:val="bottom"/>
            <w:vMerge w:val="restart"/>
          </w:tcPr>
          <w:p>
            <w:pPr>
              <w:ind w:left="1080"/>
              <w:spacing w:after="0"/>
              <w:rPr>
                <w:sz w:val="20"/>
                <w:szCs w:val="20"/>
                <w:color w:val="auto"/>
              </w:rPr>
            </w:pPr>
            <w:r>
              <w:rPr>
                <w:rFonts w:ascii="Courier New" w:cs="Courier New" w:eastAsia="Courier New" w:hAnsi="Courier New"/>
                <w:sz w:val="15"/>
                <w:szCs w:val="15"/>
                <w:color w:val="auto"/>
              </w:rPr>
              <w:t>For</w:t>
            </w:r>
          </w:p>
        </w:tc>
        <w:tc>
          <w:tcPr>
            <w:tcW w:w="14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Against</w:t>
            </w:r>
          </w:p>
        </w:tc>
        <w:tc>
          <w:tcPr>
            <w:tcW w:w="9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Abstain</w:t>
            </w:r>
          </w:p>
        </w:tc>
        <w:tc>
          <w:tcPr>
            <w:tcW w:w="8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1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74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Non-Votes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7,474,375</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419,313</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77,969</w:t>
            </w:r>
          </w:p>
        </w:tc>
        <w:tc>
          <w:tcPr>
            <w:tcW w:w="840" w:type="dxa"/>
            <w:vAlign w:val="bottom"/>
          </w:tcPr>
          <w:p>
            <w:pPr>
              <w:spacing w:after="0"/>
              <w:rPr>
                <w:sz w:val="21"/>
                <w:szCs w:val="21"/>
                <w:color w:val="auto"/>
              </w:rPr>
            </w:pPr>
          </w:p>
        </w:tc>
        <w:tc>
          <w:tcPr>
            <w:tcW w:w="9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6"/>
        </w:trPr>
        <w:tc>
          <w:tcPr>
            <w:tcW w:w="2180" w:type="dxa"/>
            <w:vAlign w:val="bottom"/>
          </w:tcPr>
          <w:p>
            <w:pPr>
              <w:spacing w:after="0"/>
              <w:rPr>
                <w:sz w:val="24"/>
                <w:szCs w:val="24"/>
                <w:color w:val="auto"/>
              </w:rPr>
            </w:pP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10</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07" w:right="1440" w:bottom="1440" w:gutter="0" w:footer="0" w:header="0"/>
        </w:sectPr>
      </w:pPr>
    </w:p>
    <w:bookmarkStart w:id="10" w:name="page11"/>
    <w:bookmarkEnd w:id="10"/>
    <w:p>
      <w:pPr>
        <w:ind w:left="8"/>
        <w:spacing w:after="0"/>
        <w:tabs>
          <w:tab w:leader="none" w:pos="788"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4" w:lineRule="exact"/>
        <w:rPr>
          <w:sz w:val="20"/>
          <w:szCs w:val="20"/>
          <w:color w:val="auto"/>
        </w:rPr>
      </w:pPr>
    </w:p>
    <w:p>
      <w:pPr>
        <w:ind w:left="448" w:hanging="448"/>
        <w:spacing w:after="0"/>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30" w:lineRule="exact"/>
        <w:rPr>
          <w:rFonts w:ascii="Courier New" w:cs="Courier New" w:eastAsia="Courier New" w:hAnsi="Courier New"/>
          <w:sz w:val="15"/>
          <w:szCs w:val="15"/>
          <w:color w:val="auto"/>
        </w:rPr>
      </w:pPr>
    </w:p>
    <w:p>
      <w:pPr>
        <w:ind w:left="448" w:right="3079"/>
        <w:spacing w:after="0" w:line="3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exhibits are included with this Quarterly Report on Form 10-Q (or incorporated by reference) as required by Item 601 of Regulation S-K.</w:t>
      </w:r>
    </w:p>
    <w:p>
      <w:pPr>
        <w:sectPr>
          <w:pgSz w:w="11900" w:h="16838" w:orient="portrait"/>
          <w:cols w:equalWidth="0" w:num="1">
            <w:col w:w="10227"/>
          </w:cols>
          <w:pgMar w:left="232" w:top="607" w:right="1440" w:bottom="1440" w:gutter="0" w:footer="0" w:header="0"/>
        </w:sectPr>
      </w:pP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Exhibit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Description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No.</w:t>
      </w:r>
    </w:p>
    <w:p>
      <w:pPr>
        <w:spacing w:after="0" w:line="93" w:lineRule="exact"/>
        <w:rPr>
          <w:sz w:val="20"/>
          <w:szCs w:val="20"/>
          <w:color w:val="auto"/>
        </w:rPr>
      </w:pPr>
    </w:p>
    <w:p>
      <w:pPr>
        <w:sectPr>
          <w:pgSz w:w="11900" w:h="16838" w:orient="portrait"/>
          <w:cols w:equalWidth="0" w:num="3">
            <w:col w:w="1508" w:space="720"/>
            <w:col w:w="1980" w:space="720"/>
            <w:col w:w="5299"/>
          </w:cols>
          <w:pgMar w:left="232" w:top="607"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5" w:lineRule="exact"/>
        <w:rPr>
          <w:sz w:val="20"/>
          <w:szCs w:val="20"/>
          <w:color w:val="auto"/>
        </w:rPr>
      </w:pPr>
    </w:p>
    <w:p>
      <w:pPr>
        <w:sectPr>
          <w:pgSz w:w="11900" w:h="16838" w:orient="portrait"/>
          <w:cols w:equalWidth="0" w:num="3">
            <w:col w:w="1968" w:space="720"/>
            <w:col w:w="2400" w:space="720"/>
            <w:col w:w="4419"/>
          </w:cols>
          <w:pgMar w:left="232" w:top="607"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ectPr>
          <w:pgSz w:w="11900" w:h="16838" w:orient="portrait"/>
          <w:cols w:equalWidth="0" w:num="3">
            <w:col w:w="1068" w:space="720"/>
            <w:col w:w="2760" w:space="720"/>
            <w:col w:w="4959"/>
          </w:cols>
          <w:pgMar w:left="232" w:top="607" w:right="1440" w:bottom="1440" w:gutter="0" w:footer="0" w:header="0"/>
          <w:type w:val="continuous"/>
        </w:sectPr>
      </w:pPr>
    </w:p>
    <w:p>
      <w:pPr>
        <w:spacing w:after="0" w:line="146" w:lineRule="exact"/>
        <w:rPr>
          <w:sz w:val="20"/>
          <w:szCs w:val="20"/>
          <w:color w:val="auto"/>
        </w:rPr>
      </w:pPr>
    </w:p>
    <w:p>
      <w:pPr>
        <w:ind w:left="448" w:hanging="448"/>
        <w:spacing w:after="0"/>
        <w:tabs>
          <w:tab w:leader="none" w:pos="4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ind w:left="448" w:right="3439"/>
        <w:spacing w:after="0" w:line="30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current report on Form 8-K was filed on April 18, 1995, disclosing a press release regarding the litigation related to the fire at The Lynde Company's office/warehouse.</w:t>
      </w:r>
    </w:p>
    <w:p>
      <w:pPr>
        <w:spacing w:after="0" w:line="221"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SIGNATURE</w:t>
      </w:r>
    </w:p>
    <w:p>
      <w:pPr>
        <w:spacing w:after="0" w:line="174" w:lineRule="exact"/>
        <w:rPr>
          <w:sz w:val="20"/>
          <w:szCs w:val="20"/>
          <w:color w:val="auto"/>
        </w:rPr>
      </w:pPr>
    </w:p>
    <w:p>
      <w:pPr>
        <w:jc w:val="both"/>
        <w:ind w:left="8" w:right="3779"/>
        <w:spacing w:after="0" w:line="30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21"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HAWKINS CHEMICAL, INC.</w:t>
      </w:r>
    </w:p>
    <w:p>
      <w:pPr>
        <w:spacing w:after="0" w:line="34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BY_______________________________</w:t>
      </w:r>
    </w:p>
    <w:p>
      <w:pPr>
        <w:spacing w:after="0" w:line="30"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Howard M. Hawkins, Treasurer</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(Chief Financial and Accounting</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Officer)</w:t>
      </w:r>
    </w:p>
    <w:p>
      <w:pPr>
        <w:spacing w:after="0" w:line="146"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Dated:</w:t>
        <w:tab/>
        <w:t>May 12, 1995</w:t>
      </w:r>
    </w:p>
    <w:p>
      <w:pPr>
        <w:sectPr>
          <w:pgSz w:w="11900" w:h="16838" w:orient="portrait"/>
          <w:cols w:equalWidth="0" w:num="1">
            <w:col w:w="10227"/>
          </w:cols>
          <w:pgMar w:left="232" w:top="607" w:right="1440" w:bottom="1440" w:gutter="0" w:footer="0" w:header="0"/>
          <w:type w:val="continuous"/>
        </w:sectPr>
      </w:pPr>
    </w:p>
    <w:bookmarkStart w:id="11" w:name="page12"/>
    <w:bookmarkEnd w:id="11"/>
    <w:p>
      <w:pPr>
        <w:spacing w:after="0"/>
        <w:tabs>
          <w:tab w:leader="none" w:pos="688" w:val="left"/>
        </w:tabs>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ind w:left="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499"/>
        <w:spacing w:after="0" w:line="401" w:lineRule="auto"/>
        <w:rPr>
          <w:sz w:val="20"/>
          <w:szCs w:val="20"/>
          <w:color w:val="auto"/>
        </w:rPr>
      </w:pPr>
      <w:r>
        <w:rPr>
          <w:rFonts w:ascii="Courier New" w:cs="Courier New" w:eastAsia="Courier New" w:hAnsi="Courier New"/>
          <w:sz w:val="14"/>
          <w:szCs w:val="14"/>
          <w:color w:val="auto"/>
        </w:rPr>
        <w:t>THIS SCHEDULE CONTAINS SUMMARY FINANCIAL INFORMATION EXTRACTED FROM 10-Q AND IS QUALIFIED IN ITS ENTIRETY BY REFERENCE TO SUCH FINANCIAL STATEMENTS.</w:t>
      </w:r>
    </w:p>
    <w:p>
      <w:pPr>
        <w:spacing w:after="0" w:line="33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6-MOS</w:t>
      </w:r>
    </w:p>
    <w:p>
      <w:pPr>
        <w:spacing w:after="0" w:line="30"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OCT-01-1995</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OCT-03-1994</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MAR-31-1995</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8,080,781</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6,764,267</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9,985,828</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7,582,249</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34,865,008</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10,320,502</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48,683,103</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12,705,870</w:t>
      </w:r>
    </w:p>
    <w:p>
      <w:pPr>
        <w:spacing w:after="0" w:line="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526,289</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34,489,183</w:t>
      </w:r>
    </w:p>
    <w:p>
      <w:pPr>
        <w:spacing w:after="0" w:line="2"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48,683,103</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35,397,118</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35,397,118</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27,785,095</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32,366,172</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27,489</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3,460,809</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1,389,900</w:t>
      </w:r>
    </w:p>
    <w:p>
      <w:pPr>
        <w:spacing w:after="0" w:line="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2,070,909</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391,171</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1,679,738</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.16</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99"/>
      </w:cols>
      <w:pgMar w:left="26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decimal"/>
      <w:start w:val="115"/>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decimal"/>
      <w:start w:val="6"/>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2019-12-13T01:40:13Z</dcterms:created>
  <dcterms:modified xsi:type="dcterms:W3CDTF">2019-12-13T01:40:13Z</dcterms:modified>
</cp:coreProperties>
</file>