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 SECURITIES AND EXCHANGE COMMISSION</w:t>
      </w:r>
    </w:p>
    <w:p>
      <w:pPr>
        <w:spacing w:after="0" w:line="29" w:lineRule="exact"/>
        <w:rPr>
          <w:sz w:val="24"/>
          <w:szCs w:val="24"/>
          <w:color w:val="auto"/>
        </w:rPr>
      </w:pPr>
    </w:p>
    <w:p>
      <w:pPr>
        <w:jc w:val="center"/>
        <w:ind w:right="-63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63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63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63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91" w:lineRule="exact"/>
        <w:rPr>
          <w:sz w:val="24"/>
          <w:szCs w:val="24"/>
          <w:color w:val="auto"/>
        </w:rPr>
      </w:pPr>
    </w:p>
    <w:p>
      <w:pPr>
        <w:jc w:val="center"/>
        <w:ind w:right="-639"/>
        <w:spacing w:after="0"/>
        <w:rPr>
          <w:sz w:val="20"/>
          <w:szCs w:val="20"/>
          <w:color w:val="auto"/>
        </w:rPr>
      </w:pPr>
      <w:r>
        <w:rPr>
          <w:rFonts w:ascii="Arial" w:cs="Arial" w:eastAsia="Arial" w:hAnsi="Arial"/>
          <w:sz w:val="18"/>
          <w:szCs w:val="18"/>
          <w:b w:val="1"/>
          <w:bCs w:val="1"/>
          <w:color w:val="auto"/>
        </w:rPr>
        <w:t>Date of Report (Date of earliest event reported) May 6, 2011</w:t>
      </w:r>
    </w:p>
    <w:p>
      <w:pPr>
        <w:spacing w:after="0" w:line="200" w:lineRule="exact"/>
        <w:rPr>
          <w:sz w:val="24"/>
          <w:szCs w:val="24"/>
          <w:color w:val="auto"/>
        </w:rPr>
      </w:pPr>
    </w:p>
    <w:p>
      <w:pPr>
        <w:jc w:val="center"/>
        <w:ind w:right="-639"/>
        <w:spacing w:after="0"/>
        <w:rPr>
          <w:sz w:val="20"/>
          <w:szCs w:val="20"/>
          <w:color w:val="auto"/>
        </w:rPr>
      </w:pPr>
      <w:r>
        <w:rPr>
          <w:rFonts w:ascii="Arial" w:cs="Arial" w:eastAsia="Arial" w:hAnsi="Arial"/>
          <w:sz w:val="43"/>
          <w:szCs w:val="43"/>
          <w:b w:val="1"/>
          <w:bCs w:val="1"/>
          <w:color w:val="auto"/>
        </w:rPr>
        <w:t>Hawkins, Inc.</w:t>
      </w:r>
    </w:p>
    <w:p>
      <w:pPr>
        <w:spacing w:after="0" w:line="50" w:lineRule="exact"/>
        <w:rPr>
          <w:sz w:val="24"/>
          <w:szCs w:val="24"/>
          <w:color w:val="auto"/>
        </w:rPr>
      </w:pPr>
    </w:p>
    <w:p>
      <w:pPr>
        <w:ind w:left="3860"/>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0780"/>
          </w:cols>
          <w:pgMar w:left="240" w:top="522" w:right="879" w:bottom="1440" w:gutter="0" w:footer="0" w:header="0"/>
        </w:sectPr>
      </w:pPr>
    </w:p>
    <w:p>
      <w:pPr>
        <w:spacing w:after="0" w:line="205" w:lineRule="exact"/>
        <w:rPr>
          <w:sz w:val="24"/>
          <w:szCs w:val="24"/>
          <w:color w:val="auto"/>
        </w:rPr>
      </w:pPr>
    </w:p>
    <w:p>
      <w:pPr>
        <w:jc w:val="center"/>
        <w:ind w:right="560"/>
        <w:spacing w:after="0"/>
        <w:rPr>
          <w:sz w:val="20"/>
          <w:szCs w:val="20"/>
          <w:color w:val="auto"/>
        </w:rPr>
      </w:pPr>
      <w:r>
        <w:rPr>
          <w:rFonts w:ascii="Arial" w:cs="Arial" w:eastAsia="Arial" w:hAnsi="Arial"/>
          <w:sz w:val="18"/>
          <w:szCs w:val="18"/>
          <w:b w:val="1"/>
          <w:bCs w:val="1"/>
          <w:color w:val="auto"/>
        </w:rPr>
        <w:t>Minnesota</w:t>
      </w:r>
    </w:p>
    <w:p>
      <w:pPr>
        <w:spacing w:after="0" w:line="27" w:lineRule="exact"/>
        <w:rPr>
          <w:sz w:val="24"/>
          <w:szCs w:val="24"/>
          <w:color w:val="auto"/>
        </w:rPr>
      </w:pPr>
    </w:p>
    <w:p>
      <w:pPr>
        <w:jc w:val="center"/>
        <w:ind w:right="560"/>
        <w:spacing w:after="0"/>
        <w:rPr>
          <w:sz w:val="20"/>
          <w:szCs w:val="20"/>
          <w:color w:val="auto"/>
        </w:rPr>
      </w:pPr>
      <w:r>
        <w:rPr>
          <w:rFonts w:ascii="Arial" w:cs="Arial" w:eastAsia="Arial" w:hAnsi="Arial"/>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600"/>
        <w:spacing w:after="0"/>
        <w:rPr>
          <w:sz w:val="20"/>
          <w:szCs w:val="20"/>
          <w:color w:val="auto"/>
        </w:rPr>
      </w:pPr>
      <w:r>
        <w:rPr>
          <w:rFonts w:ascii="Arial" w:cs="Arial" w:eastAsia="Arial" w:hAnsi="Arial"/>
          <w:sz w:val="18"/>
          <w:szCs w:val="18"/>
          <w:b w:val="1"/>
          <w:bCs w:val="1"/>
          <w:color w:val="auto"/>
        </w:rPr>
        <w:t>0-7647</w:t>
      </w:r>
    </w:p>
    <w:p>
      <w:pPr>
        <w:spacing w:after="0" w:line="27" w:lineRule="exact"/>
        <w:rPr>
          <w:sz w:val="24"/>
          <w:szCs w:val="24"/>
          <w:color w:val="auto"/>
        </w:rPr>
      </w:pPr>
    </w:p>
    <w:p>
      <w:pPr>
        <w:jc w:val="center"/>
        <w:ind w:right="160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400"/>
        <w:spacing w:after="0"/>
        <w:rPr>
          <w:sz w:val="20"/>
          <w:szCs w:val="20"/>
          <w:color w:val="auto"/>
        </w:rPr>
      </w:pPr>
      <w:r>
        <w:rPr>
          <w:rFonts w:ascii="Arial" w:cs="Arial" w:eastAsia="Arial" w:hAnsi="Arial"/>
          <w:sz w:val="18"/>
          <w:szCs w:val="18"/>
          <w:b w:val="1"/>
          <w:bCs w:val="1"/>
          <w:color w:val="auto"/>
        </w:rPr>
        <w:t>41-0771293</w:t>
      </w:r>
    </w:p>
    <w:p>
      <w:pPr>
        <w:spacing w:after="0" w:line="27" w:lineRule="exact"/>
        <w:rPr>
          <w:sz w:val="24"/>
          <w:szCs w:val="24"/>
          <w:color w:val="auto"/>
        </w:rPr>
      </w:pPr>
    </w:p>
    <w:p>
      <w:pPr>
        <w:jc w:val="center"/>
        <w:ind w:right="40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400"/>
        <w:spacing w:after="0"/>
        <w:rPr>
          <w:sz w:val="20"/>
          <w:szCs w:val="20"/>
          <w:color w:val="auto"/>
        </w:rPr>
      </w:pPr>
      <w:r>
        <w:rPr>
          <w:rFonts w:ascii="Arial" w:cs="Arial" w:eastAsia="Arial" w:hAnsi="Arial"/>
          <w:sz w:val="17"/>
          <w:szCs w:val="17"/>
          <w:color w:val="auto"/>
        </w:rPr>
        <w:t>Identification No.)</w:t>
      </w:r>
    </w:p>
    <w:p>
      <w:pPr>
        <w:spacing w:after="0" w:line="200" w:lineRule="exact"/>
        <w:rPr>
          <w:sz w:val="24"/>
          <w:szCs w:val="24"/>
          <w:color w:val="auto"/>
        </w:rPr>
      </w:pPr>
    </w:p>
    <w:p>
      <w:pPr>
        <w:sectPr>
          <w:pgSz w:w="11900" w:h="16838" w:orient="portrait"/>
          <w:cols w:equalWidth="0" w:num="3">
            <w:col w:w="4020" w:space="720"/>
            <w:col w:w="3580" w:space="720"/>
            <w:col w:w="1740"/>
          </w:cols>
          <w:pgMar w:left="240" w:top="522" w:right="879" w:bottom="1440" w:gutter="0" w:footer="0" w:header="0"/>
          <w:type w:val="continuous"/>
        </w:sectPr>
      </w:pPr>
    </w:p>
    <w:p>
      <w:pPr>
        <w:spacing w:after="0" w:line="18" w:lineRule="exact"/>
        <w:rPr>
          <w:sz w:val="24"/>
          <w:szCs w:val="24"/>
          <w:color w:val="auto"/>
        </w:rPr>
      </w:pPr>
    </w:p>
    <w:p>
      <w:pPr>
        <w:jc w:val="center"/>
        <w:ind w:right="2200"/>
        <w:spacing w:after="0"/>
        <w:rPr>
          <w:sz w:val="20"/>
          <w:szCs w:val="20"/>
          <w:color w:val="auto"/>
        </w:rPr>
      </w:pPr>
      <w:r>
        <w:rPr>
          <w:rFonts w:ascii="Arial" w:cs="Arial" w:eastAsia="Arial" w:hAnsi="Arial"/>
          <w:sz w:val="18"/>
          <w:szCs w:val="18"/>
          <w:b w:val="1"/>
          <w:bCs w:val="1"/>
          <w:color w:val="auto"/>
        </w:rPr>
        <w:t>3100 East Hennepin Avenue</w:t>
      </w:r>
    </w:p>
    <w:p>
      <w:pPr>
        <w:spacing w:after="0" w:line="27" w:lineRule="exact"/>
        <w:rPr>
          <w:sz w:val="24"/>
          <w:szCs w:val="24"/>
          <w:color w:val="auto"/>
        </w:rPr>
      </w:pPr>
    </w:p>
    <w:p>
      <w:pPr>
        <w:jc w:val="center"/>
        <w:ind w:right="2160"/>
        <w:spacing w:after="0"/>
        <w:rPr>
          <w:sz w:val="20"/>
          <w:szCs w:val="20"/>
          <w:color w:val="auto"/>
        </w:rPr>
      </w:pPr>
      <w:r>
        <w:rPr>
          <w:rFonts w:ascii="Arial" w:cs="Arial" w:eastAsia="Arial" w:hAnsi="Arial"/>
          <w:sz w:val="18"/>
          <w:szCs w:val="18"/>
          <w:b w:val="1"/>
          <w:bCs w:val="1"/>
          <w:color w:val="auto"/>
        </w:rPr>
        <w:t>Minneapolis, MN</w:t>
      </w:r>
    </w:p>
    <w:p>
      <w:pPr>
        <w:spacing w:after="0" w:line="9" w:lineRule="exact"/>
        <w:rPr>
          <w:sz w:val="24"/>
          <w:szCs w:val="24"/>
          <w:color w:val="auto"/>
        </w:rPr>
      </w:pPr>
    </w:p>
    <w:p>
      <w:pPr>
        <w:jc w:val="center"/>
        <w:ind w:right="216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14" w:lineRule="exact"/>
        <w:rPr>
          <w:sz w:val="24"/>
          <w:szCs w:val="24"/>
          <w:color w:val="auto"/>
        </w:rPr>
      </w:pPr>
    </w:p>
    <w:p>
      <w:pPr>
        <w:jc w:val="center"/>
        <w:ind w:right="1680"/>
        <w:spacing w:after="0"/>
        <w:rPr>
          <w:sz w:val="20"/>
          <w:szCs w:val="20"/>
          <w:color w:val="auto"/>
        </w:rPr>
      </w:pPr>
      <w:r>
        <w:rPr>
          <w:rFonts w:ascii="Arial" w:cs="Arial" w:eastAsia="Arial" w:hAnsi="Arial"/>
          <w:sz w:val="18"/>
          <w:szCs w:val="18"/>
          <w:b w:val="1"/>
          <w:bCs w:val="1"/>
          <w:color w:val="auto"/>
        </w:rPr>
        <w:t>55413</w:t>
      </w:r>
    </w:p>
    <w:p>
      <w:pPr>
        <w:spacing w:after="0" w:line="27" w:lineRule="exact"/>
        <w:rPr>
          <w:sz w:val="24"/>
          <w:szCs w:val="24"/>
          <w:color w:val="auto"/>
        </w:rPr>
      </w:pPr>
    </w:p>
    <w:p>
      <w:pPr>
        <w:jc w:val="center"/>
        <w:ind w:right="168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80" w:space="720"/>
            <w:col w:w="2480"/>
          </w:cols>
          <w:pgMar w:left="240" w:top="522" w:right="879" w:bottom="1440" w:gutter="0" w:footer="0" w:header="0"/>
          <w:type w:val="continuous"/>
        </w:sectPr>
      </w:pPr>
    </w:p>
    <w:p>
      <w:pPr>
        <w:spacing w:after="0" w:line="30" w:lineRule="exact"/>
        <w:rPr>
          <w:sz w:val="24"/>
          <w:szCs w:val="24"/>
          <w:color w:val="auto"/>
        </w:rPr>
      </w:pPr>
    </w:p>
    <w:p>
      <w:pPr>
        <w:ind w:left="3180"/>
        <w:spacing w:after="0"/>
        <w:rPr>
          <w:sz w:val="20"/>
          <w:szCs w:val="20"/>
          <w:color w:val="auto"/>
        </w:rPr>
      </w:pPr>
      <w:r>
        <w:rPr>
          <w:rFonts w:ascii="Arial" w:cs="Arial" w:eastAsia="Arial" w:hAnsi="Arial"/>
          <w:sz w:val="18"/>
          <w:szCs w:val="18"/>
          <w:color w:val="auto"/>
        </w:rPr>
        <w:t>Registrant’s Telephone Number, Including Area Code (</w:t>
      </w:r>
      <w:r>
        <w:rPr>
          <w:rFonts w:ascii="Arial" w:cs="Arial" w:eastAsia="Arial" w:hAnsi="Arial"/>
          <w:sz w:val="18"/>
          <w:szCs w:val="18"/>
          <w:b w:val="1"/>
          <w:bCs w:val="1"/>
          <w:color w:val="auto"/>
        </w:rPr>
        <w:t>612) 331-6910</w:t>
      </w:r>
    </w:p>
    <w:p>
      <w:pPr>
        <w:spacing w:after="0" w:line="121" w:lineRule="exact"/>
        <w:rPr>
          <w:sz w:val="24"/>
          <w:szCs w:val="24"/>
          <w:color w:val="auto"/>
        </w:rPr>
      </w:pPr>
    </w:p>
    <w:p>
      <w:pPr>
        <w:ind w:firstLine="225"/>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62" w:lineRule="exact"/>
        <w:rPr>
          <w:sz w:val="24"/>
          <w:szCs w:val="24"/>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80"/>
          </w:cols>
          <w:pgMar w:left="240" w:top="522" w:right="879" w:bottom="1440" w:gutter="0" w:footer="0" w:header="0"/>
          <w:type w:val="continuous"/>
        </w:sectPr>
      </w:pPr>
    </w:p>
    <w:bookmarkStart w:id="1" w:name="page2"/>
    <w:bookmarkEnd w:id="1"/>
    <w:p>
      <w:pPr>
        <w:ind w:left="480" w:right="100" w:hanging="472"/>
        <w:spacing w:after="0" w:line="282" w:lineRule="auto"/>
        <w:rPr>
          <w:sz w:val="20"/>
          <w:szCs w:val="20"/>
          <w:color w:val="auto"/>
        </w:rPr>
      </w:pPr>
      <w:r>
        <w:rPr>
          <w:rFonts w:ascii="Arial" w:cs="Arial" w:eastAsia="Arial" w:hAnsi="Arial"/>
          <w:sz w:val="18"/>
          <w:szCs w:val="18"/>
          <w:b w:val="1"/>
          <w:bCs w:val="1"/>
          <w:color w:val="auto"/>
        </w:rPr>
        <w:t>5.02. Departure of Directors or Certain Officers; Election of Directors; Appointment of Certain Officers; Compensatory Arrangements of Certain Officers.</w:t>
      </w:r>
    </w:p>
    <w:p>
      <w:pPr>
        <w:spacing w:after="0" w:line="58" w:lineRule="exact"/>
        <w:rPr>
          <w:sz w:val="20"/>
          <w:szCs w:val="20"/>
          <w:color w:val="auto"/>
        </w:rPr>
      </w:pPr>
    </w:p>
    <w:p>
      <w:pPr>
        <w:ind w:right="580" w:firstLine="225"/>
        <w:spacing w:after="0" w:line="277" w:lineRule="auto"/>
        <w:rPr>
          <w:sz w:val="20"/>
          <w:szCs w:val="20"/>
          <w:color w:val="auto"/>
        </w:rPr>
      </w:pPr>
      <w:r>
        <w:rPr>
          <w:rFonts w:ascii="Arial" w:cs="Arial" w:eastAsia="Arial" w:hAnsi="Arial"/>
          <w:sz w:val="18"/>
          <w:szCs w:val="18"/>
          <w:color w:val="auto"/>
        </w:rPr>
        <w:t>On May 6, 2011, the Board of Directors of Hawkins, Inc. appointed Patrick H. Hawkins to fill the vacancy on its Board of Directors created by the previously-announced death of John R. Hawkins. Patrick H. Hawkins will not serve on any committees of the Board.</w:t>
      </w:r>
    </w:p>
    <w:p>
      <w:pPr>
        <w:spacing w:after="0" w:line="62" w:lineRule="exact"/>
        <w:rPr>
          <w:sz w:val="20"/>
          <w:szCs w:val="20"/>
          <w:color w:val="auto"/>
        </w:rPr>
      </w:pPr>
    </w:p>
    <w:p>
      <w:pPr>
        <w:ind w:firstLine="225"/>
        <w:spacing w:after="0" w:line="291" w:lineRule="auto"/>
        <w:rPr>
          <w:sz w:val="20"/>
          <w:szCs w:val="20"/>
          <w:color w:val="auto"/>
        </w:rPr>
      </w:pPr>
      <w:r>
        <w:rPr>
          <w:rFonts w:ascii="Arial" w:cs="Arial" w:eastAsia="Arial" w:hAnsi="Arial"/>
          <w:sz w:val="16"/>
          <w:szCs w:val="16"/>
          <w:color w:val="auto"/>
        </w:rPr>
        <w:t>Patrick H. Hawkins was most recently appointed to serve as our Chief Executive Officer in March 2011. He was previously appointed as our President in March 2010. He joined our company in 1992 and previously served as Business Director — Food and Pharmaceuticals from 2009 to 2010, Business Manager</w:t>
      </w:r>
    </w:p>
    <w:p>
      <w:pPr>
        <w:ind w:right="60"/>
        <w:spacing w:after="0" w:line="261" w:lineRule="auto"/>
        <w:rPr>
          <w:sz w:val="20"/>
          <w:szCs w:val="20"/>
          <w:color w:val="auto"/>
        </w:rPr>
      </w:pPr>
      <w:r>
        <w:rPr>
          <w:rFonts w:ascii="Arial" w:cs="Arial" w:eastAsia="Arial" w:hAnsi="Arial"/>
          <w:sz w:val="18"/>
          <w:szCs w:val="18"/>
          <w:color w:val="auto"/>
        </w:rPr>
        <w:t>— Food and Co-Extrusion Products from 2007 to 2009 and Sales Representative — Food Ingredients from 2002 to 2007. He previously served our company in various other capacities, including Plant Manager, Quality Director and Technical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1" w:right="279" w:bottom="1440" w:gutter="0" w:footer="0" w:header="0"/>
        </w:sectPr>
      </w:pPr>
    </w:p>
    <w:bookmarkStart w:id="2" w:name="page3"/>
    <w:bookmarkEnd w:id="2"/>
    <w:p>
      <w:pPr>
        <w:ind w:left="5140"/>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0" w:type="dxa"/>
            <w:vAlign w:val="bottom"/>
          </w:tcPr>
          <w:p>
            <w:pPr>
              <w:spacing w:after="0"/>
              <w:rPr>
                <w:sz w:val="20"/>
                <w:szCs w:val="20"/>
                <w:color w:val="auto"/>
              </w:rPr>
            </w:pPr>
          </w:p>
        </w:tc>
        <w:tc>
          <w:tcPr>
            <w:tcW w:w="6340" w:type="dxa"/>
            <w:vAlign w:val="bottom"/>
            <w:gridSpan w:val="2"/>
          </w:tcPr>
          <w:p>
            <w:pPr>
              <w:ind w:left="1960"/>
              <w:spacing w:after="0"/>
              <w:rPr>
                <w:sz w:val="20"/>
                <w:szCs w:val="20"/>
                <w:color w:val="auto"/>
              </w:rPr>
            </w:pPr>
            <w:r>
              <w:rPr>
                <w:rFonts w:ascii="Arial" w:cs="Arial" w:eastAsia="Arial" w:hAnsi="Arial"/>
                <w:sz w:val="18"/>
                <w:szCs w:val="18"/>
                <w:color w:val="auto"/>
              </w:rPr>
              <w:t>HAWKINS, INC.</w:t>
            </w:r>
          </w:p>
        </w:tc>
      </w:tr>
      <w:tr>
        <w:trPr>
          <w:trHeight w:val="432"/>
        </w:trPr>
        <w:tc>
          <w:tcPr>
            <w:tcW w:w="3400" w:type="dxa"/>
            <w:vAlign w:val="bottom"/>
          </w:tcPr>
          <w:p>
            <w:pPr>
              <w:spacing w:after="0"/>
              <w:rPr>
                <w:sz w:val="20"/>
                <w:szCs w:val="20"/>
                <w:color w:val="auto"/>
              </w:rPr>
            </w:pPr>
            <w:r>
              <w:rPr>
                <w:rFonts w:ascii="Arial" w:cs="Arial" w:eastAsia="Arial" w:hAnsi="Arial"/>
                <w:sz w:val="18"/>
                <w:szCs w:val="18"/>
                <w:color w:val="auto"/>
              </w:rPr>
              <w:t>Date: May 11, 2011</w:t>
            </w:r>
          </w:p>
        </w:tc>
        <w:tc>
          <w:tcPr>
            <w:tcW w:w="6340" w:type="dxa"/>
            <w:vAlign w:val="bottom"/>
            <w:gridSpan w:val="2"/>
          </w:tcPr>
          <w:p>
            <w:pPr>
              <w:ind w:left="1960"/>
              <w:spacing w:after="0"/>
              <w:rPr>
                <w:sz w:val="20"/>
                <w:szCs w:val="20"/>
                <w:color w:val="auto"/>
              </w:rPr>
            </w:pPr>
            <w:r>
              <w:rPr>
                <w:rFonts w:ascii="Arial" w:cs="Arial" w:eastAsia="Arial" w:hAnsi="Arial"/>
                <w:sz w:val="18"/>
                <w:szCs w:val="18"/>
                <w:color w:val="auto"/>
              </w:rPr>
              <w:t>By: /s/ Richard G. Erstad</w:t>
            </w:r>
          </w:p>
        </w:tc>
      </w:tr>
      <w:tr>
        <w:trPr>
          <w:trHeight w:val="195"/>
        </w:trPr>
        <w:tc>
          <w:tcPr>
            <w:tcW w:w="340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40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Richard G. Erstad</w:t>
            </w:r>
          </w:p>
        </w:tc>
      </w:tr>
      <w:tr>
        <w:trPr>
          <w:trHeight w:val="216"/>
        </w:trPr>
        <w:tc>
          <w:tcPr>
            <w:tcW w:w="34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4020" w:type="dxa"/>
            <w:vAlign w:val="bottom"/>
          </w:tcPr>
          <w:p>
            <w:pPr>
              <w:jc w:val="center"/>
              <w:spacing w:after="0"/>
              <w:rPr>
                <w:sz w:val="20"/>
                <w:szCs w:val="20"/>
                <w:color w:val="auto"/>
              </w:rPr>
            </w:pPr>
            <w:r>
              <w:rPr>
                <w:rFonts w:ascii="Arial" w:cs="Arial" w:eastAsia="Arial" w:hAnsi="Arial"/>
                <w:sz w:val="18"/>
                <w:szCs w:val="18"/>
                <w:color w:val="auto"/>
                <w:w w:val="89"/>
              </w:rPr>
              <w:t>Vice President, General Counsel,</w:t>
            </w:r>
          </w:p>
        </w:tc>
      </w:tr>
      <w:tr>
        <w:trPr>
          <w:trHeight w:val="230"/>
        </w:trPr>
        <w:tc>
          <w:tcPr>
            <w:tcW w:w="34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4020" w:type="dxa"/>
            <w:vAlign w:val="bottom"/>
          </w:tcPr>
          <w:p>
            <w:pPr>
              <w:jc w:val="center"/>
              <w:spacing w:after="0"/>
              <w:rPr>
                <w:sz w:val="20"/>
                <w:szCs w:val="20"/>
                <w:color w:val="auto"/>
              </w:rPr>
            </w:pPr>
            <w:r>
              <w:rPr>
                <w:rFonts w:ascii="Arial" w:cs="Arial" w:eastAsia="Arial" w:hAnsi="Arial"/>
                <w:sz w:val="18"/>
                <w:szCs w:val="18"/>
                <w:color w:val="auto"/>
                <w:w w:val="87"/>
              </w:rPr>
              <w:t>and Secretary</w:t>
            </w:r>
          </w:p>
        </w:tc>
      </w:tr>
    </w:tbl>
    <w:p>
      <w:pPr>
        <w:spacing w:after="0" w:line="1" w:lineRule="exact"/>
        <w:rPr>
          <w:sz w:val="20"/>
          <w:szCs w:val="20"/>
          <w:color w:val="auto"/>
        </w:rPr>
      </w:pPr>
    </w:p>
    <w:sectPr>
      <w:pgSz w:w="11900" w:h="16838" w:orient="portrait"/>
      <w:cols w:equalWidth="0" w:num="1">
        <w:col w:w="10580"/>
      </w:cols>
      <w:pgMar w:left="240" w:top="958" w:right="10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emdash "/>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2019-12-10T01:15:43Z</dcterms:created>
  <dcterms:modified xsi:type="dcterms:W3CDTF">2019-12-10T01:15:43Z</dcterms:modified>
</cp:coreProperties>
</file>