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jc w:val="center"/>
              <w:ind w:left="579"/>
              <w:spacing w:after="0"/>
              <w:rPr>
                <w:sz w:val="20"/>
                <w:szCs w:val="20"/>
                <w:color w:val="auto"/>
              </w:rPr>
            </w:pPr>
            <w:r>
              <w:rPr>
                <w:rFonts w:ascii="Arial" w:cs="Arial" w:eastAsia="Arial" w:hAnsi="Arial"/>
                <w:sz w:val="29"/>
                <w:szCs w:val="29"/>
                <w:b w:val="1"/>
                <w:bCs w:val="1"/>
                <w:color w:val="auto"/>
                <w:w w:val="98"/>
              </w:rPr>
              <w:t>UNITED STATES</w:t>
            </w:r>
          </w:p>
        </w:tc>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60" w:type="dxa"/>
            <w:vAlign w:val="bottom"/>
            <w:gridSpan w:val="7"/>
          </w:tcPr>
          <w:p>
            <w:pPr>
              <w:jc w:val="center"/>
              <w:ind w:right="500"/>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20" w:type="dxa"/>
            <w:vAlign w:val="bottom"/>
          </w:tcPr>
          <w:p>
            <w:pPr>
              <w:jc w:val="center"/>
              <w:ind w:left="599"/>
              <w:spacing w:after="0"/>
              <w:rPr>
                <w:sz w:val="20"/>
                <w:szCs w:val="20"/>
                <w:color w:val="auto"/>
              </w:rPr>
            </w:pPr>
            <w:r>
              <w:rPr>
                <w:rFonts w:ascii="Arial" w:cs="Arial" w:eastAsia="Arial" w:hAnsi="Arial"/>
                <w:sz w:val="18"/>
                <w:szCs w:val="18"/>
                <w:b w:val="1"/>
                <w:bCs w:val="1"/>
                <w:color w:val="auto"/>
                <w:w w:val="97"/>
              </w:rPr>
              <w:t>WASHINGTON, D.C. 20549</w:t>
            </w:r>
          </w:p>
        </w:tc>
        <w:tc>
          <w:tcPr>
            <w:tcW w:w="1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3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jc w:val="center"/>
              <w:ind w:left="599"/>
              <w:spacing w:after="0" w:line="331" w:lineRule="exact"/>
              <w:rPr>
                <w:sz w:val="20"/>
                <w:szCs w:val="20"/>
                <w:color w:val="auto"/>
              </w:rPr>
            </w:pPr>
            <w:r>
              <w:rPr>
                <w:rFonts w:ascii="Arial" w:cs="Arial" w:eastAsia="Arial" w:hAnsi="Arial"/>
                <w:sz w:val="29"/>
                <w:szCs w:val="29"/>
                <w:b w:val="1"/>
                <w:bCs w:val="1"/>
                <w:color w:val="auto"/>
                <w:w w:val="98"/>
              </w:rPr>
              <w:t>FORM 10-Q</w:t>
            </w:r>
          </w:p>
        </w:tc>
        <w:tc>
          <w:tcPr>
            <w:tcW w:w="150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2940" w:type="dxa"/>
            <w:vAlign w:val="bottom"/>
            <w:gridSpan w:val="3"/>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8440" w:type="dxa"/>
            <w:vAlign w:val="bottom"/>
            <w:gridSpan w:val="5"/>
          </w:tcPr>
          <w:p>
            <w:pPr>
              <w:jc w:val="center"/>
              <w:ind w:right="1980"/>
              <w:spacing w:after="0"/>
              <w:rPr>
                <w:sz w:val="20"/>
                <w:szCs w:val="20"/>
                <w:color w:val="auto"/>
              </w:rPr>
            </w:pPr>
            <w:r>
              <w:rPr>
                <w:rFonts w:ascii="Arial" w:cs="Arial" w:eastAsia="Arial" w:hAnsi="Arial"/>
                <w:sz w:val="20"/>
                <w:szCs w:val="20"/>
                <w:b w:val="1"/>
                <w:bCs w:val="1"/>
                <w:color w:val="auto"/>
                <w:w w:val="97"/>
              </w:rPr>
              <w:t>QUARTERLY REPORT PURSUANT TO SECTION 13 OR 15(d) OF THE</w:t>
            </w:r>
          </w:p>
        </w:tc>
      </w:tr>
      <w:tr>
        <w:trPr>
          <w:trHeight w:val="268"/>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40" w:type="dxa"/>
            <w:vAlign w:val="bottom"/>
            <w:gridSpan w:val="4"/>
          </w:tcPr>
          <w:p>
            <w:pPr>
              <w:jc w:val="center"/>
              <w:ind w:right="278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0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40" w:type="dxa"/>
            <w:vAlign w:val="bottom"/>
            <w:gridSpan w:val="4"/>
          </w:tcPr>
          <w:p>
            <w:pPr>
              <w:jc w:val="center"/>
              <w:ind w:right="3740"/>
              <w:spacing w:after="0"/>
              <w:rPr>
                <w:sz w:val="20"/>
                <w:szCs w:val="20"/>
                <w:color w:val="auto"/>
              </w:rPr>
            </w:pPr>
            <w:r>
              <w:rPr>
                <w:rFonts w:ascii="Arial" w:cs="Arial" w:eastAsia="Arial" w:hAnsi="Arial"/>
                <w:sz w:val="18"/>
                <w:szCs w:val="18"/>
                <w:b w:val="1"/>
                <w:bCs w:val="1"/>
                <w:color w:val="auto"/>
                <w:w w:val="91"/>
              </w:rPr>
              <w:t>For the quarterly period ended December 29, 2019</w:t>
            </w:r>
          </w:p>
        </w:tc>
      </w:tr>
      <w:tr>
        <w:trPr>
          <w:trHeight w:val="412"/>
        </w:trPr>
        <w:tc>
          <w:tcPr>
            <w:tcW w:w="20" w:type="dxa"/>
            <w:vAlign w:val="bottom"/>
          </w:tcPr>
          <w:p>
            <w:pPr>
              <w:spacing w:after="0"/>
              <w:rPr>
                <w:sz w:val="24"/>
                <w:szCs w:val="24"/>
                <w:color w:val="auto"/>
              </w:rPr>
            </w:pPr>
          </w:p>
        </w:tc>
        <w:tc>
          <w:tcPr>
            <w:tcW w:w="2940" w:type="dxa"/>
            <w:vAlign w:val="bottom"/>
            <w:gridSpan w:val="3"/>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8440" w:type="dxa"/>
            <w:vAlign w:val="bottom"/>
            <w:gridSpan w:val="5"/>
          </w:tcPr>
          <w:p>
            <w:pPr>
              <w:jc w:val="center"/>
              <w:ind w:right="196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68"/>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40" w:type="dxa"/>
            <w:vAlign w:val="bottom"/>
            <w:gridSpan w:val="4"/>
          </w:tcPr>
          <w:p>
            <w:pPr>
              <w:jc w:val="center"/>
              <w:ind w:right="278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239"/>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20" w:type="dxa"/>
            <w:vAlign w:val="bottom"/>
          </w:tcPr>
          <w:p>
            <w:pPr>
              <w:jc w:val="center"/>
              <w:ind w:left="599"/>
              <w:spacing w:after="0"/>
              <w:rPr>
                <w:sz w:val="20"/>
                <w:szCs w:val="20"/>
                <w:color w:val="auto"/>
              </w:rPr>
            </w:pPr>
            <w:r>
              <w:rPr>
                <w:rFonts w:ascii="Arial" w:cs="Arial" w:eastAsia="Arial" w:hAnsi="Arial"/>
                <w:sz w:val="18"/>
                <w:szCs w:val="18"/>
                <w:b w:val="1"/>
                <w:bCs w:val="1"/>
                <w:color w:val="auto"/>
                <w:w w:val="89"/>
              </w:rPr>
              <w:t>Commission file number 0-7647</w:t>
            </w:r>
          </w:p>
        </w:tc>
        <w:tc>
          <w:tcPr>
            <w:tcW w:w="1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jc w:val="center"/>
              <w:ind w:left="599"/>
              <w:spacing w:after="0"/>
              <w:rPr>
                <w:sz w:val="20"/>
                <w:szCs w:val="20"/>
                <w:color w:val="auto"/>
              </w:rPr>
            </w:pPr>
            <w:r>
              <w:rPr>
                <w:rFonts w:ascii="Arial" w:cs="Arial" w:eastAsia="Arial" w:hAnsi="Arial"/>
                <w:sz w:val="32"/>
                <w:szCs w:val="32"/>
                <w:b w:val="1"/>
                <w:bCs w:val="1"/>
                <w:color w:val="auto"/>
              </w:rPr>
              <w:t>HAWKINS, INC.</w:t>
            </w:r>
          </w:p>
        </w:tc>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640" w:type="dxa"/>
            <w:vAlign w:val="bottom"/>
            <w:tcBorders>
              <w:bottom w:val="single" w:sz="8" w:color="auto"/>
            </w:tcBorders>
            <w:gridSpan w:val="4"/>
          </w:tcPr>
          <w:p>
            <w:pPr>
              <w:jc w:val="center"/>
              <w:ind w:right="37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5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20" w:type="dxa"/>
            <w:vAlign w:val="bottom"/>
            <w:gridSpan w:val="3"/>
          </w:tcPr>
          <w:p>
            <w:pPr>
              <w:jc w:val="center"/>
              <w:ind w:left="1272"/>
              <w:spacing w:after="0"/>
              <w:rPr>
                <w:sz w:val="20"/>
                <w:szCs w:val="20"/>
                <w:color w:val="auto"/>
              </w:rPr>
            </w:pPr>
            <w:r>
              <w:rPr>
                <w:rFonts w:ascii="Arial" w:cs="Arial" w:eastAsia="Arial" w:hAnsi="Arial"/>
                <w:sz w:val="18"/>
                <w:szCs w:val="18"/>
                <w:b w:val="1"/>
                <w:bCs w:val="1"/>
                <w:color w:val="auto"/>
                <w:w w:val="92"/>
              </w:rPr>
              <w:t>Minnesota</w:t>
            </w:r>
          </w:p>
        </w:tc>
        <w:tc>
          <w:tcPr>
            <w:tcW w:w="3220" w:type="dxa"/>
            <w:vAlign w:val="bottom"/>
          </w:tcPr>
          <w:p>
            <w:pPr>
              <w:spacing w:after="0"/>
              <w:rPr>
                <w:sz w:val="24"/>
                <w:szCs w:val="24"/>
                <w:color w:val="auto"/>
              </w:rPr>
            </w:pPr>
          </w:p>
        </w:tc>
        <w:tc>
          <w:tcPr>
            <w:tcW w:w="39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41-0771293</w:t>
            </w:r>
          </w:p>
        </w:tc>
        <w:tc>
          <w:tcPr>
            <w:tcW w:w="500" w:type="dxa"/>
            <w:vAlign w:val="bottom"/>
          </w:tcPr>
          <w:p>
            <w:pPr>
              <w:spacing w:after="0"/>
              <w:rPr>
                <w:sz w:val="24"/>
                <w:szCs w:val="24"/>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3"/>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20" w:type="dxa"/>
            <w:vAlign w:val="bottom"/>
            <w:gridSpan w:val="3"/>
          </w:tcPr>
          <w:p>
            <w:pPr>
              <w:jc w:val="center"/>
              <w:ind w:left="127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220" w:type="dxa"/>
            <w:vAlign w:val="bottom"/>
          </w:tcPr>
          <w:p>
            <w:pPr>
              <w:spacing w:after="0"/>
              <w:rPr>
                <w:sz w:val="12"/>
                <w:szCs w:val="12"/>
                <w:color w:val="auto"/>
              </w:rPr>
            </w:pPr>
          </w:p>
        </w:tc>
        <w:tc>
          <w:tcPr>
            <w:tcW w:w="4420" w:type="dxa"/>
            <w:vAlign w:val="bottom"/>
            <w:gridSpan w:val="3"/>
          </w:tcPr>
          <w:p>
            <w:pPr>
              <w:jc w:val="center"/>
              <w:ind w:right="980"/>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20" w:type="dxa"/>
            <w:vAlign w:val="bottom"/>
            <w:gridSpan w:val="3"/>
          </w:tcPr>
          <w:p>
            <w:pPr>
              <w:jc w:val="center"/>
              <w:ind w:left="1272"/>
              <w:spacing w:after="0"/>
              <w:rPr>
                <w:sz w:val="20"/>
                <w:szCs w:val="20"/>
                <w:color w:val="auto"/>
              </w:rPr>
            </w:pPr>
            <w:r>
              <w:rPr>
                <w:rFonts w:ascii="Arial" w:cs="Arial" w:eastAsia="Arial" w:hAnsi="Arial"/>
                <w:sz w:val="14"/>
                <w:szCs w:val="14"/>
                <w:b w:val="1"/>
                <w:bCs w:val="1"/>
                <w:color w:val="auto"/>
                <w:w w:val="93"/>
              </w:rPr>
              <w:t>incorporation or organization)</w:t>
            </w:r>
          </w:p>
        </w:tc>
        <w:tc>
          <w:tcPr>
            <w:tcW w:w="3220" w:type="dxa"/>
            <w:vAlign w:val="bottom"/>
          </w:tcPr>
          <w:p>
            <w:pPr>
              <w:spacing w:after="0"/>
              <w:rPr>
                <w:sz w:val="16"/>
                <w:szCs w:val="16"/>
                <w:color w:val="auto"/>
              </w:rPr>
            </w:pPr>
          </w:p>
        </w:tc>
        <w:tc>
          <w:tcPr>
            <w:tcW w:w="442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6"/>
              </w:rPr>
              <w:t>Identification No.)</w:t>
            </w:r>
          </w:p>
        </w:tc>
      </w:tr>
      <w:tr>
        <w:trPr>
          <w:trHeight w:val="56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40" w:type="dxa"/>
            <w:vAlign w:val="bottom"/>
            <w:gridSpan w:val="4"/>
          </w:tcPr>
          <w:p>
            <w:pPr>
              <w:jc w:val="center"/>
              <w:ind w:right="439"/>
              <w:spacing w:after="0"/>
              <w:rPr>
                <w:sz w:val="20"/>
                <w:szCs w:val="20"/>
                <w:color w:val="auto"/>
              </w:rPr>
            </w:pPr>
            <w:r>
              <w:rPr>
                <w:rFonts w:ascii="Arial" w:cs="Arial" w:eastAsia="Arial" w:hAnsi="Arial"/>
                <w:sz w:val="18"/>
                <w:szCs w:val="18"/>
                <w:b w:val="1"/>
                <w:bCs w:val="1"/>
                <w:color w:val="auto"/>
                <w:w w:val="88"/>
              </w:rPr>
              <w:t>2381 Rosegate, Roseville, Minnesota</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40" w:type="dxa"/>
            <w:vAlign w:val="bottom"/>
            <w:gridSpan w:val="4"/>
          </w:tcPr>
          <w:p>
            <w:pPr>
              <w:jc w:val="center"/>
              <w:ind w:right="4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2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95"/>
              </w:rPr>
              <w:t>(Zip code)</w:t>
            </w:r>
          </w:p>
        </w:tc>
      </w:tr>
      <w:tr>
        <w:trPr>
          <w:trHeight w:val="58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20" w:type="dxa"/>
            <w:vAlign w:val="bottom"/>
          </w:tcPr>
          <w:p>
            <w:pPr>
              <w:jc w:val="center"/>
              <w:ind w:left="599"/>
              <w:spacing w:after="0"/>
              <w:rPr>
                <w:sz w:val="20"/>
                <w:szCs w:val="20"/>
                <w:color w:val="auto"/>
              </w:rPr>
            </w:pPr>
            <w:r>
              <w:rPr>
                <w:rFonts w:ascii="Arial" w:cs="Arial" w:eastAsia="Arial" w:hAnsi="Arial"/>
                <w:sz w:val="18"/>
                <w:szCs w:val="18"/>
                <w:b w:val="1"/>
                <w:bCs w:val="1"/>
                <w:color w:val="auto"/>
                <w:w w:val="90"/>
              </w:rPr>
              <w:t>(612) 331-6910</w:t>
            </w:r>
          </w:p>
        </w:tc>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920" w:type="dxa"/>
            <w:vAlign w:val="bottom"/>
            <w:gridSpan w:val="2"/>
          </w:tcPr>
          <w:p>
            <w:pPr>
              <w:spacing w:after="0"/>
              <w:rPr>
                <w:sz w:val="16"/>
                <w:szCs w:val="16"/>
                <w:color w:val="auto"/>
              </w:rPr>
            </w:pPr>
          </w:p>
        </w:tc>
      </w:tr>
      <w:tr>
        <w:trPr>
          <w:trHeight w:val="432"/>
        </w:trPr>
        <w:tc>
          <w:tcPr>
            <w:tcW w:w="698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20" w:type="dxa"/>
            <w:vAlign w:val="bottom"/>
            <w:gridSpan w:val="2"/>
          </w:tcPr>
          <w:p>
            <w:pPr>
              <w:ind w:left="1180"/>
              <w:spacing w:after="0"/>
              <w:rPr>
                <w:sz w:val="20"/>
                <w:szCs w:val="20"/>
                <w:color w:val="auto"/>
              </w:rPr>
            </w:pPr>
            <w:r>
              <w:rPr>
                <w:rFonts w:ascii="Arial" w:cs="Arial" w:eastAsia="Arial" w:hAnsi="Arial"/>
                <w:sz w:val="16"/>
                <w:szCs w:val="16"/>
                <w:b w:val="1"/>
                <w:bCs w:val="1"/>
                <w:color w:val="auto"/>
                <w:w w:val="88"/>
              </w:rPr>
              <w:t>Title of each class</w:t>
            </w:r>
          </w:p>
        </w:tc>
        <w:tc>
          <w:tcPr>
            <w:tcW w:w="800" w:type="dxa"/>
            <w:vAlign w:val="bottom"/>
          </w:tcPr>
          <w:p>
            <w:pPr>
              <w:spacing w:after="0"/>
              <w:rPr>
                <w:sz w:val="24"/>
                <w:szCs w:val="24"/>
                <w:color w:val="auto"/>
              </w:rPr>
            </w:pPr>
          </w:p>
        </w:tc>
        <w:tc>
          <w:tcPr>
            <w:tcW w:w="3220" w:type="dxa"/>
            <w:vAlign w:val="bottom"/>
          </w:tcPr>
          <w:p>
            <w:pPr>
              <w:jc w:val="center"/>
              <w:ind w:right="379"/>
              <w:spacing w:after="0"/>
              <w:rPr>
                <w:sz w:val="20"/>
                <w:szCs w:val="20"/>
                <w:color w:val="auto"/>
              </w:rPr>
            </w:pPr>
            <w:r>
              <w:rPr>
                <w:rFonts w:ascii="Arial" w:cs="Arial" w:eastAsia="Arial" w:hAnsi="Arial"/>
                <w:sz w:val="16"/>
                <w:szCs w:val="16"/>
                <w:b w:val="1"/>
                <w:bCs w:val="1"/>
                <w:color w:val="auto"/>
                <w:w w:val="92"/>
              </w:rPr>
              <w:t>Trading Symbol(s)</w:t>
            </w:r>
          </w:p>
        </w:tc>
        <w:tc>
          <w:tcPr>
            <w:tcW w:w="4420" w:type="dxa"/>
            <w:vAlign w:val="bottom"/>
            <w:gridSpan w:val="3"/>
          </w:tcPr>
          <w:p>
            <w:pPr>
              <w:jc w:val="center"/>
              <w:ind w:right="13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20" w:type="dxa"/>
            <w:vAlign w:val="bottom"/>
            <w:tcBorders>
              <w:bottom w:val="single" w:sz="8" w:color="auto"/>
            </w:tcBorders>
            <w:gridSpan w:val="3"/>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50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6"/>
                <w:szCs w:val="16"/>
                <w:color w:val="auto"/>
              </w:rPr>
              <w:t>Common Stock, par value $.05 per share</w:t>
            </w:r>
          </w:p>
        </w:tc>
        <w:tc>
          <w:tcPr>
            <w:tcW w:w="3220" w:type="dxa"/>
            <w:vAlign w:val="bottom"/>
          </w:tcPr>
          <w:p>
            <w:pPr>
              <w:jc w:val="center"/>
              <w:ind w:right="379"/>
              <w:spacing w:after="0"/>
              <w:rPr>
                <w:sz w:val="20"/>
                <w:szCs w:val="20"/>
                <w:color w:val="auto"/>
              </w:rPr>
            </w:pPr>
            <w:r>
              <w:rPr>
                <w:rFonts w:ascii="Arial" w:cs="Arial" w:eastAsia="Arial" w:hAnsi="Arial"/>
                <w:sz w:val="16"/>
                <w:szCs w:val="16"/>
                <w:color w:val="auto"/>
              </w:rPr>
              <w:t>HWKN</w:t>
            </w:r>
          </w:p>
        </w:tc>
        <w:tc>
          <w:tcPr>
            <w:tcW w:w="4420" w:type="dxa"/>
            <w:vAlign w:val="bottom"/>
            <w:gridSpan w:val="3"/>
          </w:tcPr>
          <w:p>
            <w:pPr>
              <w:jc w:val="center"/>
              <w:ind w:right="1340"/>
              <w:spacing w:after="0"/>
              <w:rPr>
                <w:sz w:val="20"/>
                <w:szCs w:val="20"/>
                <w:color w:val="auto"/>
              </w:rPr>
            </w:pPr>
            <w:r>
              <w:rPr>
                <w:rFonts w:ascii="Arial" w:cs="Arial" w:eastAsia="Arial" w:hAnsi="Arial"/>
                <w:sz w:val="16"/>
                <w:szCs w:val="16"/>
                <w:color w:val="auto"/>
                <w:w w:val="94"/>
              </w:rPr>
              <w:t>Nasdaq Stock Market LLC</w:t>
            </w:r>
          </w:p>
        </w:tc>
      </w:tr>
    </w:tbl>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2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7" w:lineRule="exact"/>
        <w:rPr>
          <w:sz w:val="24"/>
          <w:szCs w:val="24"/>
          <w:color w:val="auto"/>
        </w:rPr>
      </w:pP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580" w:type="dxa"/>
            <w:vAlign w:val="bottom"/>
            <w:tcBorders>
              <w:bottom w:val="single" w:sz="8" w:color="auto"/>
            </w:tcBorders>
          </w:tcPr>
          <w:p>
            <w:pPr>
              <w:jc w:val="right"/>
              <w:ind w:right="1059"/>
              <w:spacing w:after="0"/>
              <w:rPr>
                <w:sz w:val="20"/>
                <w:szCs w:val="20"/>
                <w:color w:val="auto"/>
              </w:rPr>
            </w:pPr>
            <w:r>
              <w:rPr>
                <w:rFonts w:ascii="Arial" w:cs="Arial" w:eastAsia="Arial" w:hAnsi="Arial"/>
                <w:sz w:val="14"/>
                <w:szCs w:val="14"/>
                <w:color w:val="auto"/>
              </w:rPr>
              <w:t>Shares Outstanding at January 31, 2020</w:t>
            </w:r>
          </w:p>
        </w:tc>
        <w:tc>
          <w:tcPr>
            <w:tcW w:w="1260" w:type="dxa"/>
            <w:vAlign w:val="bottom"/>
          </w:tcPr>
          <w:p>
            <w:pPr>
              <w:spacing w:after="0"/>
              <w:rPr>
                <w:sz w:val="16"/>
                <w:szCs w:val="16"/>
                <w:color w:val="auto"/>
              </w:rPr>
            </w:pPr>
          </w:p>
        </w:tc>
      </w:tr>
      <w:tr>
        <w:trPr>
          <w:trHeight w:val="243"/>
        </w:trPr>
        <w:tc>
          <w:tcPr>
            <w:tcW w:w="660" w:type="dxa"/>
            <w:vAlign w:val="bottom"/>
          </w:tcPr>
          <w:p>
            <w:pPr>
              <w:spacing w:after="0"/>
              <w:rPr>
                <w:sz w:val="21"/>
                <w:szCs w:val="21"/>
                <w:color w:val="auto"/>
              </w:rPr>
            </w:pPr>
          </w:p>
        </w:tc>
        <w:tc>
          <w:tcPr>
            <w:tcW w:w="4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Common Stock, par value $.05 per share</w:t>
            </w:r>
          </w:p>
        </w:tc>
        <w:tc>
          <w:tcPr>
            <w:tcW w:w="4580" w:type="dxa"/>
            <w:vAlign w:val="bottom"/>
          </w:tcPr>
          <w:p>
            <w:pPr>
              <w:jc w:val="right"/>
              <w:ind w:right="1859"/>
              <w:spacing w:after="0"/>
              <w:rPr>
                <w:sz w:val="20"/>
                <w:szCs w:val="20"/>
                <w:color w:val="auto"/>
              </w:rPr>
            </w:pPr>
            <w:r>
              <w:rPr>
                <w:rFonts w:ascii="Arial" w:cs="Arial" w:eastAsia="Arial" w:hAnsi="Arial"/>
                <w:sz w:val="18"/>
                <w:szCs w:val="18"/>
                <w:color w:val="auto"/>
              </w:rPr>
              <w:t>10,648,940</w:t>
            </w:r>
          </w:p>
        </w:tc>
        <w:tc>
          <w:tcPr>
            <w:tcW w:w="1260" w:type="dxa"/>
            <w:vAlign w:val="bottom"/>
          </w:tcPr>
          <w:p>
            <w:pPr>
              <w:spacing w:after="0"/>
              <w:rPr>
                <w:sz w:val="21"/>
                <w:szCs w:val="21"/>
                <w:color w:val="auto"/>
              </w:rPr>
            </w:pPr>
          </w:p>
        </w:tc>
      </w:tr>
      <w:tr>
        <w:trPr>
          <w:trHeight w:val="297"/>
        </w:trPr>
        <w:tc>
          <w:tcPr>
            <w:tcW w:w="6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68"/>
        </w:trPr>
        <w:tc>
          <w:tcPr>
            <w:tcW w:w="660" w:type="dxa"/>
            <w:vAlign w:val="bottom"/>
            <w:tcBorders>
              <w:bottom w:val="single" w:sz="8" w:color="auto"/>
            </w:tcBorders>
          </w:tcPr>
          <w:p>
            <w:pPr>
              <w:spacing w:after="0"/>
              <w:rPr>
                <w:sz w:val="5"/>
                <w:szCs w:val="5"/>
                <w:color w:val="auto"/>
              </w:rPr>
            </w:pPr>
          </w:p>
        </w:tc>
        <w:tc>
          <w:tcPr>
            <w:tcW w:w="46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750"/>
        </w:trPr>
        <w:tc>
          <w:tcPr>
            <w:tcW w:w="6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26" w:right="239" w:bottom="819"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left="-75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left="-759"/>
        <w:spacing w:after="0"/>
        <w:rPr>
          <w:sz w:val="20"/>
          <w:szCs w:val="20"/>
          <w:color w:val="auto"/>
        </w:rPr>
      </w:pPr>
      <w:r>
        <w:rPr>
          <w:rFonts w:ascii="Arial" w:cs="Arial" w:eastAsia="Arial" w:hAnsi="Arial"/>
          <w:sz w:val="18"/>
          <w:szCs w:val="18"/>
          <w:b w:val="1"/>
          <w:bCs w:val="1"/>
          <w:color w:val="auto"/>
        </w:rPr>
        <w:t>INDEX TO FORM 10-Q</w:t>
      </w:r>
    </w:p>
    <w:p>
      <w:pPr>
        <w:spacing w:after="0" w:line="288"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p>
      <w:pPr>
        <w:spacing w:after="0" w:line="121"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 December 29, 2019 and March 31, 2019</w:t>
        </w:r>
      </w:hyperlink>
    </w:p>
    <w:p>
      <w:pPr>
        <w:spacing w:after="0" w:line="77" w:lineRule="exact"/>
        <w:rPr>
          <w:sz w:val="20"/>
          <w:szCs w:val="20"/>
          <w:color w:val="auto"/>
        </w:rPr>
      </w:pPr>
    </w:p>
    <w:p>
      <w:pPr>
        <w:ind w:right="700"/>
        <w:spacing w:after="0" w:line="235" w:lineRule="auto"/>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Income – Three and Nine Months Ended December 29, 2019 and</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December 30, 2018</w:t>
        </w:r>
      </w:hyperlink>
    </w:p>
    <w:p>
      <w:pPr>
        <w:spacing w:after="0" w:line="54" w:lineRule="exact"/>
        <w:rPr>
          <w:sz w:val="20"/>
          <w:szCs w:val="20"/>
          <w:color w:val="auto"/>
        </w:rPr>
      </w:pPr>
    </w:p>
    <w:p>
      <w:pPr>
        <w:ind w:right="1300"/>
        <w:spacing w:after="0" w:line="235"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 Three and Nine Months Ended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December 29, 2019 and December 30, 2018</w:t>
        </w:r>
      </w:hyperlink>
    </w:p>
    <w:p>
      <w:pPr>
        <w:spacing w:after="0" w:line="54" w:lineRule="exact"/>
        <w:rPr>
          <w:sz w:val="20"/>
          <w:szCs w:val="20"/>
          <w:color w:val="auto"/>
        </w:rPr>
      </w:pPr>
    </w:p>
    <w:p>
      <w:pPr>
        <w:ind w:right="700"/>
        <w:spacing w:after="0" w:line="235" w:lineRule="auto"/>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Shareholder’s Equity – Three and Nine Months Ended December</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29, 2019 and December 30, 2018</w:t>
        </w:r>
      </w:hyperlink>
    </w:p>
    <w:p>
      <w:pPr>
        <w:spacing w:after="0" w:line="54" w:lineRule="exact"/>
        <w:rPr>
          <w:sz w:val="20"/>
          <w:szCs w:val="20"/>
          <w:color w:val="auto"/>
        </w:rPr>
      </w:pPr>
    </w:p>
    <w:p>
      <w:pPr>
        <w:ind w:right="1180"/>
        <w:spacing w:after="0" w:line="235"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 Nine Months Ended December 29, 2019 and</w:t>
        </w:r>
      </w:hyperlink>
      <w:r>
        <w:rPr>
          <w:rFonts w:ascii="Arial" w:cs="Arial" w:eastAsia="Arial" w:hAnsi="Arial"/>
          <w:sz w:val="18"/>
          <w:szCs w:val="18"/>
          <w:u w:val="single" w:color="auto"/>
          <w:color w:val="0000FF"/>
        </w:rPr>
        <w:t xml:space="preserve"> </w:t>
      </w:r>
      <w:hyperlink w:anchor="page6">
        <w:r>
          <w:rPr>
            <w:rFonts w:ascii="Arial" w:cs="Arial" w:eastAsia="Arial" w:hAnsi="Arial"/>
            <w:sz w:val="18"/>
            <w:szCs w:val="18"/>
            <w:u w:val="single" w:color="auto"/>
            <w:color w:val="0000FF"/>
          </w:rPr>
          <w:t>December 30, 2018</w:t>
        </w:r>
      </w:hyperlink>
    </w:p>
    <w:p>
      <w:pPr>
        <w:spacing w:after="0" w:line="54" w:lineRule="exact"/>
        <w:rPr>
          <w:sz w:val="20"/>
          <w:szCs w:val="20"/>
          <w:color w:val="auto"/>
        </w:rPr>
      </w:pPr>
    </w:p>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Management’s Discussion and Analysis of Financial Condition and Results of Operations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Quantitative and Qualitative Disclosures about Market Risk</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Controls and Procedures</w:t>
        </w:r>
      </w:hyperlink>
    </w:p>
    <w:p>
      <w:pPr>
        <w:spacing w:after="0" w:line="113"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OTHER INFORMATION</w:t>
        </w:r>
      </w:hyperlink>
    </w:p>
    <w:p>
      <w:pPr>
        <w:spacing w:after="0" w:line="121" w:lineRule="exact"/>
        <w:rPr>
          <w:sz w:val="20"/>
          <w:szCs w:val="20"/>
          <w:color w:val="auto"/>
        </w:rPr>
      </w:pPr>
    </w:p>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Legal Proceedings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Risk Factors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Unregistered Sales of Equity Securities and Use of Proceeds</w:t>
        </w:r>
      </w:hyperlink>
    </w:p>
    <w:p>
      <w:pPr>
        <w:spacing w:after="0" w:line="158" w:lineRule="exact"/>
        <w:rPr>
          <w:sz w:val="20"/>
          <w:szCs w:val="20"/>
          <w:color w:val="auto"/>
        </w:rPr>
      </w:pPr>
    </w:p>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Defaults Upon Senior Securities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Mine Safety Disclosures</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Other Information</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Exhibits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77"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252"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52"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252"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52"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15</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21</w:t>
        </w:r>
      </w:hyperlink>
    </w:p>
    <w:p>
      <w:pPr>
        <w:spacing w:after="0" w:line="200" w:lineRule="exact"/>
        <w:rPr>
          <w:sz w:val="20"/>
          <w:szCs w:val="20"/>
          <w:color w:val="auto"/>
        </w:rPr>
      </w:pPr>
    </w:p>
    <w:p>
      <w:pPr>
        <w:spacing w:after="0" w:line="241" w:lineRule="exact"/>
        <w:rPr>
          <w:sz w:val="20"/>
          <w:szCs w:val="20"/>
          <w:color w:val="auto"/>
        </w:rPr>
      </w:pPr>
    </w:p>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p>
      <w:pPr>
        <w:spacing w:after="0" w:line="117" w:lineRule="exact"/>
        <w:rPr>
          <w:sz w:val="20"/>
          <w:szCs w:val="20"/>
          <w:color w:val="auto"/>
        </w:rPr>
      </w:pPr>
    </w:p>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23</w:t>
        </w:r>
      </w:hyperlink>
    </w:p>
    <w:p>
      <w:pPr>
        <w:sectPr>
          <w:pgSz w:w="11900" w:h="16838" w:orient="portrait"/>
          <w:cols w:equalWidth="0" w:num="3">
            <w:col w:w="700" w:space="480"/>
            <w:col w:w="8280" w:space="720"/>
            <w:col w:w="300"/>
          </w:cols>
          <w:pgMar w:left="260" w:top="891" w:right="11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 FINANCIAL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48"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w:t>
            </w:r>
          </w:p>
        </w:tc>
        <w:tc>
          <w:tcPr>
            <w:tcW w:w="20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9,199</w:t>
            </w: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Trade receivables — less allowance for doubtful accounts: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$677 as of December 29, 2019 and $620 as of March 31, 2019</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56,046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63,966</w:t>
            </w: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57,542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60,482</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Income taxes receivable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5,235</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127,049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139,409</w:t>
            </w: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262,194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244,861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136,832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126,233</w:t>
            </w:r>
          </w:p>
        </w:tc>
        <w:tc>
          <w:tcPr>
            <w:tcW w:w="0" w:type="dxa"/>
            <w:vAlign w:val="bottom"/>
          </w:tcPr>
          <w:p>
            <w:pPr>
              <w:spacing w:after="0"/>
              <w:rPr>
                <w:sz w:val="1"/>
                <w:szCs w:val="1"/>
                <w:color w:val="auto"/>
              </w:rPr>
            </w:pPr>
          </w:p>
        </w:tc>
      </w:tr>
      <w:tr>
        <w:trPr>
          <w:trHeight w:val="217"/>
        </w:trPr>
        <w:tc>
          <w:tcPr>
            <w:tcW w:w="8440" w:type="dxa"/>
            <w:vAlign w:val="bottom"/>
          </w:tcPr>
          <w:p>
            <w:pPr>
              <w:ind w:left="760"/>
              <w:spacing w:after="0"/>
              <w:rPr>
                <w:sz w:val="20"/>
                <w:szCs w:val="20"/>
                <w:color w:val="auto"/>
              </w:rPr>
            </w:pPr>
            <w:r>
              <w:rPr>
                <w:rFonts w:ascii="Arial" w:cs="Arial" w:eastAsia="Arial" w:hAnsi="Arial"/>
                <w:sz w:val="16"/>
                <w:szCs w:val="16"/>
                <w:color w:val="auto"/>
              </w:rPr>
              <w:t>Net property, plant, and equipment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125,362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118,628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Right-of-use assets</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58,440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58,440</w:t>
            </w: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61,921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65,726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217"/>
        </w:trPr>
        <w:tc>
          <w:tcPr>
            <w:tcW w:w="8440" w:type="dxa"/>
            <w:vAlign w:val="bottom"/>
          </w:tcPr>
          <w:p>
            <w:pPr>
              <w:ind w:left="760"/>
              <w:spacing w:after="0"/>
              <w:rPr>
                <w:sz w:val="20"/>
                <w:szCs w:val="20"/>
                <w:color w:val="auto"/>
              </w:rPr>
            </w:pPr>
            <w:r>
              <w:rPr>
                <w:rFonts w:ascii="Arial" w:cs="Arial" w:eastAsia="Arial" w:hAnsi="Arial"/>
                <w:sz w:val="16"/>
                <w:szCs w:val="16"/>
                <w:color w:val="auto"/>
              </w:rPr>
              <w:t>Total other assets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134,168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127,562</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386,579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385,599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Accounts payable — trade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26,744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29,314</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payroll and employee benefits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12,483</w:t>
            </w: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9,907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Short-term lease liability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Container deposits</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1,299</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17"/>
        </w:trPr>
        <w:tc>
          <w:tcPr>
            <w:tcW w:w="8440" w:type="dxa"/>
            <w:vAlign w:val="bottom"/>
          </w:tcPr>
          <w:p>
            <w:pPr>
              <w:ind w:left="76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51,281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55,396</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57,728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74,658</w:t>
            </w: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7,972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26,577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26,673</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5,695</w:t>
            </w:r>
          </w:p>
        </w:tc>
        <w:tc>
          <w:tcPr>
            <w:tcW w:w="0" w:type="dxa"/>
            <w:vAlign w:val="bottom"/>
          </w:tcPr>
          <w:p>
            <w:pPr>
              <w:spacing w:after="0"/>
              <w:rPr>
                <w:sz w:val="1"/>
                <w:szCs w:val="1"/>
                <w:color w:val="auto"/>
              </w:rPr>
            </w:pPr>
          </w:p>
        </w:tc>
      </w:tr>
      <w:tr>
        <w:trPr>
          <w:trHeight w:val="217"/>
        </w:trPr>
        <w:tc>
          <w:tcPr>
            <w:tcW w:w="8440" w:type="dxa"/>
            <w:vAlign w:val="bottom"/>
          </w:tcPr>
          <w:p>
            <w:pPr>
              <w:ind w:left="76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154,368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167,738</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4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authorized: 30,000,000 shares of $0.05 par value; 10,546,453 and 10,592,450 shares issued and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outstanding as of December 29, 2019 and March 31, 2019, 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50,967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52,609</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180,659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164,405</w:t>
            </w:r>
          </w:p>
        </w:tc>
        <w:tc>
          <w:tcPr>
            <w:tcW w:w="0" w:type="dxa"/>
            <w:vAlign w:val="bottom"/>
          </w:tcPr>
          <w:p>
            <w:pPr>
              <w:spacing w:after="0"/>
              <w:rPr>
                <w:sz w:val="1"/>
                <w:szCs w:val="1"/>
                <w:color w:val="auto"/>
              </w:rPr>
            </w:pPr>
          </w:p>
        </w:tc>
      </w:tr>
      <w:tr>
        <w:trPr>
          <w:trHeight w:val="224"/>
        </w:trPr>
        <w:tc>
          <w:tcPr>
            <w:tcW w:w="8440" w:type="dxa"/>
            <w:vAlign w:val="bottom"/>
          </w:tcPr>
          <w:p>
            <w:pPr>
              <w:ind w:left="32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217,861</w:t>
            </w:r>
          </w:p>
        </w:tc>
        <w:tc>
          <w:tcPr>
            <w:tcW w:w="0" w:type="dxa"/>
            <w:vAlign w:val="bottom"/>
          </w:tcPr>
          <w:p>
            <w:pPr>
              <w:spacing w:after="0"/>
              <w:rPr>
                <w:sz w:val="1"/>
                <w:szCs w:val="1"/>
                <w:color w:val="auto"/>
              </w:rPr>
            </w:pPr>
          </w:p>
        </w:tc>
      </w:tr>
      <w:tr>
        <w:trPr>
          <w:trHeight w:val="217"/>
        </w:trPr>
        <w:tc>
          <w:tcPr>
            <w:tcW w:w="8440" w:type="dxa"/>
            <w:vAlign w:val="bottom"/>
          </w:tcPr>
          <w:p>
            <w:pPr>
              <w:ind w:left="76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386,579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385,599</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340"/>
          </w:cols>
          <w:pgMar w:left="240" w:top="891" w:right="319" w:bottom="93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891" w:right="319" w:bottom="935"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58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6"/>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2"/>
                <w:szCs w:val="12"/>
                <w:color w:val="auto"/>
              </w:rPr>
            </w:pPr>
          </w:p>
        </w:tc>
        <w:tc>
          <w:tcPr>
            <w:tcW w:w="12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2"/>
                <w:szCs w:val="12"/>
                <w:color w:val="auto"/>
              </w:rPr>
            </w:pPr>
          </w:p>
        </w:tc>
        <w:tc>
          <w:tcPr>
            <w:tcW w:w="1140" w:type="dxa"/>
            <w:vAlign w:val="bottom"/>
          </w:tcPr>
          <w:p>
            <w:pPr>
              <w:jc w:val="right"/>
              <w:ind w:right="152"/>
              <w:spacing w:after="0" w:line="147" w:lineRule="exact"/>
              <w:rPr>
                <w:sz w:val="20"/>
                <w:szCs w:val="20"/>
                <w:color w:val="auto"/>
              </w:rPr>
            </w:pPr>
            <w:r>
              <w:rPr>
                <w:rFonts w:ascii="Arial" w:cs="Arial" w:eastAsia="Arial" w:hAnsi="Arial"/>
                <w:sz w:val="14"/>
                <w:szCs w:val="14"/>
                <w:b w:val="1"/>
                <w:bCs w:val="1"/>
                <w:color w:val="auto"/>
                <w:w w:val="96"/>
              </w:rPr>
              <w:t>December 30,</w:t>
            </w:r>
          </w:p>
        </w:tc>
      </w:tr>
      <w:tr>
        <w:trPr>
          <w:trHeight w:val="192"/>
        </w:trPr>
        <w:tc>
          <w:tcPr>
            <w:tcW w:w="5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407,785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423,275</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(98,928)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(107,118)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(329,516)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(348,013)</w:t>
            </w:r>
          </w:p>
        </w:tc>
      </w:tr>
      <w:tr>
        <w:trPr>
          <w:trHeight w:val="27"/>
        </w:trPr>
        <w:tc>
          <w:tcPr>
            <w:tcW w:w="5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75,262</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(44,232)</w:t>
            </w:r>
          </w:p>
        </w:tc>
      </w:tr>
      <w:tr>
        <w:trPr>
          <w:trHeight w:val="27"/>
        </w:trPr>
        <w:tc>
          <w:tcPr>
            <w:tcW w:w="5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31,030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(2,552)</w:t>
            </w:r>
          </w:p>
        </w:tc>
      </w:tr>
      <w:tr>
        <w:trPr>
          <w:trHeight w:val="27"/>
        </w:trPr>
        <w:tc>
          <w:tcPr>
            <w:tcW w:w="5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6,323</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32,175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28,238</w:t>
            </w:r>
          </w:p>
        </w:tc>
      </w:tr>
      <w:tr>
        <w:trPr>
          <w:trHeight w:val="27"/>
        </w:trPr>
        <w:tc>
          <w:tcPr>
            <w:tcW w:w="5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(7,576)</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23,604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20,662</w:t>
            </w:r>
          </w:p>
        </w:tc>
      </w:tr>
      <w:tr>
        <w:trPr>
          <w:trHeight w:val="27"/>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10,546,453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10,667,001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10,575,432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10,663,807</w:t>
            </w:r>
          </w:p>
        </w:tc>
      </w:tr>
      <w:tr>
        <w:trPr>
          <w:trHeight w:val="27"/>
        </w:trPr>
        <w:tc>
          <w:tcPr>
            <w:tcW w:w="5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10,605,895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10,712,027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10,656,115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10,727,377</w:t>
            </w:r>
          </w:p>
        </w:tc>
      </w:tr>
      <w:tr>
        <w:trPr>
          <w:trHeight w:val="270"/>
        </w:trPr>
        <w:tc>
          <w:tcPr>
            <w:tcW w:w="5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1.94</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1.93</w:t>
            </w:r>
          </w:p>
        </w:tc>
      </w:tr>
      <w:tr>
        <w:trPr>
          <w:trHeight w:val="27"/>
        </w:trPr>
        <w:tc>
          <w:tcPr>
            <w:tcW w:w="5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0.45</w:t>
            </w: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4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w w:val="96"/>
              </w:rPr>
              <w:t>December 30,</w:t>
            </w:r>
          </w:p>
        </w:tc>
      </w:tr>
      <w:tr>
        <w:trPr>
          <w:trHeight w:val="192"/>
        </w:trPr>
        <w:tc>
          <w:tcPr>
            <w:tcW w:w="57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23,604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20,662</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loss on interest rate swap</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w:t>
            </w: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3,960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23,345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20,504</w:t>
            </w:r>
          </w:p>
        </w:tc>
      </w:tr>
      <w:tr>
        <w:trPr>
          <w:trHeight w:val="27"/>
        </w:trPr>
        <w:tc>
          <w:tcPr>
            <w:tcW w:w="5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4880"/>
        <w:spacing w:after="0" w:line="220" w:lineRule="auto"/>
        <w:rPr>
          <w:sz w:val="20"/>
          <w:szCs w:val="20"/>
          <w:color w:val="auto"/>
        </w:rPr>
      </w:pPr>
      <w:r>
        <w:rPr>
          <w:rFonts w:ascii="Arial" w:cs="Arial" w:eastAsia="Arial" w:hAnsi="Arial"/>
          <w:sz w:val="18"/>
          <w:szCs w:val="18"/>
          <w:b w:val="1"/>
          <w:bCs w:val="1"/>
          <w:color w:val="auto"/>
        </w:rPr>
        <w:t xml:space="preserve">CONDENSED CONSOLIDATED STATEMENTS OF SHAREHOLDERS’ EQUITY </w:t>
      </w:r>
      <w:r>
        <w:rPr>
          <w:rFonts w:ascii="Arial" w:cs="Arial" w:eastAsia="Arial" w:hAnsi="Arial"/>
          <w:sz w:val="14"/>
          <w:szCs w:val="14"/>
          <w:b w:val="1"/>
          <w:bCs w:val="1"/>
          <w:color w:val="auto"/>
        </w:rPr>
        <w:t>(In thousands, except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4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040" w:type="dxa"/>
            <w:vAlign w:val="bottom"/>
            <w:gridSpan w:val="2"/>
            <w:vMerge w:val="restart"/>
          </w:tcPr>
          <w:p>
            <w:pPr>
              <w:ind w:left="8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2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4"/>
                <w:szCs w:val="4"/>
                <w:color w:val="auto"/>
              </w:rPr>
            </w:pPr>
          </w:p>
        </w:tc>
        <w:tc>
          <w:tcPr>
            <w:tcW w:w="1040" w:type="dxa"/>
            <w:vAlign w:val="bottom"/>
            <w:vMerge w:val="restart"/>
          </w:tcPr>
          <w:p>
            <w:pPr>
              <w:jc w:val="center"/>
              <w:ind w:right="59"/>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52"/>
        </w:trPr>
        <w:tc>
          <w:tcPr>
            <w:tcW w:w="3980" w:type="dxa"/>
            <w:vAlign w:val="bottom"/>
          </w:tcPr>
          <w:p>
            <w:pPr>
              <w:spacing w:after="0"/>
              <w:rPr>
                <w:sz w:val="4"/>
                <w:szCs w:val="4"/>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4"/>
                <w:szCs w:val="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8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31, 2019</w:t>
            </w:r>
          </w:p>
        </w:tc>
        <w:tc>
          <w:tcPr>
            <w:tcW w:w="11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10,592,450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52,609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164,405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317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217,861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dividends paid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43"/>
        </w:trPr>
        <w:tc>
          <w:tcPr>
            <w:tcW w:w="3980" w:type="dxa"/>
            <w:vAlign w:val="bottom"/>
          </w:tcPr>
          <w:p>
            <w:pPr>
              <w:ind w:left="34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27,620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3980" w:type="dxa"/>
            <w:vAlign w:val="bottom"/>
          </w:tcPr>
          <w:p>
            <w:pPr>
              <w:ind w:left="34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(47,136)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4"/>
        </w:trPr>
        <w:tc>
          <w:tcPr>
            <w:tcW w:w="3980" w:type="dxa"/>
            <w:vAlign w:val="bottom"/>
          </w:tcPr>
          <w:p>
            <w:pPr>
              <w:ind w:left="660"/>
              <w:spacing w:after="0"/>
              <w:rPr>
                <w:sz w:val="20"/>
                <w:szCs w:val="20"/>
                <w:color w:val="auto"/>
              </w:rPr>
            </w:pPr>
            <w:r>
              <w:rPr>
                <w:rFonts w:ascii="Arial" w:cs="Arial" w:eastAsia="Arial" w:hAnsi="Arial"/>
                <w:sz w:val="16"/>
                <w:szCs w:val="16"/>
                <w:color w:val="auto"/>
              </w:rPr>
              <w:t>Net income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9,807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June 30, 2019</w:t>
            </w: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10,563,774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50,974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171,752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223,392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dividends paid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8,352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ESPP shares issued</w:t>
            </w: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18,586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(44,259)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24"/>
        </w:trPr>
        <w:tc>
          <w:tcPr>
            <w:tcW w:w="3980" w:type="dxa"/>
            <w:vAlign w:val="bottom"/>
          </w:tcPr>
          <w:p>
            <w:pPr>
              <w:ind w:left="660"/>
              <w:spacing w:after="0"/>
              <w:rPr>
                <w:sz w:val="20"/>
                <w:szCs w:val="20"/>
                <w:color w:val="auto"/>
              </w:rPr>
            </w:pPr>
            <w:r>
              <w:rPr>
                <w:rFonts w:ascii="Arial" w:cs="Arial" w:eastAsia="Arial" w:hAnsi="Arial"/>
                <w:sz w:val="16"/>
                <w:szCs w:val="16"/>
                <w:color w:val="auto"/>
              </w:rPr>
              <w:t>Net income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9,250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29, 2019</w:t>
            </w: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10,546,453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50,282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178,557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229,435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dividends paid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4,547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4,547</w:t>
            </w:r>
          </w:p>
        </w:tc>
        <w:tc>
          <w:tcPr>
            <w:tcW w:w="0" w:type="dxa"/>
            <w:vAlign w:val="bottom"/>
          </w:tcPr>
          <w:p>
            <w:pPr>
              <w:spacing w:after="0"/>
              <w:rPr>
                <w:sz w:val="1"/>
                <w:szCs w:val="1"/>
                <w:color w:val="auto"/>
              </w:rPr>
            </w:pPr>
          </w:p>
        </w:tc>
      </w:tr>
      <w:tr>
        <w:trPr>
          <w:trHeight w:val="220"/>
        </w:trPr>
        <w:tc>
          <w:tcPr>
            <w:tcW w:w="3980" w:type="dxa"/>
            <w:vAlign w:val="bottom"/>
          </w:tcPr>
          <w:p>
            <w:pPr>
              <w:ind w:left="20"/>
              <w:spacing w:after="0"/>
              <w:rPr>
                <w:sz w:val="20"/>
                <w:szCs w:val="20"/>
                <w:color w:val="auto"/>
              </w:rPr>
            </w:pPr>
            <w:r>
              <w:rPr>
                <w:rFonts w:ascii="Arial" w:cs="Arial" w:eastAsia="Arial" w:hAnsi="Arial"/>
                <w:sz w:val="16"/>
                <w:szCs w:val="16"/>
                <w:color w:val="auto"/>
              </w:rPr>
              <w:t>BALANCE — December 29, 2019</w:t>
            </w:r>
          </w:p>
        </w:tc>
        <w:tc>
          <w:tcPr>
            <w:tcW w:w="11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10,546,453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50,967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180,659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232,211</w:t>
            </w:r>
          </w:p>
        </w:tc>
        <w:tc>
          <w:tcPr>
            <w:tcW w:w="0" w:type="dxa"/>
            <w:vAlign w:val="bottom"/>
          </w:tcPr>
          <w:p>
            <w:pPr>
              <w:spacing w:after="0"/>
              <w:rPr>
                <w:sz w:val="1"/>
                <w:szCs w:val="1"/>
                <w:color w:val="auto"/>
              </w:rPr>
            </w:pPr>
          </w:p>
        </w:tc>
      </w:tr>
      <w:tr>
        <w:trPr>
          <w:trHeight w:val="24"/>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980" w:type="dxa"/>
            <w:vAlign w:val="bottom"/>
          </w:tcPr>
          <w:p>
            <w:pPr>
              <w:spacing w:after="0"/>
              <w:rPr>
                <w:sz w:val="24"/>
                <w:szCs w:val="24"/>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4"/>
                <w:szCs w:val="24"/>
                <w:color w:val="auto"/>
              </w:rPr>
            </w:pPr>
          </w:p>
        </w:tc>
        <w:tc>
          <w:tcPr>
            <w:tcW w:w="104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39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040" w:type="dxa"/>
            <w:vAlign w:val="bottom"/>
            <w:gridSpan w:val="2"/>
            <w:vMerge w:val="restart"/>
          </w:tcPr>
          <w:p>
            <w:pPr>
              <w:ind w:left="80"/>
              <w:spacing w:after="0" w:line="126"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4"/>
                <w:szCs w:val="4"/>
                <w:color w:val="auto"/>
              </w:rPr>
            </w:pPr>
          </w:p>
        </w:tc>
        <w:tc>
          <w:tcPr>
            <w:tcW w:w="12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4"/>
                <w:szCs w:val="4"/>
                <w:color w:val="auto"/>
              </w:rPr>
            </w:pPr>
          </w:p>
        </w:tc>
        <w:tc>
          <w:tcPr>
            <w:tcW w:w="1040" w:type="dxa"/>
            <w:vAlign w:val="bottom"/>
            <w:vMerge w:val="restart"/>
          </w:tcPr>
          <w:p>
            <w:pPr>
              <w:jc w:val="center"/>
              <w:ind w:right="59"/>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52"/>
        </w:trPr>
        <w:tc>
          <w:tcPr>
            <w:tcW w:w="3980" w:type="dxa"/>
            <w:vAlign w:val="bottom"/>
          </w:tcPr>
          <w:p>
            <w:pPr>
              <w:spacing w:after="0"/>
              <w:rPr>
                <w:sz w:val="4"/>
                <w:szCs w:val="4"/>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4"/>
                <w:szCs w:val="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1"/>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April 1, 2018</w:t>
            </w:r>
          </w:p>
        </w:tc>
        <w:tc>
          <w:tcPr>
            <w:tcW w:w="11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10,631,992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53,877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147,242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202,247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9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Vesting of restricted stock</w:t>
            </w: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24,567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ESPP shares issued</w:t>
            </w: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22,531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9,123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9,123</w:t>
            </w:r>
          </w:p>
        </w:tc>
        <w:tc>
          <w:tcPr>
            <w:tcW w:w="0" w:type="dxa"/>
            <w:vAlign w:val="bottom"/>
          </w:tcPr>
          <w:p>
            <w:pPr>
              <w:spacing w:after="0"/>
              <w:rPr>
                <w:sz w:val="1"/>
                <w:szCs w:val="1"/>
                <w:color w:val="auto"/>
              </w:rPr>
            </w:pPr>
          </w:p>
        </w:tc>
      </w:tr>
      <w:tr>
        <w:trPr>
          <w:trHeight w:val="217"/>
        </w:trPr>
        <w:tc>
          <w:tcPr>
            <w:tcW w:w="3980" w:type="dxa"/>
            <w:vAlign w:val="bottom"/>
          </w:tcPr>
          <w:p>
            <w:pPr>
              <w:ind w:left="20"/>
              <w:spacing w:after="0"/>
              <w:rPr>
                <w:sz w:val="20"/>
                <w:szCs w:val="20"/>
                <w:color w:val="auto"/>
              </w:rPr>
            </w:pPr>
            <w:r>
              <w:rPr>
                <w:rFonts w:ascii="Arial" w:cs="Arial" w:eastAsia="Arial" w:hAnsi="Arial"/>
                <w:sz w:val="16"/>
                <w:szCs w:val="16"/>
                <w:color w:val="auto"/>
              </w:rPr>
              <w:t>BALANCE — July 1, 2018</w:t>
            </w:r>
          </w:p>
        </w:tc>
        <w:tc>
          <w:tcPr>
            <w:tcW w:w="11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10,670,985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54,757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156,365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212,279</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dividends declared</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Vesting of restricted stock</w:t>
            </w:r>
          </w:p>
        </w:tc>
        <w:tc>
          <w:tcPr>
            <w:tcW w:w="11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8,484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7,409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7,409</w:t>
            </w:r>
          </w:p>
        </w:tc>
        <w:tc>
          <w:tcPr>
            <w:tcW w:w="0" w:type="dxa"/>
            <w:vAlign w:val="bottom"/>
          </w:tcPr>
          <w:p>
            <w:pPr>
              <w:spacing w:after="0"/>
              <w:rPr>
                <w:sz w:val="1"/>
                <w:szCs w:val="1"/>
                <w:color w:val="auto"/>
              </w:rPr>
            </w:pPr>
          </w:p>
        </w:tc>
      </w:tr>
      <w:tr>
        <w:trPr>
          <w:trHeight w:val="217"/>
        </w:trPr>
        <w:tc>
          <w:tcPr>
            <w:tcW w:w="3980" w:type="dxa"/>
            <w:vAlign w:val="bottom"/>
          </w:tcPr>
          <w:p>
            <w:pPr>
              <w:ind w:left="20"/>
              <w:spacing w:after="0"/>
              <w:rPr>
                <w:sz w:val="20"/>
                <w:szCs w:val="20"/>
                <w:color w:val="auto"/>
              </w:rPr>
            </w:pPr>
            <w:r>
              <w:rPr>
                <w:rFonts w:ascii="Arial" w:cs="Arial" w:eastAsia="Arial" w:hAnsi="Arial"/>
                <w:sz w:val="16"/>
                <w:szCs w:val="16"/>
                <w:color w:val="auto"/>
              </w:rPr>
              <w:t>BALANCE — September 30, 2018</w:t>
            </w:r>
          </w:p>
        </w:tc>
        <w:tc>
          <w:tcPr>
            <w:tcW w:w="11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10,679,469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55,270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161,362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217,774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dividends declared</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Shares repurchased</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(59,788)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224"/>
        </w:trPr>
        <w:tc>
          <w:tcPr>
            <w:tcW w:w="398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4,130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4,130</w:t>
            </w:r>
          </w:p>
        </w:tc>
        <w:tc>
          <w:tcPr>
            <w:tcW w:w="0" w:type="dxa"/>
            <w:vAlign w:val="bottom"/>
          </w:tcPr>
          <w:p>
            <w:pPr>
              <w:spacing w:after="0"/>
              <w:rPr>
                <w:sz w:val="1"/>
                <w:szCs w:val="1"/>
                <w:color w:val="auto"/>
              </w:rPr>
            </w:pPr>
          </w:p>
        </w:tc>
      </w:tr>
      <w:tr>
        <w:trPr>
          <w:trHeight w:val="217"/>
        </w:trPr>
        <w:tc>
          <w:tcPr>
            <w:tcW w:w="3980" w:type="dxa"/>
            <w:vAlign w:val="bottom"/>
          </w:tcPr>
          <w:p>
            <w:pPr>
              <w:ind w:left="20"/>
              <w:spacing w:after="0"/>
              <w:rPr>
                <w:sz w:val="20"/>
                <w:szCs w:val="20"/>
                <w:color w:val="auto"/>
              </w:rPr>
            </w:pPr>
            <w:r>
              <w:rPr>
                <w:rFonts w:ascii="Arial" w:cs="Arial" w:eastAsia="Arial" w:hAnsi="Arial"/>
                <w:sz w:val="16"/>
                <w:szCs w:val="16"/>
                <w:color w:val="auto"/>
              </w:rPr>
              <w:t>BALANCE — December 30, 2018</w:t>
            </w:r>
          </w:p>
        </w:tc>
        <w:tc>
          <w:tcPr>
            <w:tcW w:w="11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10,619,681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53,478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163,083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217,530</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891"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29,</w:t>
            </w:r>
          </w:p>
        </w:tc>
        <w:tc>
          <w:tcPr>
            <w:tcW w:w="20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December 30,</w:t>
            </w:r>
          </w:p>
        </w:tc>
      </w:tr>
      <w:tr>
        <w:trPr>
          <w:trHeight w:val="210"/>
        </w:trPr>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4"/>
        </w:trPr>
        <w:tc>
          <w:tcPr>
            <w:tcW w:w="762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23,604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20,662</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Reconciliation to cash flows: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76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16,181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16,398</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Operating leases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620" w:type="dxa"/>
            <w:vAlign w:val="bottom"/>
          </w:tcPr>
          <w:p>
            <w:pPr>
              <w:ind w:left="66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98</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(Gain) loss on deferred compensation assets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w:t>
            </w:r>
          </w:p>
        </w:tc>
      </w:tr>
      <w:tr>
        <w:trPr>
          <w:trHeight w:val="224"/>
        </w:trPr>
        <w:tc>
          <w:tcPr>
            <w:tcW w:w="76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(82)</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 compensation expense</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1,574</w:t>
            </w:r>
          </w:p>
        </w:tc>
      </w:tr>
      <w:tr>
        <w:trPr>
          <w:trHeight w:val="224"/>
        </w:trPr>
        <w:tc>
          <w:tcPr>
            <w:tcW w:w="7620" w:type="dxa"/>
            <w:vAlign w:val="bottom"/>
          </w:tcPr>
          <w:p>
            <w:pPr>
              <w:ind w:left="660"/>
              <w:spacing w:after="0"/>
              <w:rPr>
                <w:sz w:val="20"/>
                <w:szCs w:val="20"/>
                <w:color w:val="auto"/>
              </w:rPr>
            </w:pPr>
            <w:r>
              <w:rPr>
                <w:rFonts w:ascii="Arial" w:cs="Arial" w:eastAsia="Arial" w:hAnsi="Arial"/>
                <w:sz w:val="16"/>
                <w:szCs w:val="16"/>
                <w:color w:val="auto"/>
              </w:rPr>
              <w:t>(Gain) loss from property disposals</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54</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Changes in operating accounts providing (using) cash:</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7620" w:type="dxa"/>
            <w:vAlign w:val="bottom"/>
          </w:tcPr>
          <w:p>
            <w:pPr>
              <w:ind w:left="1100"/>
              <w:spacing w:after="0"/>
              <w:rPr>
                <w:sz w:val="20"/>
                <w:szCs w:val="20"/>
                <w:color w:val="auto"/>
              </w:rPr>
            </w:pPr>
            <w:r>
              <w:rPr>
                <w:rFonts w:ascii="Arial" w:cs="Arial" w:eastAsia="Arial" w:hAnsi="Arial"/>
                <w:sz w:val="16"/>
                <w:szCs w:val="16"/>
                <w:color w:val="auto"/>
              </w:rPr>
              <w:t>Trade receivables</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8,035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2,048</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(7,936)</w:t>
            </w:r>
          </w:p>
        </w:tc>
      </w:tr>
      <w:tr>
        <w:trPr>
          <w:trHeight w:val="224"/>
        </w:trPr>
        <w:tc>
          <w:tcPr>
            <w:tcW w:w="7620" w:type="dxa"/>
            <w:vAlign w:val="bottom"/>
          </w:tcPr>
          <w:p>
            <w:pPr>
              <w:ind w:left="110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(4,013)</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1,261</w:t>
            </w:r>
          </w:p>
        </w:tc>
      </w:tr>
      <w:tr>
        <w:trPr>
          <w:trHeight w:val="224"/>
        </w:trPr>
        <w:tc>
          <w:tcPr>
            <w:tcW w:w="7620" w:type="dxa"/>
            <w:vAlign w:val="bottom"/>
          </w:tcPr>
          <w:p>
            <w:pPr>
              <w:ind w:left="1100"/>
              <w:spacing w:after="0"/>
              <w:rPr>
                <w:sz w:val="20"/>
                <w:szCs w:val="20"/>
                <w:color w:val="auto"/>
              </w:rPr>
            </w:pPr>
            <w:r>
              <w:rPr>
                <w:rFonts w:ascii="Arial" w:cs="Arial" w:eastAsia="Arial" w:hAnsi="Arial"/>
                <w:sz w:val="16"/>
                <w:szCs w:val="16"/>
                <w:color w:val="auto"/>
              </w:rPr>
              <w:t>Lease liabilities</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2,558</w:t>
            </w:r>
          </w:p>
        </w:tc>
      </w:tr>
      <w:tr>
        <w:trPr>
          <w:trHeight w:val="224"/>
        </w:trPr>
        <w:tc>
          <w:tcPr>
            <w:tcW w:w="7620" w:type="dxa"/>
            <w:vAlign w:val="bottom"/>
          </w:tcPr>
          <w:p>
            <w:pPr>
              <w:ind w:left="11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(1,832)</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44,991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31,030</w:t>
            </w:r>
          </w:p>
        </w:tc>
      </w:tr>
      <w:tr>
        <w:trPr>
          <w:trHeight w:val="224"/>
        </w:trPr>
        <w:tc>
          <w:tcPr>
            <w:tcW w:w="76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(7,205)</w:t>
            </w:r>
          </w:p>
        </w:tc>
      </w:tr>
      <w:tr>
        <w:trPr>
          <w:trHeight w:val="224"/>
        </w:trPr>
        <w:tc>
          <w:tcPr>
            <w:tcW w:w="7620" w:type="dxa"/>
            <w:vAlign w:val="bottom"/>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167</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(7,038)</w:t>
            </w:r>
          </w:p>
        </w:tc>
      </w:tr>
      <w:tr>
        <w:trPr>
          <w:trHeight w:val="224"/>
        </w:trPr>
        <w:tc>
          <w:tcPr>
            <w:tcW w:w="76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(9,525)</w:t>
            </w:r>
          </w:p>
        </w:tc>
      </w:tr>
      <w:tr>
        <w:trPr>
          <w:trHeight w:val="224"/>
        </w:trPr>
        <w:tc>
          <w:tcPr>
            <w:tcW w:w="7620" w:type="dxa"/>
            <w:vAlign w:val="bottom"/>
          </w:tcPr>
          <w:p>
            <w:pPr>
              <w:ind w:left="340"/>
              <w:spacing w:after="0"/>
              <w:rPr>
                <w:sz w:val="20"/>
                <w:szCs w:val="20"/>
                <w:color w:val="auto"/>
              </w:rPr>
            </w:pPr>
            <w:r>
              <w:rPr>
                <w:rFonts w:ascii="Arial" w:cs="Arial" w:eastAsia="Arial" w:hAnsi="Arial"/>
                <w:sz w:val="16"/>
                <w:szCs w:val="16"/>
                <w:color w:val="auto"/>
              </w:rPr>
              <w:t>New shares issued</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677</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Shares surrendered for payroll taxes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r>
      <w:tr>
        <w:trPr>
          <w:trHeight w:val="224"/>
        </w:trPr>
        <w:tc>
          <w:tcPr>
            <w:tcW w:w="7620" w:type="dxa"/>
            <w:vAlign w:val="bottom"/>
          </w:tcPr>
          <w:p>
            <w:pPr>
              <w:ind w:left="340"/>
              <w:spacing w:after="0"/>
              <w:rPr>
                <w:sz w:val="20"/>
                <w:szCs w:val="20"/>
                <w:color w:val="auto"/>
              </w:rPr>
            </w:pPr>
            <w:r>
              <w:rPr>
                <w:rFonts w:ascii="Arial" w:cs="Arial" w:eastAsia="Arial" w:hAnsi="Arial"/>
                <w:sz w:val="16"/>
                <w:szCs w:val="16"/>
                <w:color w:val="auto"/>
              </w:rPr>
              <w:t>Shares repurchased</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(2,386)</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payments on revolver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75,000</w:t>
            </w:r>
          </w:p>
        </w:tc>
      </w:tr>
      <w:tr>
        <w:trPr>
          <w:trHeight w:val="224"/>
        </w:trPr>
        <w:tc>
          <w:tcPr>
            <w:tcW w:w="7620" w:type="dxa"/>
            <w:vAlign w:val="bottom"/>
          </w:tcPr>
          <w:p>
            <w:pPr>
              <w:ind w:left="340"/>
              <w:spacing w:after="0"/>
              <w:rPr>
                <w:sz w:val="20"/>
                <w:szCs w:val="20"/>
                <w:color w:val="auto"/>
              </w:rPr>
            </w:pPr>
            <w:r>
              <w:rPr>
                <w:rFonts w:ascii="Arial" w:cs="Arial" w:eastAsia="Arial" w:hAnsi="Arial"/>
                <w:sz w:val="16"/>
                <w:szCs w:val="16"/>
                <w:color w:val="auto"/>
              </w:rPr>
              <w:t>Payments on term loan borrowings</w:t>
            </w:r>
          </w:p>
        </w:tc>
        <w:tc>
          <w:tcPr>
            <w:tcW w:w="20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(85,000)</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Payments for debt issuance costs</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r>
      <w:tr>
        <w:trPr>
          <w:trHeight w:val="217"/>
        </w:trPr>
        <w:tc>
          <w:tcPr>
            <w:tcW w:w="7620" w:type="dxa"/>
            <w:vAlign w:val="bottom"/>
          </w:tcPr>
          <w:p>
            <w:pPr>
              <w:ind w:left="14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(21,682)</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2,310</w:t>
            </w:r>
          </w:p>
        </w:tc>
      </w:tr>
      <w:tr>
        <w:trPr>
          <w:trHeight w:val="224"/>
        </w:trPr>
        <w:tc>
          <w:tcPr>
            <w:tcW w:w="7620" w:type="dxa"/>
            <w:vAlign w:val="bottom"/>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9,199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4,990</w:t>
            </w:r>
          </w:p>
        </w:tc>
      </w:tr>
      <w:tr>
        <w:trPr>
          <w:trHeight w:val="33"/>
        </w:trPr>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7,300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7620" w:type="dxa"/>
            <w:vAlign w:val="bottom"/>
          </w:tcPr>
          <w:p>
            <w:pPr>
              <w:ind w:left="340"/>
              <w:spacing w:after="0"/>
              <w:rPr>
                <w:sz w:val="20"/>
                <w:szCs w:val="20"/>
                <w:color w:val="auto"/>
              </w:rPr>
            </w:pPr>
            <w:r>
              <w:rPr>
                <w:rFonts w:ascii="Arial" w:cs="Arial" w:eastAsia="Arial" w:hAnsi="Arial"/>
                <w:sz w:val="16"/>
                <w:szCs w:val="16"/>
                <w:color w:val="auto"/>
              </w:rPr>
              <w:t>Cash paid for income taxes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8,653</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5,100</w:t>
            </w:r>
          </w:p>
        </w:tc>
      </w:tr>
      <w:tr>
        <w:trPr>
          <w:trHeight w:val="33"/>
        </w:trPr>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2,238</w:t>
            </w:r>
          </w:p>
        </w:tc>
      </w:tr>
      <w:tr>
        <w:trPr>
          <w:trHeight w:val="224"/>
        </w:trPr>
        <w:tc>
          <w:tcPr>
            <w:tcW w:w="7620" w:type="dxa"/>
            <w:vAlign w:val="bottom"/>
          </w:tcPr>
          <w:p>
            <w:pPr>
              <w:ind w:left="34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326</w:t>
            </w:r>
          </w:p>
        </w:tc>
      </w:tr>
    </w:tbl>
    <w:p>
      <w:pPr>
        <w:spacing w:after="0" w:line="18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820"/>
          </w:cols>
          <w:pgMar w:left="240" w:top="89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20"/>
          </w:cols>
          <w:pgMar w:left="240" w:top="891" w:right="8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38" w:lineRule="exact"/>
        <w:rPr>
          <w:sz w:val="20"/>
          <w:szCs w:val="20"/>
          <w:color w:val="auto"/>
        </w:rPr>
      </w:pPr>
    </w:p>
    <w:p>
      <w:pPr>
        <w:ind w:right="100"/>
        <w:spacing w:after="0" w:line="290" w:lineRule="auto"/>
        <w:rPr>
          <w:rFonts w:ascii="Arial" w:cs="Arial" w:eastAsia="Arial" w:hAnsi="Arial"/>
          <w:sz w:val="16"/>
          <w:szCs w:val="16"/>
          <w:color w:val="0000FF"/>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accompanying unaudited condensed consolidated financial statements have been prepared in accordance with the instructions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Form 10-Q and, accordingly, do not include all information and footnotes required by generally accepted accounting principles for complete financial </w:t>
      </w:r>
      <w:hyperlink r:id="rId18">
        <w:r>
          <w:rPr>
            <w:rFonts w:ascii="Arial" w:cs="Arial" w:eastAsia="Arial" w:hAnsi="Arial"/>
            <w:sz w:val="16"/>
            <w:szCs w:val="16"/>
            <w:color w:val="auto"/>
          </w:rPr>
          <w:t xml:space="preserve">statements. These financial statements should be read in conjunction with the consolidated financial statements and footnotes included in our </w:t>
        </w:r>
        <w:r>
          <w:rPr>
            <w:rFonts w:ascii="Arial" w:cs="Arial" w:eastAsia="Arial" w:hAnsi="Arial"/>
            <w:sz w:val="16"/>
            <w:szCs w:val="16"/>
            <w:u w:val="single" w:color="auto"/>
            <w:color w:val="0000FF"/>
          </w:rPr>
          <w:t>Annual Report</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FF"/>
          </w:rPr>
          <w:t>on Form 10-K for the fiscal year ended March 31, 2019</w:t>
        </w:r>
        <w:r>
          <w:rPr>
            <w:rFonts w:ascii="Arial" w:cs="Arial" w:eastAsia="Arial" w:hAnsi="Arial"/>
            <w:sz w:val="16"/>
            <w:szCs w:val="16"/>
            <w:color w:val="000000"/>
          </w:rPr>
          <w:t>, previously filed with the Securities and Exchange Commission (“SEC”). In the opinion of</w:t>
        </w:r>
      </w:hyperlink>
      <w:r>
        <w:rPr>
          <w:rFonts w:ascii="Arial" w:cs="Arial" w:eastAsia="Arial" w:hAnsi="Arial"/>
          <w:sz w:val="16"/>
          <w:szCs w:val="16"/>
          <w:color w:val="0000FF"/>
        </w:rPr>
        <w:t xml:space="preserve"> </w:t>
      </w:r>
      <w:r>
        <w:rPr>
          <w:rFonts w:ascii="Arial" w:cs="Arial" w:eastAsia="Arial" w:hAnsi="Arial"/>
          <w:sz w:val="16"/>
          <w:szCs w:val="16"/>
          <w:color w:val="000000"/>
        </w:rPr>
        <w:t>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nine months ended December 29, 2019 are not necessarily indicative of the results that may be expected for the full year.</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References to fiscal 2018 refer to the fiscal year ended April 1, 2018, references to fiscal 2019 refer to the fiscal year ended March 31, 2019 and references to fiscal 2020 refer to the fiscal year ending March 29, 2020.</w:t>
      </w:r>
    </w:p>
    <w:p>
      <w:pPr>
        <w:spacing w:after="0" w:line="197"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condensed consolidated financial statements in conformity with accounting principles generally accepted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181" w:lineRule="exact"/>
        <w:rPr>
          <w:sz w:val="20"/>
          <w:szCs w:val="20"/>
          <w:color w:val="auto"/>
        </w:rPr>
      </w:pPr>
    </w:p>
    <w:p>
      <w:pPr>
        <w:jc w:val="both"/>
        <w:ind w:right="100"/>
        <w:spacing w:after="0" w:line="312"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Accounting Policies. </w:t>
      </w:r>
      <w:r>
        <w:rPr>
          <w:rFonts w:ascii="Arial" w:cs="Arial" w:eastAsia="Arial" w:hAnsi="Arial"/>
          <w:sz w:val="16"/>
          <w:szCs w:val="16"/>
          <w:color w:val="auto"/>
        </w:rPr>
        <w:t>The accounting policies we follow are set forth in Note 1 – Nature of Business and Significant Accounting Policies to our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financial statements in our </w:t>
      </w:r>
      <w:hyperlink r:id="rId18">
        <w:r>
          <w:rPr>
            <w:rFonts w:ascii="Arial" w:cs="Arial" w:eastAsia="Arial" w:hAnsi="Arial"/>
            <w:sz w:val="16"/>
            <w:szCs w:val="16"/>
            <w:u w:val="single" w:color="auto"/>
            <w:color w:val="0000FF"/>
          </w:rPr>
          <w:t>Annual Report on Form 10-K for the fiscal year ended March 31, 2019</w:t>
        </w:r>
      </w:hyperlink>
      <w:r>
        <w:rPr>
          <w:rFonts w:ascii="Arial" w:cs="Arial" w:eastAsia="Arial" w:hAnsi="Arial"/>
          <w:sz w:val="16"/>
          <w:szCs w:val="16"/>
          <w:color w:val="auto"/>
        </w:rPr>
        <w:t>, previously filed with the SEC. With the exception of our accounting policy regarding leases (see below), there has been no significant change in our accounting policies since the end of fiscal 2019.</w:t>
      </w:r>
    </w:p>
    <w:p>
      <w:pPr>
        <w:spacing w:after="0" w:line="17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The Company determines if an arrangement is a lease at inception. Right-of-use (“ROU”) assets include operating leases. Lease liabilities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leases are classified in “short-term lease liabilities” and “long-term lease liabilities” in our condensed consolidated balance sheet.</w:t>
      </w:r>
    </w:p>
    <w:p>
      <w:pPr>
        <w:spacing w:after="0" w:line="15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assets and liabilities are recognized at commencement date based on the present value of the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Lease terms may include options to extend or terminate the lease when it is reasonably certain that we will exercise that option. Lease expense for lease payments is recognized on a straight-line basis over the lease term.</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June 2016, the Financial Accounting Standards Board issued Accounting Standards Update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326), Measurement of Credit Losses on Financial Instruments</w:t>
      </w:r>
      <w:r>
        <w:rPr>
          <w:rFonts w:ascii="Arial" w:cs="Arial" w:eastAsia="Arial" w:hAnsi="Arial"/>
          <w:sz w:val="17"/>
          <w:szCs w:val="17"/>
          <w:color w:val="auto"/>
        </w:rPr>
        <w:t>. The amendments in this update replace the incurred loss impairment methodology in</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which for us is our fiscal year beginning March 30, 2020. Entities may early adopt beginning after December 15, 2018. Upon adoption, we expect this ASU to impact our method for calculating and estimating our allowance for doubtful accounts, but do not expect it to have a material impact to our financial position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On April 1, 2019, we adopted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provides new accounting guidance requiring lessees to recognize most leases as assets and liabilities on the balance sheet and disclose key information about leasing arrangements. The new standard establishes a ROU model that requires a lessee to recognize a ROU asset and lease liability on the balance sheet for all leases with a term longer than 12 months. Leases will be classified as finance or operating, with classification affecting the pattern and expense recognition in the income statement. We adopted this ASU using the modified retrospective method. See Note 11 to the condensed consolidated financial statements for further details.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Revenue</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external customer net sales by major revenue stream for the three and nine months ended December 29,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2018:</w:t>
      </w:r>
    </w:p>
    <w:p>
      <w:pPr>
        <w:spacing w:after="0" w:line="45"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Three months ended December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34290</wp:posOffset>
            </wp:positionV>
            <wp:extent cx="3567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right="1440"/>
        <w:spacing w:after="0" w:line="267"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right="1440"/>
        <w:spacing w:after="0" w:line="267"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right="1440"/>
        <w:spacing w:after="0" w:line="267"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 and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Treatment</w:t>
            </w:r>
          </w:p>
        </w:tc>
        <w:tc>
          <w:tcPr>
            <w:tcW w:w="1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11,615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19,186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35,081</w:t>
            </w:r>
          </w:p>
        </w:tc>
      </w:tr>
      <w:tr>
        <w:trPr>
          <w:trHeight w:val="270"/>
        </w:trPr>
        <w:tc>
          <w:tcPr>
            <w:tcW w:w="2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50,547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30,251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84,016</w:t>
            </w:r>
          </w:p>
        </w:tc>
      </w:tr>
      <w:tr>
        <w:trPr>
          <w:trHeight w:val="270"/>
        </w:trPr>
        <w:tc>
          <w:tcPr>
            <w:tcW w:w="2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1,309</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63,018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34,890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22,498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120,406</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-736600</wp:posOffset>
            </wp:positionV>
            <wp:extent cx="722058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-385445</wp:posOffset>
            </wp:positionV>
            <wp:extent cx="72205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3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Three months ended December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5674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 and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Treatment</w:t>
            </w:r>
          </w:p>
        </w:tc>
        <w:tc>
          <w:tcPr>
            <w:tcW w:w="1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15,740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22,933</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43,868</w:t>
            </w:r>
          </w:p>
        </w:tc>
      </w:tr>
      <w:tr>
        <w:trPr>
          <w:trHeight w:val="270"/>
        </w:trPr>
        <w:tc>
          <w:tcPr>
            <w:tcW w:w="2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52,130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27,189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3,355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82,674</w:t>
            </w:r>
          </w:p>
        </w:tc>
      </w:tr>
      <w:tr>
        <w:trPr>
          <w:trHeight w:val="270"/>
        </w:trPr>
        <w:tc>
          <w:tcPr>
            <w:tcW w:w="2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1,609</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69,026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32,740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26,385</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128,151</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-736600</wp:posOffset>
            </wp:positionV>
            <wp:extent cx="722058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-385445</wp:posOffset>
            </wp:positionV>
            <wp:extent cx="72205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32"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Nine months ended December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5674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 and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Treatment</w:t>
            </w:r>
          </w:p>
        </w:tc>
        <w:tc>
          <w:tcPr>
            <w:tcW w:w="1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38,405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13,959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66,681</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119,045</w:t>
            </w:r>
          </w:p>
        </w:tc>
      </w:tr>
      <w:tr>
        <w:trPr>
          <w:trHeight w:val="270"/>
        </w:trPr>
        <w:tc>
          <w:tcPr>
            <w:tcW w:w="2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165,447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108,888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284,886</w:t>
            </w:r>
          </w:p>
        </w:tc>
      </w:tr>
      <w:tr>
        <w:trPr>
          <w:trHeight w:val="270"/>
        </w:trPr>
        <w:tc>
          <w:tcPr>
            <w:tcW w:w="2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3,854</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206,433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124,010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77,342</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407,785</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-736600</wp:posOffset>
            </wp:positionV>
            <wp:extent cx="722058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-385445</wp:posOffset>
            </wp:positionV>
            <wp:extent cx="72205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wp:posOffset>
            </wp:positionV>
            <wp:extent cx="35674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567430" cy="171450"/>
                    </a:xfrm>
                    <a:prstGeom prst="rect">
                      <a:avLst/>
                    </a:prstGeom>
                    <a:noFill/>
                  </pic:spPr>
                </pic:pic>
              </a:graphicData>
            </a:graphic>
          </wp:anchor>
        </w:drawing>
      </w:r>
    </w:p>
    <w:p>
      <w:pPr>
        <w:spacing w:after="0" w:line="232"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Nine months ended December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567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040" w:space="720"/>
            <w:col w:w="5660"/>
          </w:cols>
          <w:pgMar w:left="240" w:top="891" w:right="239" w:bottom="1440" w:gutter="0" w:footer="0" w:header="0"/>
          <w:type w:val="continuous"/>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right="1440"/>
        <w:spacing w:after="0" w:line="267"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 and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Treatment</w:t>
            </w:r>
          </w:p>
        </w:tc>
        <w:tc>
          <w:tcPr>
            <w:tcW w:w="1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45,983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16,999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83,234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146,216</w:t>
            </w:r>
          </w:p>
        </w:tc>
      </w:tr>
      <w:tr>
        <w:trPr>
          <w:trHeight w:val="270"/>
        </w:trPr>
        <w:tc>
          <w:tcPr>
            <w:tcW w:w="2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163,366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98,153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272,558</w:t>
            </w:r>
          </w:p>
        </w:tc>
      </w:tr>
      <w:tr>
        <w:trPr>
          <w:trHeight w:val="270"/>
        </w:trPr>
        <w:tc>
          <w:tcPr>
            <w:tcW w:w="200" w:type="dxa"/>
            <w:vAlign w:val="bottom"/>
          </w:tcPr>
          <w:p>
            <w:pPr>
              <w:spacing w:after="0"/>
              <w:rPr>
                <w:sz w:val="23"/>
                <w:szCs w:val="23"/>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4,501</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212,446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116,322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94,507</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423,275</w:t>
            </w:r>
          </w:p>
        </w:tc>
      </w:tr>
      <w:tr>
        <w:trPr>
          <w:trHeight w:val="27"/>
        </w:trPr>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-736600</wp:posOffset>
            </wp:positionV>
            <wp:extent cx="722058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-3651885</wp:posOffset>
            </wp:positionH>
            <wp:positionV relativeFrom="paragraph">
              <wp:posOffset>-385445</wp:posOffset>
            </wp:positionV>
            <wp:extent cx="722058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720"/>
            <w:col w:w="5660"/>
          </w:cols>
          <w:pgMar w:left="240" w:top="891" w:right="239" w:bottom="1440" w:gutter="0" w:footer="0" w:header="0"/>
          <w:type w:val="continuous"/>
        </w:sectPr>
      </w:pPr>
    </w:p>
    <w:p>
      <w:pPr>
        <w:spacing w:after="0" w:line="114" w:lineRule="exact"/>
        <w:rPr>
          <w:sz w:val="20"/>
          <w:szCs w:val="20"/>
          <w:color w:val="auto"/>
        </w:rPr>
      </w:pPr>
    </w:p>
    <w:p>
      <w:pPr>
        <w:ind w:left="660" w:right="40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420" w:hanging="328"/>
        <w:spacing w:after="0" w:line="25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ectPr>
          <w:pgSz w:w="11900" w:h="16838" w:orient="portrait"/>
          <w:cols w:equalWidth="0" w:num="1">
            <w:col w:w="11420"/>
          </w:cols>
          <w:pgMar w:left="240" w:top="89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9" w:name="page10"/>
    <w:bookmarkEnd w:id="9"/>
    <w:p>
      <w:pPr>
        <w:spacing w:after="0" w:line="286" w:lineRule="auto"/>
        <w:rPr>
          <w:sz w:val="20"/>
          <w:szCs w:val="20"/>
          <w:color w:val="auto"/>
        </w:rPr>
      </w:pPr>
      <w:r>
        <w:rPr>
          <w:rFonts w:ascii="Arial" w:cs="Arial" w:eastAsia="Arial" w:hAnsi="Arial"/>
          <w:sz w:val="16"/>
          <w:szCs w:val="16"/>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 revenues accordingly.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Share</w:t>
      </w:r>
    </w:p>
    <w:p>
      <w:pPr>
        <w:spacing w:after="0" w:line="25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dilutive impact of incremental shares assumed to be issued as performance units and restricted stock. Basic and diluted EPS were calculated using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00" w:type="dxa"/>
            <w:vAlign w:val="bottom"/>
            <w:gridSpan w:val="4"/>
          </w:tcPr>
          <w:p>
            <w:pPr>
              <w:ind w:left="84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7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29,</w:t>
            </w:r>
          </w:p>
        </w:tc>
        <w:tc>
          <w:tcPr>
            <w:tcW w:w="17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December 30,</w:t>
            </w:r>
          </w:p>
        </w:tc>
        <w:tc>
          <w:tcPr>
            <w:tcW w:w="16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29,</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30,</w:t>
            </w:r>
          </w:p>
        </w:tc>
      </w:tr>
      <w:tr>
        <w:trPr>
          <w:trHeight w:val="234"/>
        </w:trPr>
        <w:tc>
          <w:tcPr>
            <w:tcW w:w="47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10,546,453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10,667,001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10,575,432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10,663,807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59,442</w:t>
            </w:r>
          </w:p>
        </w:tc>
        <w:tc>
          <w:tcPr>
            <w:tcW w:w="1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45,026</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80,683</w:t>
            </w:r>
          </w:p>
        </w:tc>
        <w:tc>
          <w:tcPr>
            <w:tcW w:w="100" w:type="dxa"/>
            <w:vAlign w:val="bottom"/>
          </w:tcPr>
          <w:p>
            <w:pPr>
              <w:spacing w:after="0"/>
              <w:rPr>
                <w:sz w:val="21"/>
                <w:szCs w:val="21"/>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63,570</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10,605,895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10,712,027</w:t>
            </w:r>
          </w:p>
        </w:tc>
        <w:tc>
          <w:tcPr>
            <w:tcW w:w="1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10,656,115</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10,727,377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each of the three and nine months ended December 29, 2019 and December 30, 2018, there were no shares excluded from the calculation of weighted-average common shares for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$20 million swap agreement will terminate on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three months ended December 29, 2019, we recorded a nominal amount in other comprehensive loss related to unrealized losses (net of tax) on the cash flow hedge described above. For the nine months ended December 29, 2019, we recorded $0.3 million in other comprehensive loss related to unrealized losses (net of tax) on the cash flow hedge. For both the three and nine months ended December 30, 2018, we recorded $0.2 million in other comprehensive loss related to unrealized losses (net of tax) on the cash flow hedge. Included in prepaid expenses and other current assets on our condensed consolidated balance sheet was $0.1 million as of December 29, 2019 related to the cash flow hedge. As of March 31, 2019, $0.4 million was included in other long-term assets on our condensed consolidated balance sheet related to the cash flow hedge. Unrealized gains and losses will be reflected in net income when the related cash flows or hedged transactions occur and offset the related performance of the hedged item.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sectPr>
      </w:pPr>
    </w:p>
    <w:bookmarkStart w:id="10" w:name="page11"/>
    <w:bookmarkEnd w:id="10"/>
    <w:p>
      <w:pPr>
        <w:ind w:right="260"/>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5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43" w:lineRule="exact"/>
        <w:rPr>
          <w:sz w:val="20"/>
          <w:szCs w:val="20"/>
          <w:color w:val="auto"/>
        </w:rPr>
      </w:pPr>
    </w:p>
    <w:p>
      <w:pPr>
        <w:ind w:left="1240"/>
        <w:spacing w:after="0"/>
        <w:tabs>
          <w:tab w:leader="none" w:pos="20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ind w:left="2100" w:right="400" w:hanging="873"/>
        <w:spacing w:after="0" w:line="264" w:lineRule="auto"/>
        <w:tabs>
          <w:tab w:leader="none" w:pos="20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9" w:lineRule="exact"/>
        <w:rPr>
          <w:sz w:val="20"/>
          <w:szCs w:val="20"/>
          <w:color w:val="auto"/>
        </w:rPr>
      </w:pPr>
    </w:p>
    <w:p>
      <w:pPr>
        <w:ind w:left="2100" w:right="1060" w:hanging="873"/>
        <w:spacing w:after="0" w:line="264" w:lineRule="auto"/>
        <w:tabs>
          <w:tab w:leader="none" w:pos="20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357"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1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The interest rate swap is classified as prepaid expenses and other current assets on our balance sheet as of December 29, 2019. The deferred compensation retirement plan assets are classified as other long-term assets on our balance sheet, with the portion of the deferred compensation retirement plan assets expected to be paid within twelve months classified as other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balances of assets measured at fair value on a recurring basis as of December 29, 2019 and March 31,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December 29, 2019</w:t>
            </w:r>
          </w:p>
        </w:tc>
        <w:tc>
          <w:tcPr>
            <w:tcW w:w="82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Level 1</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648"/>
        </w:trPr>
        <w:tc>
          <w:tcPr>
            <w:tcW w:w="8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March 31, 2019</w:t>
            </w:r>
          </w:p>
        </w:tc>
        <w:tc>
          <w:tcPr>
            <w:tcW w:w="820" w:type="dxa"/>
            <w:vAlign w:val="bottom"/>
          </w:tcPr>
          <w:p>
            <w:pPr>
              <w:spacing w:after="0"/>
              <w:rPr>
                <w:sz w:val="24"/>
                <w:szCs w:val="24"/>
                <w:color w:val="auto"/>
              </w:rPr>
            </w:pPr>
          </w:p>
        </w:tc>
      </w:tr>
      <w:tr>
        <w:trPr>
          <w:trHeight w:val="27"/>
        </w:trPr>
        <w:tc>
          <w:tcPr>
            <w:tcW w:w="8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Level 1</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ind w:left="500"/>
              <w:spacing w:after="0"/>
              <w:rPr>
                <w:sz w:val="20"/>
                <w:szCs w:val="20"/>
                <w:color w:val="auto"/>
              </w:rPr>
            </w:pPr>
            <w:r>
              <w:rPr>
                <w:rFonts w:ascii="Arial" w:cs="Arial" w:eastAsia="Arial" w:hAnsi="Arial"/>
                <w:sz w:val="18"/>
                <w:szCs w:val="18"/>
                <w:color w:val="auto"/>
              </w:rPr>
              <w:t>—</w:t>
            </w: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Assets Held for Sale</w:t>
      </w:r>
    </w:p>
    <w:p>
      <w:pPr>
        <w:spacing w:after="0" w:line="25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In fiscal 2019, management entered into a plan of action to dispose of an office building in St. Louis, Missouri currently utilized in the administration of our Industrial segment. The amount of office space in this facility is no longer needed due to current staffing levels, and management expects to relocate affected employees to leased space. The building is listed for sale at a price in excess of its current book value, and thus no impairment has been recognized. The $0.9 million net book value of this property is recorded as an asset held for sale within “Prepaid expenses and other current assets” on our balance sheet.</w:t>
      </w:r>
    </w:p>
    <w:p>
      <w:pPr>
        <w:sectPr>
          <w:pgSz w:w="11900" w:h="16838" w:orient="portrait"/>
          <w:cols w:equalWidth="0" w:num="1">
            <w:col w:w="11420"/>
          </w:cols>
          <w:pgMar w:left="240" w:top="8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Note 7 – Inventories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18"/>
                <w:szCs w:val="18"/>
                <w:color w:val="auto"/>
              </w:rPr>
              <w:t>Inventories at December 29, 2019 and March 31, 2019 consisted of the following:</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2"/>
        </w:trPr>
        <w:tc>
          <w:tcPr>
            <w:tcW w:w="8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29,</w:t>
            </w:r>
          </w:p>
        </w:tc>
        <w:tc>
          <w:tcPr>
            <w:tcW w:w="260" w:type="dxa"/>
            <w:vAlign w:val="bottom"/>
          </w:tcPr>
          <w:p>
            <w:pPr>
              <w:spacing w:after="0"/>
              <w:rPr>
                <w:sz w:val="21"/>
                <w:szCs w:val="21"/>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March 31,</w:t>
            </w:r>
          </w:p>
        </w:tc>
      </w:tr>
      <w:tr>
        <w:trPr>
          <w:trHeight w:val="25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61,976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65,526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LIFO reserve</w:t>
            </w:r>
          </w:p>
        </w:tc>
        <w:tc>
          <w:tcPr>
            <w:tcW w:w="180" w:type="dxa"/>
            <w:vAlign w:val="bottom"/>
          </w:tcPr>
          <w:p>
            <w:pPr>
              <w:spacing w:after="0"/>
              <w:rPr>
                <w:sz w:val="21"/>
                <w:szCs w:val="21"/>
                <w:color w:val="auto"/>
              </w:rPr>
            </w:pPr>
          </w:p>
        </w:tc>
        <w:tc>
          <w:tcPr>
            <w:tcW w:w="1400" w:type="dxa"/>
            <w:vAlign w:val="bottom"/>
          </w:tcPr>
          <w:p>
            <w:pPr>
              <w:ind w:left="76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(5,044)</w:t>
            </w:r>
          </w:p>
        </w:tc>
      </w:tr>
      <w:tr>
        <w:trPr>
          <w:trHeight w:val="27"/>
        </w:trPr>
        <w:tc>
          <w:tcPr>
            <w:tcW w:w="8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57,542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60,482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$43.7 million at December 29, 2019 and $45.2 million at March 31, 2019. The remainder of the inventory was valued and accounted for under the FIFO method.</w:t>
      </w:r>
    </w:p>
    <w:p>
      <w:pPr>
        <w:spacing w:after="0" w:line="19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LIFO reserve decreased $0.3 million during the three months ended December 29, 2019 and decreased $0.5 million during the three months ended December 30, 2018. During the nine months ended December 29, 2019, the LIFO reserve decreased $0.6 million and decreased nominally during the nine months ended December 30, 2018. The valuation of LIFO inventory for interim periods is based on our estimates of year-end inventory levels and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carrying amount of goodwill was $58.4 million as of December 29, 2019 and March 31, 2019, of which $44.9 million was related to our Health and Nutrition segment, $7.0 million was related to our Water Treatment segment, and $6.5 million was related to our Industrial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December 29, 2019 and March 31, 2019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29, 2019</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840" w:type="dxa"/>
            <w:vAlign w:val="bottom"/>
            <w:gridSpan w:val="2"/>
          </w:tcPr>
          <w:p>
            <w:pPr>
              <w:jc w:val="right"/>
              <w:ind w:right="250"/>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4"/>
          </w:tcPr>
          <w:p>
            <w:pPr>
              <w:jc w:val="right"/>
              <w:ind w:right="190"/>
              <w:spacing w:after="0" w:line="15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Amortization</w:t>
            </w: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78,383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(20,277)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58,106</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78,383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rPr>
              <w:t>(16,910)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61,473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7"/>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3,648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gridSpan w:val="3"/>
          </w:tcPr>
          <w:p>
            <w:pPr>
              <w:jc w:val="right"/>
              <w:ind w:right="30"/>
              <w:spacing w:after="0"/>
              <w:rPr>
                <w:sz w:val="20"/>
                <w:szCs w:val="20"/>
                <w:color w:val="auto"/>
              </w:rPr>
            </w:pPr>
            <w:r>
              <w:rPr>
                <w:rFonts w:ascii="Arial" w:cs="Arial" w:eastAsia="Arial" w:hAnsi="Arial"/>
                <w:sz w:val="18"/>
                <w:szCs w:val="18"/>
                <w:color w:val="auto"/>
                <w:w w:val="87"/>
              </w:rPr>
              <w:t>(3,552)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88,076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60,694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88,076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(23,577)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64,499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89,303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61,921</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89,303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(23,577)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65,726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gridSpan w:val="7"/>
          </w:tcPr>
          <w:p>
            <w:pPr>
              <w:spacing w:after="0"/>
              <w:rPr>
                <w:sz w:val="20"/>
                <w:szCs w:val="20"/>
                <w:color w:val="auto"/>
              </w:rPr>
            </w:pPr>
            <w:r>
              <w:rPr>
                <w:rFonts w:ascii="Arial" w:cs="Arial" w:eastAsia="Arial" w:hAnsi="Arial"/>
                <w:sz w:val="18"/>
                <w:szCs w:val="18"/>
                <w:color w:val="auto"/>
              </w:rPr>
              <w:t>Debt at December 29, 2019 and March 31, 2019 consisted of the following:</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0"/>
              </w:rPr>
              <w:t>December 29,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3"/>
          </w:tcPr>
          <w:p>
            <w:pPr>
              <w:jc w:val="right"/>
              <w:ind w:right="355"/>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1"/>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87"/>
              </w:rPr>
              <w:t>68,000</w:t>
            </w:r>
          </w:p>
        </w:tc>
        <w:tc>
          <w:tcPr>
            <w:tcW w:w="64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2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67,635</w:t>
            </w:r>
          </w:p>
        </w:tc>
        <w:tc>
          <w:tcPr>
            <w:tcW w:w="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84,565</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(9,907)</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57,728</w:t>
            </w:r>
          </w:p>
        </w:tc>
        <w:tc>
          <w:tcPr>
            <w:tcW w:w="140" w:type="dxa"/>
            <w:vAlign w:val="bottom"/>
            <w:tcBorders>
              <w:top w:val="single" w:sz="8" w:color="auto"/>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74,658</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891"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and with few exceptions, state and local</w:t>
      </w:r>
    </w:p>
    <w:p>
      <w:pPr>
        <w:spacing w:after="0" w:line="1" w:lineRule="exact"/>
        <w:rPr>
          <w:sz w:val="20"/>
          <w:szCs w:val="20"/>
          <w:color w:val="auto"/>
        </w:rPr>
      </w:pPr>
    </w:p>
    <w:p>
      <w:pPr>
        <w:ind w:right="760"/>
        <w:spacing w:after="0" w:line="323" w:lineRule="auto"/>
        <w:rPr>
          <w:sz w:val="20"/>
          <w:szCs w:val="20"/>
          <w:color w:val="auto"/>
        </w:rPr>
      </w:pPr>
      <w:r>
        <w:rPr>
          <w:rFonts w:ascii="Arial" w:cs="Arial" w:eastAsia="Arial" w:hAnsi="Arial"/>
          <w:sz w:val="16"/>
          <w:szCs w:val="16"/>
          <w:color w:val="auto"/>
        </w:rPr>
        <w:t>income tax jurisdictions. Our effective tax rate for the nine months ended December 29, 2019 was 26.6% and was 26.8% for the nine months ended December 30, 2018. The effective tax rate is impacted by projected levels of annual taxable income, permanent items, and state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52"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Adoption of ASU 2016-02, Leases. </w:t>
      </w:r>
      <w:r>
        <w:rPr>
          <w:rFonts w:ascii="Arial" w:cs="Arial" w:eastAsia="Arial" w:hAnsi="Arial"/>
          <w:sz w:val="16"/>
          <w:szCs w:val="16"/>
          <w:color w:val="auto"/>
        </w:rPr>
        <w:t>On April 1, 2019, we adopted ASU 2016-02 using the modified retrospective method applied to existing leases in place</w:t>
      </w:r>
      <w:r>
        <w:rPr>
          <w:rFonts w:ascii="Arial" w:cs="Arial" w:eastAsia="Arial" w:hAnsi="Arial"/>
          <w:sz w:val="16"/>
          <w:szCs w:val="16"/>
          <w:b w:val="1"/>
          <w:bCs w:val="1"/>
          <w:color w:val="auto"/>
        </w:rPr>
        <w:t xml:space="preserve"> </w:t>
      </w:r>
      <w:r>
        <w:rPr>
          <w:rFonts w:ascii="Arial" w:cs="Arial" w:eastAsia="Arial" w:hAnsi="Arial"/>
          <w:sz w:val="16"/>
          <w:szCs w:val="16"/>
          <w:color w:val="auto"/>
        </w:rPr>
        <w:t>as of April 1, 2019. Leases entered into after April 1, 2019 are presented under the provisions of ASU 2016-02, while prior periods are not adjusted and continue to be reported in accordance with previous accounting guidance. Leases commencing or renewing after the adoption date are evaluated based on the guidance in ASU 2016-02 and may result in more finance leases being recognized even for the renewal of previously classified operating leases.</w:t>
      </w:r>
    </w:p>
    <w:p>
      <w:pPr>
        <w:spacing w:after="0" w:line="18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elected to adopt the ‘package of practical expedients’, which permitted us not to reassess under the new standard our prior conclusions about lease identification, lease classification and initial direct costs. We elected the short-term lease recognition exemption for all leases that qualified. This means, for those leases that qualified, we did not recognize right-of-use assets or lease liabilities, and this included not recognizing right-of-use assets or lease liabilities for existing short-term leases of those assets in transition. We also elected the practical expedient to not separate lease and non-lease components for all leases other than leases of real estate, and this included not separating lease and non-lease components for all leases other than leases of real estate in transition.</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adopted ASU 2016-02 using the modified retrospective method, recognizing the cumulative effect of application as an adjustment to the opening balance sheet. The standard had a material impact on our condensed consolidated balance sheet, but did not have a material impact on our condensed consolidated statement of income or cash flows. The most significant impact was the recognition of the ROU asset and lease liabilities for operating leases, both of which were approximately $10.4 million upon adoption.</w:t>
      </w:r>
    </w:p>
    <w:p>
      <w:pPr>
        <w:spacing w:after="0" w:line="21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December 29, 2019, we were obligated under operating lease agreements for certain manufacturing facilities, warehouse space, the</w:t>
      </w:r>
      <w:r>
        <w:rPr>
          <w:rFonts w:ascii="Arial" w:cs="Arial" w:eastAsia="Arial" w:hAnsi="Arial"/>
          <w:sz w:val="18"/>
          <w:szCs w:val="18"/>
          <w:b w:val="1"/>
          <w:bCs w:val="1"/>
          <w:color w:val="auto"/>
        </w:rPr>
        <w:t xml:space="preserve"> </w:t>
      </w:r>
      <w:r>
        <w:rPr>
          <w:rFonts w:ascii="Arial" w:cs="Arial" w:eastAsia="Arial" w:hAnsi="Arial"/>
          <w:sz w:val="18"/>
          <w:szCs w:val="18"/>
          <w:color w:val="auto"/>
        </w:rPr>
        <w:t>land on which some of our facilities sit, vehicles and information technology equipment. Our leases have remaining lease terms of 1 year to 25 years, some of which include options to extend the lease for up to 10 years.</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29, 2019, our operating lease components with initial or remaining terms in excess of one year were classified on the condensed consolidated balance sheet within right of use assets, short-term lease liability and long-term lease liability.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Expense for leases less than 12 months for the three and nine months ended December 29, 2019 was not material. Total lease expense was $0.7 million for the three months ended December 29, 2019 and $2.2 million for the nine months ended December 29, 2019.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020" w:type="dxa"/>
            <w:vAlign w:val="bottom"/>
          </w:tcPr>
          <w:p>
            <w:pPr>
              <w:jc w:val="right"/>
              <w:ind w:right="253"/>
              <w:spacing w:after="0"/>
              <w:rPr>
                <w:sz w:val="20"/>
                <w:szCs w:val="20"/>
                <w:color w:val="auto"/>
              </w:rPr>
            </w:pPr>
            <w:r>
              <w:rPr>
                <w:rFonts w:ascii="Arial" w:cs="Arial" w:eastAsia="Arial" w:hAnsi="Arial"/>
                <w:sz w:val="16"/>
                <w:szCs w:val="16"/>
                <w:b w:val="1"/>
                <w:bCs w:val="1"/>
                <w:color w:val="auto"/>
              </w:rPr>
              <w:t>December 29, 2019</w:t>
            </w:r>
          </w:p>
        </w:tc>
      </w:tr>
      <w:tr>
        <w:trPr>
          <w:trHeight w:val="33"/>
        </w:trPr>
        <w:tc>
          <w:tcPr>
            <w:tcW w:w="904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0"/>
        </w:trPr>
        <w:tc>
          <w:tcPr>
            <w:tcW w:w="9040" w:type="dxa"/>
            <w:vAlign w:val="bottom"/>
            <w:tcBorders>
              <w:bottom w:val="single" w:sz="8" w:color="CCEEFF"/>
            </w:tcBorders>
            <w:shd w:val="clear" w:color="auto" w:fill="CCEEFF"/>
          </w:tcPr>
          <w:p>
            <w:pPr>
              <w:jc w:val="right"/>
              <w:ind w:right="6570"/>
              <w:spacing w:after="0"/>
              <w:rPr>
                <w:sz w:val="20"/>
                <w:szCs w:val="20"/>
                <w:color w:val="auto"/>
              </w:rPr>
            </w:pPr>
            <w:r>
              <w:rPr>
                <w:rFonts w:ascii="Arial" w:cs="Arial" w:eastAsia="Arial" w:hAnsi="Arial"/>
                <w:sz w:val="18"/>
                <w:szCs w:val="18"/>
                <w:b w:val="1"/>
                <w:bCs w:val="1"/>
                <w:color w:val="auto"/>
                <w:w w:val="89"/>
              </w:rPr>
              <w:t>Lease Term and Discount Rate</w:t>
            </w:r>
          </w:p>
        </w:tc>
        <w:tc>
          <w:tcPr>
            <w:tcW w:w="2020" w:type="dxa"/>
            <w:vAlign w:val="bottom"/>
            <w:tcBorders>
              <w:bottom w:val="single" w:sz="8" w:color="CCEEFF"/>
            </w:tcBorders>
            <w:shd w:val="clear" w:color="auto" w:fill="CCEEFF"/>
          </w:tcPr>
          <w:p>
            <w:pPr>
              <w:spacing w:after="0"/>
              <w:rPr>
                <w:sz w:val="20"/>
                <w:szCs w:val="20"/>
                <w:color w:val="auto"/>
              </w:rPr>
            </w:pPr>
          </w:p>
        </w:tc>
      </w:tr>
      <w:tr>
        <w:trPr>
          <w:trHeight w:val="243"/>
        </w:trPr>
        <w:tc>
          <w:tcPr>
            <w:tcW w:w="9040" w:type="dxa"/>
            <w:vAlign w:val="bottom"/>
          </w:tcPr>
          <w:p>
            <w:pPr>
              <w:jc w:val="right"/>
              <w:ind w:right="5430"/>
              <w:spacing w:after="0"/>
              <w:rPr>
                <w:sz w:val="20"/>
                <w:szCs w:val="20"/>
                <w:color w:val="auto"/>
              </w:rPr>
            </w:pPr>
            <w:r>
              <w:rPr>
                <w:rFonts w:ascii="Arial" w:cs="Arial" w:eastAsia="Arial" w:hAnsi="Arial"/>
                <w:sz w:val="18"/>
                <w:szCs w:val="18"/>
                <w:color w:val="auto"/>
                <w:w w:val="92"/>
              </w:rPr>
              <w:t>Weighted average remaining lease term (years)</w:t>
            </w:r>
          </w:p>
        </w:tc>
        <w:tc>
          <w:tcPr>
            <w:tcW w:w="202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90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9040" w:type="dxa"/>
            <w:vAlign w:val="bottom"/>
            <w:shd w:val="clear" w:color="auto" w:fill="CCEEFF"/>
          </w:tcPr>
          <w:p>
            <w:pPr>
              <w:jc w:val="right"/>
              <w:ind w:right="6570"/>
              <w:spacing w:after="0"/>
              <w:rPr>
                <w:sz w:val="20"/>
                <w:szCs w:val="20"/>
                <w:color w:val="auto"/>
              </w:rPr>
            </w:pPr>
            <w:r>
              <w:rPr>
                <w:rFonts w:ascii="Arial" w:cs="Arial" w:eastAsia="Arial" w:hAnsi="Arial"/>
                <w:sz w:val="18"/>
                <w:szCs w:val="18"/>
                <w:color w:val="auto"/>
                <w:w w:val="92"/>
              </w:rPr>
              <w:t>Weighted average discount rate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90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Maturities of lease liabilities as of December 29, 2019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Operating Leases</w:t>
            </w: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fiscal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1,830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1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1,599</w:t>
            </w:r>
          </w:p>
        </w:tc>
      </w:tr>
      <w:tr>
        <w:trPr>
          <w:trHeight w:val="27"/>
        </w:trPr>
        <w:tc>
          <w:tcPr>
            <w:tcW w:w="9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1,511</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1,120</w:t>
            </w:r>
          </w:p>
        </w:tc>
      </w:tr>
      <w:tr>
        <w:trPr>
          <w:trHeight w:val="27"/>
        </w:trPr>
        <w:tc>
          <w:tcPr>
            <w:tcW w:w="9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1,121</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4,397</w:t>
            </w:r>
          </w:p>
        </w:tc>
      </w:tr>
      <w:tr>
        <w:trPr>
          <w:trHeight w:val="27"/>
        </w:trPr>
        <w:tc>
          <w:tcPr>
            <w:tcW w:w="9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11,578</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(2,035)</w:t>
            </w:r>
          </w:p>
        </w:tc>
      </w:tr>
      <w:tr>
        <w:trPr>
          <w:trHeight w:val="27"/>
        </w:trPr>
        <w:tc>
          <w:tcPr>
            <w:tcW w:w="9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9,543</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have not restated prior year information for our adoption of ASC Topic 842, the following represents our future minimum lease payments for operating leases under ASC Topic 840 on March 31, 2019:</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0"/>
              </w:rPr>
              <w:t>Operating Leases</w:t>
            </w: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1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1,783</w:t>
            </w:r>
          </w:p>
        </w:tc>
      </w:tr>
      <w:tr>
        <w:trPr>
          <w:trHeight w:val="27"/>
        </w:trPr>
        <w:tc>
          <w:tcPr>
            <w:tcW w:w="9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1,407</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1,352</w:t>
            </w:r>
          </w:p>
        </w:tc>
      </w:tr>
      <w:tr>
        <w:trPr>
          <w:trHeight w:val="27"/>
        </w:trPr>
        <w:tc>
          <w:tcPr>
            <w:tcW w:w="9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1,183</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5,473</w:t>
            </w:r>
          </w:p>
        </w:tc>
      </w:tr>
      <w:tr>
        <w:trPr>
          <w:trHeight w:val="27"/>
        </w:trPr>
        <w:tc>
          <w:tcPr>
            <w:tcW w:w="9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13,396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Performance-Based Restricted Stock Units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during the first quarters of each of fiscal 2020 and fiscal 2019.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69,632 shares in the aggregate for fiscal 2020.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nine months ended December 29, 2019:</w:t>
      </w:r>
    </w:p>
    <w:p>
      <w:pPr>
        <w:spacing w:after="0" w:line="64"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8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w w:val="94"/>
              </w:rPr>
              <w:t>Average Grant</w:t>
            </w:r>
          </w:p>
        </w:tc>
      </w:tr>
      <w:tr>
        <w:trPr>
          <w:trHeight w:val="210"/>
        </w:trPr>
        <w:tc>
          <w:tcPr>
            <w:tcW w:w="802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80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bottom w:val="single" w:sz="8" w:color="CCEEFF"/>
            </w:tcBorders>
            <w:shd w:val="clear" w:color="auto" w:fill="CCEEFF"/>
          </w:tcPr>
          <w:p>
            <w:pPr>
              <w:jc w:val="center"/>
              <w:ind w:left="432"/>
              <w:spacing w:after="0"/>
              <w:rPr>
                <w:sz w:val="20"/>
                <w:szCs w:val="20"/>
                <w:color w:val="auto"/>
              </w:rPr>
            </w:pPr>
            <w:r>
              <w:rPr>
                <w:rFonts w:ascii="Arial" w:cs="Arial" w:eastAsia="Arial" w:hAnsi="Arial"/>
                <w:sz w:val="18"/>
                <w:szCs w:val="18"/>
                <w:color w:val="auto"/>
                <w:w w:val="87"/>
              </w:rPr>
              <w:t>32,883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43.66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432"/>
              <w:spacing w:after="0"/>
              <w:rPr>
                <w:sz w:val="20"/>
                <w:szCs w:val="20"/>
                <w:color w:val="auto"/>
              </w:rPr>
            </w:pPr>
            <w:r>
              <w:rPr>
                <w:rFonts w:ascii="Arial" w:cs="Arial" w:eastAsia="Arial" w:hAnsi="Arial"/>
                <w:sz w:val="18"/>
                <w:szCs w:val="18"/>
                <w:color w:val="auto"/>
                <w:w w:val="87"/>
              </w:rPr>
              <w:t>69,252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34.49</w:t>
            </w:r>
          </w:p>
        </w:tc>
      </w:tr>
      <w:tr>
        <w:trPr>
          <w:trHeight w:val="27"/>
        </w:trPr>
        <w:tc>
          <w:tcPr>
            <w:tcW w:w="8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center"/>
              <w:ind w:left="412"/>
              <w:spacing w:after="0"/>
              <w:rPr>
                <w:sz w:val="20"/>
                <w:szCs w:val="20"/>
                <w:color w:val="auto"/>
              </w:rPr>
            </w:pPr>
            <w:r>
              <w:rPr>
                <w:rFonts w:ascii="Arial" w:cs="Arial" w:eastAsia="Arial" w:hAnsi="Arial"/>
                <w:sz w:val="18"/>
                <w:szCs w:val="18"/>
                <w:color w:val="auto"/>
                <w:w w:val="92"/>
              </w:rPr>
              <w:t>(27,620)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46.01</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top w:val="single" w:sz="8" w:color="auto"/>
            </w:tcBorders>
          </w:tcPr>
          <w:p>
            <w:pPr>
              <w:jc w:val="center"/>
              <w:ind w:left="432"/>
              <w:spacing w:after="0"/>
              <w:rPr>
                <w:sz w:val="20"/>
                <w:szCs w:val="20"/>
                <w:color w:val="auto"/>
              </w:rPr>
            </w:pPr>
            <w:r>
              <w:rPr>
                <w:rFonts w:ascii="Arial" w:cs="Arial" w:eastAsia="Arial" w:hAnsi="Arial"/>
                <w:sz w:val="18"/>
                <w:szCs w:val="18"/>
                <w:color w:val="auto"/>
                <w:w w:val="87"/>
              </w:rPr>
              <w:t>74,515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34.27</w:t>
            </w:r>
          </w:p>
        </w:tc>
      </w:tr>
      <w:tr>
        <w:trPr>
          <w:trHeight w:val="27"/>
        </w:trPr>
        <w:tc>
          <w:tcPr>
            <w:tcW w:w="80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8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recorded compensation expense related to performance share units and restricted stock of $0.5 million and $1.3 million for the three and nine months ended December 29, 2019, respectively. We recorded compensation expense related to performance share units and restricted stock of $0.4 million and $1.0 million for the three and nine months ended December 30, 2018, respectively. Substantially all of the compensation expense was recorded in selling, general and administrative expenses in the condensed consolidated statements of income.</w:t>
      </w:r>
    </w:p>
    <w:p>
      <w:pPr>
        <w:sectPr>
          <w:pgSz w:w="11900" w:h="16838" w:orient="portrait"/>
          <w:cols w:equalWidth="0" w:num="1">
            <w:col w:w="11400"/>
          </w:cols>
          <w:pgMar w:left="240" w:top="89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5" w:right="259" w:bottom="1440" w:gutter="0" w:footer="0" w:header="0"/>
          <w:type w:val="continuous"/>
        </w:sectPr>
      </w:pPr>
    </w:p>
    <w:bookmarkStart w:id="14" w:name="page15"/>
    <w:bookmarkEnd w:id="14"/>
    <w:p>
      <w:pPr>
        <w:ind w:right="40"/>
        <w:spacing w:after="0" w:line="255"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retainers, each director who is not an executive officer receives an annual grant of restricted stock for their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our Board. The restricted stock awards are expensed over the requisite vesting period, which is one year from the date of issuance, based on the market value on the date of grant. As of December 29, 2019, there were 8,008 shares of restricted stock with a grant date fair value of $43.67 outstanding under this program. Compensation expense for both the three months ended December 29, 2019 and December 30, 2018 related to restricted stock awards to the Board was $0.1 million. Compensation expense for both the nine months ended December 29, 2019 and December 30, 2018 related to restricted stock awards to the Board was $0.2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w:t>
      </w:r>
    </w:p>
    <w:p>
      <w:pPr>
        <w:spacing w:after="0" w:line="25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Board has authorized the repurchase of up to 800,000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December 29, 2019, no shares were repurchased. During the nine months ended December 29, 2019, we repurchased 91,395 shares at an aggregate purchase price of $3.8 million. During the three and nine months ended December 30, 2018, we repurchased 59,788 shares at an aggregate purchase price of $2.4 million. As of December 29, 2019, 412,985 shares remained available to be repurchased under the share repurchase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Litigation, Commitments and Contingencies</w:t>
      </w:r>
    </w:p>
    <w:p>
      <w:pPr>
        <w:spacing w:after="0" w:line="25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During fiscal 2018, we recorded a liability of $0.6 million related to estimated remediation expenses associated with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contamination at our Minneapolis facility. The liability is being reduced as we incur costs related to remediation efforts, and was $0.1 million as of December 29, 2019 and $0.4 million as of March 31, 2019.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 at this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in our fiscal 2019 Annual Report on Form 10-K.</w:t>
      </w:r>
    </w:p>
    <w:p>
      <w:pPr>
        <w:spacing w:after="0" w:line="197"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5" w:right="2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Health and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Treatment</w:t>
            </w:r>
          </w:p>
        </w:tc>
        <w:tc>
          <w:tcPr>
            <w:tcW w:w="16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Nutrition</w:t>
            </w:r>
          </w:p>
        </w:tc>
        <w:tc>
          <w:tcPr>
            <w:tcW w:w="28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36"/>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December 29, 2019:</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63,018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34,890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22,498</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120,406</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8,362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21,478</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6,050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4,834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3,818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14,702</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3,528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6,776</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Three months ended December 30, 2018:</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69,026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32,740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26,385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128,151</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8,288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7,643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5,102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21,033</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4,582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14,312</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3,061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6,721</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December 29, 2019:</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206,433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124,010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77,342</w:t>
            </w:r>
          </w:p>
        </w:tc>
        <w:tc>
          <w:tcPr>
            <w:tcW w:w="14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407,785</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33,206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15,056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78,269</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18,041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14,956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11,358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44,355</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18,250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33,914</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Nine months ended December 30, 2018:</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212,446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116,322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94,507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423,275</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27,059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30,790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17,413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75,262</w:t>
            </w:r>
          </w:p>
        </w:tc>
      </w:tr>
      <w:tr>
        <w:trPr>
          <w:trHeight w:val="27"/>
        </w:trPr>
        <w:tc>
          <w:tcPr>
            <w:tcW w:w="5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16,866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14,738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12,628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44,232</w:t>
            </w:r>
          </w:p>
        </w:tc>
      </w:tr>
      <w:tr>
        <w:trPr>
          <w:trHeight w:val="243"/>
        </w:trPr>
        <w:tc>
          <w:tcPr>
            <w:tcW w:w="57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10,193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16,052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4,785</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31,030</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nine months ended December 29,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347" w:lineRule="exact"/>
        <w:rPr>
          <w:sz w:val="20"/>
          <w:szCs w:val="20"/>
          <w:color w:val="auto"/>
        </w:rPr>
      </w:pPr>
    </w:p>
    <w:p>
      <w:pPr>
        <w:spacing w:after="0" w:line="279" w:lineRule="auto"/>
        <w:rPr>
          <w:rFonts w:ascii="Arial" w:cs="Arial" w:eastAsia="Arial" w:hAnsi="Arial"/>
          <w:sz w:val="17"/>
          <w:szCs w:val="17"/>
          <w:color w:val="0000FF"/>
        </w:rPr>
      </w:pPr>
      <w:r>
        <w:rPr>
          <w:rFonts w:ascii="Arial" w:cs="Arial" w:eastAsia="Arial" w:hAnsi="Arial"/>
          <w:sz w:val="17"/>
          <w:szCs w:val="17"/>
          <w:color w:val="auto"/>
        </w:rPr>
        <w:t xml:space="preserve">The following is a discussion and analysis of our financial condition and results of operations for the three and nine months ended December 29, 2019 as compared to the similar periods ended December 30, 2018. This discussion should be read in conjunction with the condensed consolidated financial </w:t>
      </w:r>
      <w:hyperlink r:id="rId18">
        <w:r>
          <w:rPr>
            <w:rFonts w:ascii="Arial" w:cs="Arial" w:eastAsia="Arial" w:hAnsi="Arial"/>
            <w:sz w:val="17"/>
            <w:szCs w:val="17"/>
            <w:color w:val="auto"/>
          </w:rPr>
          <w:t xml:space="preserve">statements and notes to condensed consolidated financial statements included in this quarterly report on Form 10-Q and Item 8 of our </w:t>
        </w:r>
        <w:r>
          <w:rPr>
            <w:rFonts w:ascii="Arial" w:cs="Arial" w:eastAsia="Arial" w:hAnsi="Arial"/>
            <w:sz w:val="17"/>
            <w:szCs w:val="17"/>
            <w:u w:val="single" w:color="auto"/>
            <w:color w:val="0000FF"/>
          </w:rPr>
          <w:t>Annual Report on Form</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FF"/>
          </w:rPr>
          <w:t>10-K for the fiscal year ended March 31, 2019</w:t>
        </w:r>
        <w:r>
          <w:rPr>
            <w:rFonts w:ascii="Arial" w:cs="Arial" w:eastAsia="Arial" w:hAnsi="Arial"/>
            <w:sz w:val="17"/>
            <w:szCs w:val="17"/>
            <w:color w:val="0000FF"/>
          </w:rPr>
          <w:t xml:space="preserve"> </w:t>
        </w:r>
        <w:r>
          <w:rPr>
            <w:rFonts w:ascii="Arial" w:cs="Arial" w:eastAsia="Arial" w:hAnsi="Arial"/>
            <w:sz w:val="17"/>
            <w:szCs w:val="17"/>
            <w:color w:val="000000"/>
          </w:rPr>
          <w:t>(“fiscal 2019”). References to “fiscal 2020” refer to the fiscal year ending March 29, 2020.</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2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FIFO method.</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Industrial and Water Treatment segments sell bulk commodity products. We disclose the sales of our bulk commodity products as a percentage of total sales dollars within each of those segments.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48"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360" w:type="dxa"/>
            <w:vAlign w:val="bottom"/>
            <w:gridSpan w:val="5"/>
          </w:tcPr>
          <w:p>
            <w:pPr>
              <w:ind w:left="800"/>
              <w:spacing w:after="0"/>
              <w:rPr>
                <w:sz w:val="20"/>
                <w:szCs w:val="20"/>
                <w:color w:val="auto"/>
              </w:rPr>
            </w:pPr>
            <w:r>
              <w:rPr>
                <w:rFonts w:ascii="Arial" w:cs="Arial" w:eastAsia="Arial" w:hAnsi="Arial"/>
                <w:sz w:val="18"/>
                <w:szCs w:val="18"/>
                <w:b w:val="1"/>
                <w:bCs w:val="1"/>
                <w:color w:val="auto"/>
              </w:rPr>
              <w:t>Three Months Ended</w:t>
            </w:r>
          </w:p>
        </w:tc>
        <w:tc>
          <w:tcPr>
            <w:tcW w:w="33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9"/>
              </w:rPr>
              <w:t>December 29, 2019</w:t>
            </w:r>
          </w:p>
        </w:tc>
        <w:tc>
          <w:tcPr>
            <w:tcW w:w="16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8"/>
              </w:rPr>
              <w:t>December 30, 2018</w:t>
            </w:r>
          </w:p>
        </w:tc>
        <w:tc>
          <w:tcPr>
            <w:tcW w:w="176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December 29, 2019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December 30, 2018</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Sales</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0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17.8 %</w:t>
            </w:r>
          </w:p>
        </w:tc>
      </w:tr>
      <w:tr>
        <w:trPr>
          <w:trHeight w:val="27"/>
        </w:trPr>
        <w:tc>
          <w:tcPr>
            <w:tcW w:w="40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8.3 %</w:t>
            </w:r>
          </w:p>
        </w:tc>
        <w:tc>
          <w:tcPr>
            <w:tcW w:w="1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40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17" w:name="page18"/>
    <w:bookmarkEnd w:id="17"/>
    <w:p>
      <w:pPr>
        <w:ind w:right="426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December 29, 2019 Compared to Three Months Ended December 30, 2018 </w:t>
      </w:r>
      <w:r>
        <w:rPr>
          <w:rFonts w:ascii="Arial" w:cs="Arial" w:eastAsia="Arial" w:hAnsi="Arial"/>
          <w:sz w:val="18"/>
          <w:szCs w:val="18"/>
          <w:i w:val="1"/>
          <w:iCs w:val="1"/>
          <w:color w:val="auto"/>
        </w:rPr>
        <w:t>Sales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decreased $7.8 million, or 6.0%, to $120.4 million for the three months ended December 29, 2019, as compared to $128.2 million for the same period of the prior year.</w:t>
      </w:r>
    </w:p>
    <w:p>
      <w:pPr>
        <w:spacing w:after="0" w:line="11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decreased $6.0 million, or 8.7%, to $63.0 million for the three months ended December 29, 2019,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$69.0 million for the same period of the prior year. Sales of bulk commodity products in the Industrial segment were approximately 18% of sales dollars for the current quarter and 23% for the same period in the prior year. Sales dollars decreased from the prior year due to lower overall sales volumes, particularly of lower-priced bulk commodities driven by a weak ethanol industry, as well as lower pricing due to lower costs of one of our major commodities.</w:t>
      </w:r>
    </w:p>
    <w:p>
      <w:pPr>
        <w:spacing w:after="0" w:line="10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$2.2 million, or 6.6%, to $34.9 million for the three months ended December 29,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$32.7 million for the same period of the prior year. Sales of bulk commodity products in the Water Treatment segment were approximately 12% of sales dollars for the current quarter and 16% of sales dollars for the same period in the prior year. The increase in sales dollars was driven by increased volumes sold of certain manufactured, blended and re-packaged products that carry higher per-unit selling prices, offset somewhat by lower pricing due to lower costs of one of our major commodities.</w:t>
      </w:r>
    </w:p>
    <w:p>
      <w:pPr>
        <w:spacing w:after="0" w:line="13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decreased $3.9 million, or 14.7%, to $22.5 million for the three months ended December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compared to $26.4 million the same period of the prior year. The decrease in sales was driven by decreased sales of our distributed specialty products.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Gross profit was $21.5 million, or 17.8% of sales, for the three months ended December 29, 2019, an increase of $0.5 million from $21.0 million, or 16.4% of sales, for the same period of the prior year. During the three months ended December 29, 2019, the LIFO reserve decreased, and gross profit increased, by $0.3 million. In the same period of the prior year, the LIFO reserve decreased, and gross profit increased, by $0.5 million.</w:t>
      </w:r>
    </w:p>
    <w:p>
      <w:pPr>
        <w:spacing w:after="0" w:line="11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$0.1 million to $8.4 million, or 13.4% of sales, for the three months ended December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compared to $8.3 million, or 12.0% of sales, for the same period of the prior year. During the current quarter, the LIFO reserve decreased, and gross profit increased, by $0.2 million. In the same period a year ago, the LIFO reserve decreased, and gross profit increased, by $0.4 million. Total gross profit increased from a year ago despite lower sales dollars due to a favorable product mix shift with increased sales of certain of our higher margin manufactured, blended and re-packaged products.</w:t>
      </w:r>
    </w:p>
    <w:p>
      <w:pPr>
        <w:spacing w:after="0" w:line="13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increased $0.8 million to $8.4 million, or 24.0% of sales,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29, 2019, as compared to $7.6 million, or 23.3% of sales, for the same period of the prior year. During the current quarter and the same quarter of the prior year, the LIFO reserve changed nominally and therefore had a minimal impact on gross profit. Gross profit increased as a result of higher sales of our manufactured, blended and repackaged products compared to a year ago, offset somewhat by higher variable operating costs.</w:t>
      </w:r>
    </w:p>
    <w:p>
      <w:pPr>
        <w:spacing w:after="0" w:line="1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$0.4 million to $4.7 million, or 20.9%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29, 2019, as compared to $5.1 million, or 19.3% of sales, for the same period of the prior year. Gross profit decreased as a result of lower sales, while gross profit as a percentage of sales was up slightly year over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Selling, general and administrative (“SG&amp;A”) expenses increased $0.4 million to $14.7 million, or 12.2% of sales, for the three months ended December 29, 2019, from $14.3 million, or 11.2% of sales, for the same period of the prior year. The increase was primarily due to a year-over-year unfavorable change in recorded compensation expense of $0.4 million due to higher compensation expense relating to the non-qualified deferred compensation plan liability. This expense was offset by the amount recorded in other income (expense) which represented gains or losses on investments held for our non-qualified deferred compensation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income increased $0.1 million to $6.8 million, or 5.6% of sales, for the three months ended December 29, 2019, from $6.7 million, or 5.2% of sales, for the same period of the prior year due to the combined impact of the factors discussed above.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Interest expense decreased $0.2 million to $0.6 million for the three months ended December 29, 2019 compared to $0.8 million for the same period of the prior year. Interest expense decreased due to lower outstanding borrowings and lower borrowing rates compared to the prior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income (expense) improved by $0.4 million for the three months ended December 29, 2019 compared to the same period a year ago, with $0.1 million of income recorded in the current quarter compared to expense of $0.3 million in the same quarter a year ago. This represents gains or losses recorded on investments held for our non-qualified deferred compensation plan. The amount recorded as a gain or loss was offset by a similar amount recorded as a reduction or increase to compensation expense within SG&amp;A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Our effective income tax rate was 28.1% for the three months ended December 29, 2019. Our effective tax rate for the three months ended December 30, 2018 was 26.2%. The effective tax rate increased from the prior year due to an increase to the section 162(m) deduction limitation and unfavorable tax provision adjustments recorded in the third quarter of fiscal 2020, whereas tax provision adjustments recorded in the third quarter of fiscal 2019 were favorable. The effective tax rate is impacted by projected levels of annual taxable income, permanent items, and state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29, 2019 Compared to Nine Months Ended December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Sales decreased $15.5 million, or 3.7%, to $407.8 million for the nine months ended December 29, 2019, as compared to $423.3 million for the same period of the prior year.</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$206.4 million for the nine months ended December 29, 2019, a decrease of $6.0 million, or 2.8%, from</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$212.4 million for the same period of the prior year. Sales of bulk commodity products in the Industrial segment were approximately 19% of sales dollars for the current period and 22% of sales dollars for the same period in the prior year. The decrease in sales dollars from the prior year was driven by lower pricing due to lower costs of one of our major commodities as well as an overall decrease of volumes sold of our bulk commodity products, particularly of lower-priced bulk commodities driven by a weak ethanol industry, offset somewhat by an increase in volumes sold of our manufactured, blended and re-packaged products that typically carry higher per-unit selling prices.</w:t>
      </w:r>
    </w:p>
    <w:p>
      <w:pPr>
        <w:spacing w:after="0" w:line="220"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$7.7 million, or 6.6%, to $124.0 million for the nine months ended December 29, 2019,</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$116.3 million for the same period of the prior year. Sales of bulk commodity products in the Water Treatment segment were approximately 11% of sales dollars for the current period and 15% for the same period in the prior year. The increase in sales dollars was driven by increased volumes sold of certain manufactured, blended and re-packaged products that carry higher per-unit selling prices, offset somewhat by lower volumes sold of our bulk commodity products as well as lower pricing due to lower costs of one of our major commodities.</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decreased $17.2 million, or 18.2%, to $77.3 million for the nine months ended December 29,</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compared to $94.5 million the same period of the prior year. The decline in sales was driven by decreased sales of our distributed specialty products, some of which was due to a previously anticipated worldwide supply shortage of a significant product that we experienced in the first two quarters of this fiscal year, and the ramp-up of sales with new partners replacing previous product lines.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Gross profit increased $3.0 million to $78.3 million, or 19.2% of sales, for the nine months ended December 29, 2019, from $75.3 million, or 17.8% of sales, for the same period of the prior year. During the nine months ended December 29, 2019, the LIFO reserve decreased and gross profit increased by $0.6 million. In the same period of the prior year, the LIFO reserve changed nominally and therefore had a minimal impact on gross profit.</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$2.9 million to $30.0 million, or 14.5% of sales, for the nine months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29, 2019, as compared to $27.1 million, or 12.7% of sales, for the same period of the prior year. During the nine months ended December 29, 2019, the LIFO reserve decreased and gross profit increased by $0.5 million, while the LIFO reserve decreased and gross profit increased by $0.1 million during the same period in the prior year. Despite lower sales dollars, total gross profit also increased from a year ago due to a favorable product mix shift to more sales of higher margin manufactured, blended and re-packaged products.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sectPr>
      </w:pPr>
    </w:p>
    <w:bookmarkStart w:id="19" w:name="page20"/>
    <w:bookmarkEnd w:id="19"/>
    <w:p>
      <w:pPr>
        <w:ind w:right="2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$2.4 million to $33.2 million, or 26.8% of sales,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29, 2019, as compared to $30.8 million, or 26.5% of sales, for the same period of the prior year. During the nine months ended December 29, 2019 the LIFO reserve decreased and gross profit increased by $0.1 million, while the LIFO reserve increased and gross profit decreased by $0.1 million in the same period a year ago. Gross profit increased as a result of higher sales of certain of our manufactured, blended and repackaged products compared to a year ago, offset somewhat by higher variable operating costs.</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Health and Nutrition segment decreased $2.3 million to $15.1 million, or 19.5% of sales,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29, 2019, as compared to $17.4 million, or 18.4% of sales, for the same period of the prior year. Gross profit decreased as a result of lower sales, while gross profit as a percent of sales improved year over year due to increased profitability on certain products as well as lower operational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SG&amp;A expenses increased slightly to $44.4 million, or 10.9% of sales, for the nine months ended December 29, 2019, as compared to $44.2 million, or</w:t>
      </w:r>
    </w:p>
    <w:p>
      <w:pPr>
        <w:spacing w:after="0" w:line="2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10.4% of sales, for the same period of the prior year. The increase was due to a year-over-year unfavorable change in compensation expense recorded of $0.5 million due to higher compensation expense relating to the non-qualified deferred compensation plan liability. This expense was offset by the amount recorded in other income (expense) which represented gains or losses on investments held for our non-qualified deferred compensation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Operating income was $33.9 million, or 8.3% of sales, for the nine months ended December 29, 2019, as compared to $31.0 million, or 7.4% of sales, for the same period of the prior year due to the combined impact of the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expense was $2.0 million for the nine months ended December 29, 2019, compared to $2.6 million for the same period of the prior year. Interest expense decreased due to lower outstanding borrowings compared to the prior year, with our total outstanding debt balance at December 29, 2019 being $23.0 million lower than a year ago.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Other income (expense) improved by $0.5 million for the nine months ended December 29, 2019, with $0.3 million of income recorded in the current year compared to expense of $0.2 million in the same period a year ago. This represents gains or losses recorded on investments held for our non-qualified deferred compensation plan. The amount recorded as a gain or loss was offset by a similar amount recorded as a reduction or increase to compensation expense within SG&amp;A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effective tax rate for the nine months ended December 29, 2019 was 26.6% and was 26.8% for the nine months ended December 30, 2018. The effective tax rate is impacted by projected levels of annual taxable income, permanent items, and state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was $7.3 million at December 29, 2019, a decrease of $1.9 million as compared with the $9.2 million available as of March 31, 2019.</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Cash provided by operating activities was $45.0 million for the nine months ended December 29, 2019, compared to cash provided by operating activities of $31.0 million for the same period of the prior year. The year-over-year increase in cash provided by operating activities was primarily driven by a reduction in receivables and inventory, along with improvement in net income for the first nine months of fiscal 2020 compared to the same period a year ago.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because we receive the majority of barges during this period.</w:t>
      </w:r>
    </w:p>
    <w:p>
      <w:pPr>
        <w:spacing w:after="0" w:line="11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Cash used in investing activities was $19.1 million for the nine months ended December 29, 2019, compared to $7.0 million for the same period of the prior year. Capital expenditures were $19.4 million for the nine months ended December 29, 2019, compared to $7.2 million in the same period of the prior year. Included in the capital expenditures for the first nine months of fiscal 2020 was $8.2 million in the aggregate for the purchase of our previously leased corporate headquarters and a previously leased Water Treatment branch facility, as well as the purchase of a facility for a Water Treatment branch expansion. In addition, the increase in capital expenditures primarily related to facility improvements and new and replacement equipment.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0" w:name="page21"/>
    <w:bookmarkEnd w:id="20"/>
    <w:p>
      <w:pPr>
        <w:ind w:right="80"/>
        <w:spacing w:after="0" w:line="279" w:lineRule="auto"/>
        <w:rPr>
          <w:sz w:val="20"/>
          <w:szCs w:val="20"/>
          <w:color w:val="auto"/>
        </w:rPr>
      </w:pPr>
      <w:r>
        <w:rPr>
          <w:rFonts w:ascii="Arial" w:cs="Arial" w:eastAsia="Arial" w:hAnsi="Arial"/>
          <w:sz w:val="17"/>
          <w:szCs w:val="17"/>
          <w:color w:val="auto"/>
        </w:rPr>
        <w:t>Cash used in financing activities was $27.8 million for the nine months ended December 29, 2019, compared to $21.7 million in the same period of the prior year. Included in financing activities in the current year were net debt payments of $17.0 million, dividend payments of $7.4 million and share repurchases of $3.8 million. In the first nine months of the prior year, we made net debt payments of $10.0 million and dividend payments of $9.5 million. The year-over-year change in dividend payments resulted from our change from semi-annual to quarterly dividend payments.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has authorized the repurchase of up to 800,000 shares of our outstanding common stock, including an increase of 500,000 shares in February 2019.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nine months of fiscal 2020, we repurchased 91,395 shares of common stock with an aggregate purchase price of $3.8 million. In the first nine months of the prior year, we repurchased 59,788 shares of common stock with an aggregate purchase price of $2.4 million. As of December 29, 2019, 412,985 shares remained available for purchase under the program</w:t>
      </w:r>
    </w:p>
    <w:p>
      <w:pPr>
        <w:spacing w:after="0" w:line="205" w:lineRule="exact"/>
        <w:rPr>
          <w:sz w:val="20"/>
          <w:szCs w:val="20"/>
          <w:color w:val="auto"/>
        </w:rPr>
      </w:pPr>
    </w:p>
    <w:p>
      <w:pPr>
        <w:jc w:val="both"/>
        <w:ind w:right="620"/>
        <w:spacing w:after="0" w:line="288" w:lineRule="auto"/>
        <w:rPr>
          <w:sz w:val="20"/>
          <w:szCs w:val="20"/>
          <w:color w:val="auto"/>
        </w:rPr>
      </w:pPr>
      <w:r>
        <w:rPr>
          <w:rFonts w:ascii="Arial" w:cs="Arial" w:eastAsia="Arial" w:hAnsi="Arial"/>
          <w:sz w:val="16"/>
          <w:szCs w:val="16"/>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w:t>
      </w:r>
    </w:p>
    <w:p>
      <w:pPr>
        <w:jc w:val="both"/>
        <w:ind w:right="180"/>
        <w:spacing w:after="0" w:line="255" w:lineRule="auto"/>
        <w:rPr>
          <w:sz w:val="20"/>
          <w:szCs w:val="20"/>
          <w:color w:val="auto"/>
        </w:rPr>
      </w:pPr>
      <w:r>
        <w:rPr>
          <w:rFonts w:ascii="Arial" w:cs="Arial" w:eastAsia="Arial" w:hAnsi="Arial"/>
          <w:sz w:val="18"/>
          <w:szCs w:val="18"/>
          <w:color w:val="auto"/>
        </w:rPr>
        <w:t>$150.0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w:t>
      </w:r>
    </w:p>
    <w:p>
      <w:pPr>
        <w:ind w:right="20" w:firstLine="8"/>
        <w:spacing w:after="0" w:line="287"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December 29, 2019, the effective interest rate on our borrowing was 2.4%.</w:t>
      </w:r>
    </w:p>
    <w:p>
      <w:pPr>
        <w:spacing w:after="0" w:line="1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19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Debt issuance costs paid to the Lenders are being amortized as interest expense over the term of the Credit Agreement. As of December 29, 2019, the unamortized balance of these costs was $0.4 million, and is reflected as a reduction of debt on our balance sheet.</w:t>
      </w:r>
    </w:p>
    <w:p>
      <w:pPr>
        <w:spacing w:after="0" w:line="17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December 29, 2019.</w:t>
      </w:r>
    </w:p>
    <w:p>
      <w:pPr>
        <w:spacing w:after="0" w:line="20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Revolving Loan Facility.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21" w:name="page22"/>
    <w:bookmarkEnd w:id="21"/>
    <w:p>
      <w:pPr>
        <w:ind w:right="200"/>
        <w:spacing w:after="0" w:line="264"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71" w:lineRule="exact"/>
        <w:rPr>
          <w:sz w:val="20"/>
          <w:szCs w:val="20"/>
          <w:color w:val="auto"/>
        </w:rPr>
      </w:pPr>
    </w:p>
    <w:p>
      <w:pPr>
        <w:ind w:right="180"/>
        <w:spacing w:after="0" w:line="277"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 ended March 31,</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2019</w:t>
        </w:r>
        <w:r>
          <w:rPr>
            <w:rFonts w:ascii="Arial" w:cs="Arial" w:eastAsia="Arial" w:hAnsi="Arial"/>
            <w:sz w:val="18"/>
            <w:szCs w:val="18"/>
            <w:color w:val="000000"/>
          </w:rPr>
          <w:t>.</w:t>
        </w:r>
      </w:hyperlink>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spacing w:after="0" w:line="269" w:lineRule="auto"/>
        <w:rPr>
          <w:rFonts w:ascii="Arial" w:cs="Arial" w:eastAsia="Arial" w:hAnsi="Arial"/>
          <w:sz w:val="17"/>
          <w:szCs w:val="17"/>
          <w:color w:val="0000FF"/>
        </w:rPr>
      </w:pPr>
      <w:r>
        <w:rPr>
          <w:rFonts w:ascii="Arial" w:cs="Arial" w:eastAsia="Arial" w:hAnsi="Arial"/>
          <w:sz w:val="17"/>
          <w:szCs w:val="17"/>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w:t>
      </w:r>
      <w:hyperlink r:id="rId18">
        <w:r>
          <w:rPr>
            <w:rFonts w:ascii="Arial" w:cs="Arial" w:eastAsia="Arial" w:hAnsi="Arial"/>
            <w:sz w:val="17"/>
            <w:szCs w:val="17"/>
            <w:color w:val="auto"/>
          </w:rPr>
          <w:t xml:space="preserve">the forward-looking statements. Additional information concerning potential factors that could affect future financial results is included in our </w:t>
        </w:r>
        <w:r>
          <w:rPr>
            <w:rFonts w:ascii="Arial" w:cs="Arial" w:eastAsia="Arial" w:hAnsi="Arial"/>
            <w:sz w:val="17"/>
            <w:szCs w:val="17"/>
            <w:u w:val="single" w:color="auto"/>
            <w:color w:val="0000FF"/>
          </w:rPr>
          <w:t>Annual Report</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FF"/>
          </w:rPr>
          <w:t>on Form 10-K for the fiscal year ended March 31, 2019</w:t>
        </w:r>
        <w:r>
          <w:rPr>
            <w:rFonts w:ascii="Arial" w:cs="Arial" w:eastAsia="Arial" w:hAnsi="Arial"/>
            <w:sz w:val="17"/>
            <w:szCs w:val="17"/>
            <w:color w:val="000000"/>
          </w:rPr>
          <w:t>. We caution you not to place undue reliance on these forward-looking statements, which reflect our</w:t>
        </w:r>
      </w:hyperlink>
      <w:r>
        <w:rPr>
          <w:rFonts w:ascii="Arial" w:cs="Arial" w:eastAsia="Arial" w:hAnsi="Arial"/>
          <w:sz w:val="17"/>
          <w:szCs w:val="17"/>
          <w:color w:val="0000FF"/>
        </w:rPr>
        <w:t xml:space="preserve"> </w:t>
      </w:r>
      <w:r>
        <w:rPr>
          <w:rFonts w:ascii="Arial" w:cs="Arial" w:eastAsia="Arial" w:hAnsi="Arial"/>
          <w:sz w:val="17"/>
          <w:szCs w:val="17"/>
          <w:color w:val="000000"/>
        </w:rPr>
        <w:t>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8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0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exposed to market risks related to interest rates. Our exposure to changes in interest rates is limited to borrowings under our Revolving Loan Facility. A 25-basis point change in interest rates would potentially increase or decrease our annual interest expense by approximately $0.1 million. We have in place an interest rate swap that converts a portion of our variable-rate debt into a fixed-rate obligation. The swap agreement began September 1, 2017 and will end on December 23, 2020. The notional amount of the swap agreement is currently $20 million through its end date.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December 29, 2019.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2020 that has materially affected, or is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7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There have been no material changes to our risk factors from those disclosed in our </w:t>
      </w:r>
      <w:hyperlink r:id="rId18">
        <w:r>
          <w:rPr>
            <w:rFonts w:ascii="Arial" w:cs="Arial" w:eastAsia="Arial" w:hAnsi="Arial"/>
            <w:sz w:val="16"/>
            <w:szCs w:val="16"/>
            <w:u w:val="single" w:color="auto"/>
            <w:color w:val="0000FF"/>
          </w:rPr>
          <w:t>Annual Report on Form 10-K for the fiscal year ended March 31, 2019</w:t>
        </w:r>
      </w:hyperlink>
      <w:r>
        <w:rPr>
          <w:rFonts w:ascii="Arial" w:cs="Arial" w:eastAsia="Arial" w:hAnsi="Arial"/>
          <w:sz w:val="16"/>
          <w:szCs w:val="16"/>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announced, our Board has authorized the repurchase of up to 800,000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December 29, 2019:</w:t>
      </w:r>
    </w:p>
    <w:p>
      <w:pPr>
        <w:spacing w:after="0" w:line="263"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 a</w:t>
            </w:r>
          </w:p>
        </w:tc>
        <w:tc>
          <w:tcPr>
            <w:tcW w:w="1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3"/>
              </w:rPr>
              <w:t>Maximum Number of Shares</w:t>
            </w: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 Number of</w:t>
            </w: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Average Price Paid</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Publicly Announced Plan or</w:t>
            </w:r>
          </w:p>
        </w:tc>
        <w:tc>
          <w:tcPr>
            <w:tcW w:w="1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1"/>
              </w:rPr>
              <w:t>that May Yet be Purchased</w:t>
            </w:r>
          </w:p>
        </w:tc>
      </w:tr>
      <w:tr>
        <w:trPr>
          <w:trHeight w:val="210"/>
        </w:trPr>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gridSpan w:val="3"/>
          </w:tcPr>
          <w:p>
            <w:pPr>
              <w:ind w:left="120"/>
              <w:spacing w:after="0"/>
              <w:rPr>
                <w:sz w:val="20"/>
                <w:szCs w:val="20"/>
                <w:color w:val="auto"/>
              </w:rPr>
            </w:pPr>
            <w:r>
              <w:rPr>
                <w:rFonts w:ascii="Arial" w:cs="Arial" w:eastAsia="Arial" w:hAnsi="Arial"/>
                <w:sz w:val="16"/>
                <w:szCs w:val="16"/>
                <w:b w:val="1"/>
                <w:bCs w:val="1"/>
                <w:color w:val="auto"/>
              </w:rPr>
              <w:t>Shares Purchased</w:t>
            </w: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Per Share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4"/>
              </w:rPr>
              <w:t>Program</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0"/>
              </w:rPr>
              <w:t>under Plans or Programs</w:t>
            </w:r>
          </w:p>
        </w:tc>
      </w:tr>
      <w:tr>
        <w:trPr>
          <w:trHeight w:val="3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9/30/2019-10/27/2019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412,985</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10/28/2019-11/24/2019</w:t>
            </w:r>
          </w:p>
        </w:tc>
        <w:tc>
          <w:tcPr>
            <w:tcW w:w="120" w:type="dxa"/>
            <w:vAlign w:val="bottom"/>
          </w:tcPr>
          <w:p>
            <w:pPr>
              <w:spacing w:after="0"/>
              <w:rPr>
                <w:sz w:val="21"/>
                <w:szCs w:val="21"/>
                <w:color w:val="auto"/>
              </w:rPr>
            </w:pPr>
          </w:p>
        </w:tc>
        <w:tc>
          <w:tcPr>
            <w:tcW w:w="172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980" w:type="dxa"/>
            <w:vAlign w:val="bottom"/>
          </w:tcPr>
          <w:p>
            <w:pPr>
              <w:ind w:left="166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79"/>
              <w:spacing w:after="0"/>
              <w:rPr>
                <w:sz w:val="20"/>
                <w:szCs w:val="20"/>
                <w:color w:val="auto"/>
              </w:rPr>
            </w:pPr>
            <w:r>
              <w:rPr>
                <w:rFonts w:ascii="Arial" w:cs="Arial" w:eastAsia="Arial" w:hAnsi="Arial"/>
                <w:sz w:val="18"/>
                <w:szCs w:val="18"/>
                <w:color w:val="auto"/>
              </w:rPr>
              <w:t>412,985</w:t>
            </w: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11/25/2019-12/29/2019</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412,985</w:t>
            </w:r>
          </w:p>
        </w:tc>
      </w:tr>
      <w:tr>
        <w:trPr>
          <w:trHeight w:val="237"/>
        </w:trPr>
        <w:tc>
          <w:tcPr>
            <w:tcW w:w="26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Borders>
              <w:top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6. EXHIBITS</w:t>
      </w:r>
    </w:p>
    <w:p>
      <w:pPr>
        <w:spacing w:after="0" w:line="302" w:lineRule="exact"/>
        <w:rPr>
          <w:sz w:val="20"/>
          <w:szCs w:val="20"/>
          <w:color w:val="auto"/>
        </w:rPr>
      </w:pPr>
    </w:p>
    <w:p>
      <w:pPr>
        <w:ind w:left="280"/>
        <w:spacing w:after="0"/>
        <w:tabs>
          <w:tab w:leader="none" w:pos="446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32" w:lineRule="exact"/>
        <w:rPr>
          <w:sz w:val="20"/>
          <w:szCs w:val="20"/>
          <w:color w:val="auto"/>
        </w:rPr>
      </w:pPr>
    </w:p>
    <w:p>
      <w:pPr>
        <w:ind w:left="34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49">
        <w:r>
          <w:rPr>
            <w:rFonts w:ascii="Arial" w:cs="Arial" w:eastAsia="Arial" w:hAnsi="Arial"/>
            <w:sz w:val="16"/>
            <w:szCs w:val="16"/>
            <w:u w:val="single" w:color="auto"/>
            <w:color w:val="0000FF"/>
          </w:rPr>
          <w:t xml:space="preserve">Amended and Restated Articles of Incorporation. </w:t>
        </w:r>
      </w:hyperlink>
      <w:r>
        <w:rPr>
          <w:rFonts w:ascii="Arial" w:cs="Arial" w:eastAsia="Arial" w:hAnsi="Arial"/>
          <w:sz w:val="16"/>
          <w:szCs w:val="16"/>
          <w:color w:val="000000"/>
        </w:rPr>
        <w:t>(1)</w:t>
      </w:r>
    </w:p>
    <w:p>
      <w:pPr>
        <w:spacing w:after="0" w:line="63" w:lineRule="exact"/>
        <w:rPr>
          <w:sz w:val="20"/>
          <w:szCs w:val="20"/>
          <w:color w:val="auto"/>
        </w:rPr>
      </w:pPr>
    </w:p>
    <w:p>
      <w:pPr>
        <w:ind w:left="34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50">
        <w:r>
          <w:rPr>
            <w:rFonts w:ascii="Arial" w:cs="Arial" w:eastAsia="Arial" w:hAnsi="Arial"/>
            <w:sz w:val="16"/>
            <w:szCs w:val="16"/>
            <w:u w:val="single" w:color="auto"/>
            <w:color w:val="0000FF"/>
          </w:rPr>
          <w:t xml:space="preserve">Amended and Restated By-Laws. </w:t>
        </w:r>
      </w:hyperlink>
      <w:r>
        <w:rPr>
          <w:rFonts w:ascii="Arial" w:cs="Arial" w:eastAsia="Arial" w:hAnsi="Arial"/>
          <w:sz w:val="16"/>
          <w:szCs w:val="16"/>
          <w:color w:val="000000"/>
        </w:rPr>
        <w:t>(2)</w:t>
      </w:r>
    </w:p>
    <w:p>
      <w:pPr>
        <w:spacing w:after="0" w:line="63" w:lineRule="exact"/>
        <w:rPr>
          <w:sz w:val="20"/>
          <w:szCs w:val="20"/>
          <w:color w:val="auto"/>
        </w:rPr>
      </w:pPr>
    </w:p>
    <w:p>
      <w:pPr>
        <w:ind w:left="26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7">
        <w:r>
          <w:rPr>
            <w:rFonts w:ascii="Arial" w:cs="Arial" w:eastAsia="Arial" w:hAnsi="Arial"/>
            <w:sz w:val="16"/>
            <w:szCs w:val="16"/>
            <w:u w:val="single" w:color="auto"/>
            <w:color w:val="0000FF"/>
          </w:rPr>
          <w:t>Certification by Chief Executive Officer pursuant to Rule 13a-14(a) of the Exchange Act.</w:t>
        </w:r>
      </w:hyperlink>
    </w:p>
    <w:p>
      <w:pPr>
        <w:spacing w:after="0" w:line="63" w:lineRule="exact"/>
        <w:rPr>
          <w:sz w:val="20"/>
          <w:szCs w:val="20"/>
          <w:color w:val="auto"/>
        </w:rPr>
      </w:pPr>
    </w:p>
    <w:p>
      <w:pPr>
        <w:ind w:left="26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28">
        <w:r>
          <w:rPr>
            <w:rFonts w:ascii="Arial" w:cs="Arial" w:eastAsia="Arial" w:hAnsi="Arial"/>
            <w:sz w:val="16"/>
            <w:szCs w:val="16"/>
            <w:u w:val="single" w:color="auto"/>
            <w:color w:val="0000FF"/>
          </w:rPr>
          <w:t>Certification by Chief Financial Officer pursuant to Rule 13a-14(a) of the Exchange Act.</w:t>
        </w:r>
      </w:hyperlink>
    </w:p>
    <w:p>
      <w:pPr>
        <w:spacing w:after="0" w:line="63" w:lineRule="exact"/>
        <w:rPr>
          <w:sz w:val="20"/>
          <w:szCs w:val="20"/>
          <w:color w:val="auto"/>
        </w:rPr>
      </w:pPr>
    </w:p>
    <w:p>
      <w:pPr>
        <w:ind w:left="26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29">
        <w:r>
          <w:rPr>
            <w:rFonts w:ascii="Arial" w:cs="Arial" w:eastAsia="Arial" w:hAnsi="Arial"/>
            <w:sz w:val="16"/>
            <w:szCs w:val="16"/>
            <w:u w:val="single" w:color="auto"/>
            <w:color w:val="0000FF"/>
          </w:rPr>
          <w:t>Section 1350 Certification by Chief Executive Officer.</w:t>
        </w:r>
      </w:hyperlink>
    </w:p>
    <w:p>
      <w:pPr>
        <w:spacing w:after="0" w:line="63" w:lineRule="exact"/>
        <w:rPr>
          <w:sz w:val="20"/>
          <w:szCs w:val="20"/>
          <w:color w:val="auto"/>
        </w:rPr>
      </w:pPr>
    </w:p>
    <w:p>
      <w:pPr>
        <w:ind w:left="26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30">
        <w:r>
          <w:rPr>
            <w:rFonts w:ascii="Arial" w:cs="Arial" w:eastAsia="Arial" w:hAnsi="Arial"/>
            <w:sz w:val="16"/>
            <w:szCs w:val="16"/>
            <w:u w:val="single" w:color="auto"/>
            <w:color w:val="0000FF"/>
          </w:rPr>
          <w:t>Section 1350 Certification by Chief Financial Officer.</w:t>
        </w:r>
      </w:hyperlink>
    </w:p>
    <w:p>
      <w:pPr>
        <w:spacing w:after="0" w:line="77" w:lineRule="exact"/>
        <w:rPr>
          <w:sz w:val="20"/>
          <w:szCs w:val="20"/>
          <w:color w:val="auto"/>
        </w:rPr>
      </w:pPr>
    </w:p>
    <w:p>
      <w:pPr>
        <w:ind w:left="840" w:hanging="539"/>
        <w:spacing w:after="0" w:line="289"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December 29, 2019 filed with the SEC on February 5, 2020 formatted in Inline Extensible Business Reporting Language (iXBRL); (i) the Condensed Consolidated Balance Sheets at December 29, 2019 and March 31, 2019, (ii) the Condensed Consolidated Statements of Income for the three and nine months ended December 29, 2019 and December 30, 2018, (iii) the Condensed Consolidated Statements of Comprehensive Income for the three and nine months ended December 29, 2019 and December 30, 2018, (iv) the Condensed Consolidated Statements of Shareholder's Equity for the three and nine months ended December 29, 2019 and December 30, 2018, (v) the Condensed Consolidated Statements of Cash Flows for the nine months ended December 29, 2019 and December 30, 2018, and (vi) Notes to Condensed Consolidated Financial Statements.</w:t>
      </w:r>
    </w:p>
    <w:p>
      <w:pPr>
        <w:spacing w:after="0" w:line="5" w:lineRule="exact"/>
        <w:rPr>
          <w:sz w:val="20"/>
          <w:szCs w:val="20"/>
          <w:color w:val="auto"/>
        </w:rPr>
      </w:pPr>
    </w:p>
    <w:p>
      <w:pPr>
        <w:ind w:left="300"/>
        <w:spacing w:after="0"/>
        <w:tabs>
          <w:tab w:leader="none" w:pos="82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center"/>
        <w:ind w:right="240"/>
        <w:spacing w:after="0"/>
        <w:rPr>
          <w:sz w:val="20"/>
          <w:szCs w:val="20"/>
          <w:color w:val="auto"/>
        </w:rPr>
      </w:pPr>
      <w:r>
        <w:rPr>
          <w:rFonts w:ascii="Arial" w:cs="Arial" w:eastAsia="Arial" w:hAnsi="Arial"/>
          <w:sz w:val="14"/>
          <w:szCs w:val="14"/>
          <w:u w:val="single" w:color="auto"/>
          <w:color w:val="auto"/>
        </w:rPr>
        <w:t>Method of Filing</w:t>
      </w:r>
    </w:p>
    <w:p>
      <w:pPr>
        <w:spacing w:after="0" w:line="46" w:lineRule="exact"/>
        <w:rPr>
          <w:sz w:val="20"/>
          <w:szCs w:val="20"/>
          <w:color w:val="auto"/>
        </w:rPr>
      </w:pPr>
    </w:p>
    <w:p>
      <w:pPr>
        <w:jc w:val="center"/>
        <w:ind w:right="240"/>
        <w:spacing w:after="0" w:line="362"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ectPr>
          <w:pgSz w:w="11900" w:h="16838" w:orient="portrait"/>
          <w:cols w:equalWidth="0" w:num="2">
            <w:col w:w="8780" w:space="400"/>
            <w:col w:w="2160"/>
          </w:cols>
          <w:pgMar w:left="240" w:top="895" w:right="3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80" w:hanging="329"/>
        <w:spacing w:after="0" w:line="258"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spacing w:after="0" w:line="1" w:lineRule="exact"/>
        <w:rPr>
          <w:rFonts w:ascii="Arial" w:cs="Arial" w:eastAsia="Arial" w:hAnsi="Arial"/>
          <w:sz w:val="18"/>
          <w:szCs w:val="18"/>
          <w:color w:val="auto"/>
        </w:rPr>
      </w:pPr>
    </w:p>
    <w:p>
      <w:pPr>
        <w:ind w:left="580" w:hanging="329"/>
        <w:spacing w:after="0" w:line="261"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895" w:right="319" w:bottom="1440" w:gutter="0" w:footer="0" w:header="0"/>
          <w:type w:val="continuous"/>
        </w:sectPr>
      </w:pPr>
    </w:p>
    <w:bookmarkStart w:id="25" w:name="page26"/>
    <w:bookmarkEnd w:id="2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HAWKINS, INC.</w:t>
      </w:r>
    </w:p>
    <w:p>
      <w:pPr>
        <w:spacing w:after="0" w:line="117" w:lineRule="exact"/>
        <w:rPr>
          <w:sz w:val="20"/>
          <w:szCs w:val="20"/>
          <w:color w:val="auto"/>
        </w:rPr>
      </w:pPr>
    </w:p>
    <w:p>
      <w:pPr>
        <w:ind w:left="524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336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(On behalf of the registrant and as principal financial and accounting</w:t>
      </w:r>
    </w:p>
    <w:p>
      <w:pPr>
        <w:spacing w:after="0" w:line="46"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2020</w:t>
      </w:r>
    </w:p>
    <w:p>
      <w:pPr>
        <w:sectPr>
          <w:pgSz w:w="11900" w:h="16838" w:orient="portrait"/>
          <w:cols w:equalWidth="0" w:num="1">
            <w:col w:w="11220"/>
          </w:cols>
          <w:pgMar w:left="240" w:top="891"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300" w:right="140" w:hanging="320"/>
        <w:spacing w:after="0" w:line="264" w:lineRule="auto"/>
        <w:tabs>
          <w:tab w:leader="none" w:pos="1291"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300" w:right="220" w:hanging="320"/>
        <w:spacing w:after="0" w:line="264" w:lineRule="auto"/>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380" w:hanging="320"/>
        <w:spacing w:after="0" w:line="342" w:lineRule="auto"/>
        <w:tabs>
          <w:tab w:leader="none" w:pos="1291"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80" w:hanging="320"/>
        <w:spacing w:after="0" w:line="264" w:lineRule="auto"/>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42" w:lineRule="auto"/>
        <w:tabs>
          <w:tab w:leader="none" w:pos="1291"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380" w:hanging="320"/>
        <w:spacing w:after="0" w:line="277" w:lineRule="auto"/>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2020</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56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89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140" w:hanging="644"/>
        <w:spacing w:after="0" w:line="264" w:lineRule="auto"/>
        <w:tabs>
          <w:tab w:leader="none" w:pos="129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644"/>
        <w:spacing w:after="0" w:line="264"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300" w:right="380" w:hanging="644"/>
        <w:spacing w:after="0" w:line="317" w:lineRule="auto"/>
        <w:tabs>
          <w:tab w:leader="none" w:pos="129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291"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80" w:hanging="644"/>
        <w:spacing w:after="0" w:line="277"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2020</w:t>
      </w:r>
    </w:p>
    <w:p>
      <w:pPr>
        <w:spacing w:after="0" w:line="25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31750</wp:posOffset>
            </wp:positionV>
            <wp:extent cx="3361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89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29, 2019,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327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5, 2020</w:t>
      </w:r>
    </w:p>
    <w:p>
      <w:pPr>
        <w:sectPr>
          <w:pgSz w:w="11900" w:h="16838" w:orient="portrait"/>
          <w:cols w:equalWidth="0" w:num="1">
            <w:col w:w="11420"/>
          </w:cols>
          <w:pgMar w:left="240" w:top="89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29, 2019,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5, 2020</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decimal"/>
      <w:start w:val="10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18" Type="http://schemas.openxmlformats.org/officeDocument/2006/relationships/hyperlink" Target="http://www.sec.gov/Archives/edgar/data/46250/000004625019000017/hwkn10k2019.htm" TargetMode="External"/><Relationship Id="rId49" Type="http://schemas.openxmlformats.org/officeDocument/2006/relationships/hyperlink" Target="http://www.sec.gov/Archives/edgar/data/46250/000089710110001532/hawkins103608_ex3-1.htm" TargetMode="External"/><Relationship Id="rId50"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2020-02-17T16:33:46Z</dcterms:created>
  <dcterms:modified xsi:type="dcterms:W3CDTF">2020-02-17T16:33:46Z</dcterms:modified>
</cp:coreProperties>
</file>