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199390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November 9, 2007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72" w:right="239" w:bottom="215" w:gutter="0" w:footer="0" w:header="0"/>
        </w:sectPr>
      </w:pPr>
    </w:p>
    <w:p>
      <w:pPr>
        <w:spacing w:after="0" w:line="192" w:lineRule="exact"/>
        <w:rPr>
          <w:sz w:val="24"/>
          <w:szCs w:val="24"/>
          <w:color w:val="auto"/>
        </w:rPr>
      </w:pPr>
    </w:p>
    <w:p>
      <w:pPr>
        <w:ind w:left="130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36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3">
            <w:col w:w="4680" w:space="720"/>
            <w:col w:w="2980" w:space="720"/>
            <w:col w:w="2320"/>
          </w:cols>
          <w:pgMar w:left="240" w:top="1272" w:right="239" w:bottom="215" w:gutter="0" w:footer="0" w:header="0"/>
          <w:type w:val="continuous"/>
        </w:sectPr>
      </w:pPr>
    </w:p>
    <w:p>
      <w:pPr>
        <w:ind w:left="9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60"/>
          </w:cols>
          <w:pgMar w:left="240" w:top="1272" w:right="239" w:bottom="215" w:gutter="0" w:footer="0" w:header="0"/>
          <w:type w:val="continuous"/>
        </w:sectPr>
      </w:pP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3100 East Hennepin Ave.</w:t>
      </w:r>
    </w:p>
    <w:p>
      <w:pPr>
        <w:spacing w:after="0" w:line="49"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640" w:space="720"/>
            <w:col w:w="2060"/>
          </w:cols>
          <w:pgMar w:left="240" w:top="1272" w:right="239" w:bottom="215" w:gutter="0" w:footer="0" w:header="0"/>
          <w:type w:val="continuous"/>
        </w:sectPr>
      </w:pPr>
    </w:p>
    <w:p>
      <w:pPr>
        <w:ind w:left="2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520" w:space="720"/>
            <w:col w:w="2180"/>
          </w:cols>
          <w:pgMar w:left="240" w:top="1272" w:right="239" w:bottom="215"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Number: 612-331-6910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firstLine="571"/>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840" w:hanging="261"/>
        <w:spacing w:after="0"/>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840" w:hanging="261"/>
        <w:spacing w:after="0"/>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840" w:hanging="261"/>
        <w:spacing w:after="0"/>
        <w:tabs>
          <w:tab w:leader="none" w:pos="8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840" w:hanging="261"/>
        <w:spacing w:after="0"/>
        <w:tabs>
          <w:tab w:leader="none" w:pos="84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1140" w:right="1100" w:hanging="1133"/>
        <w:spacing w:after="0" w:line="256" w:lineRule="auto"/>
        <w:tabs>
          <w:tab w:leader="none" w:pos="1120" w:val="left"/>
        </w:tabs>
        <w:rPr>
          <w:sz w:val="20"/>
          <w:szCs w:val="20"/>
          <w:color w:val="auto"/>
        </w:rPr>
      </w:pPr>
      <w:r>
        <w:rPr>
          <w:rFonts w:ascii="Arial" w:cs="Arial" w:eastAsia="Arial" w:hAnsi="Arial"/>
          <w:sz w:val="22"/>
          <w:szCs w:val="22"/>
          <w:b w:val="1"/>
          <w:bCs w:val="1"/>
          <w:color w:val="auto"/>
        </w:rPr>
        <w:t>Item 5.02.</w:t>
        <w:tab/>
        <w:t>Departure of Directors or Certain Officers; Election of Directors; Appointment of Certain Officers; Compensatory Arrangement of Certain Officers.</w:t>
      </w:r>
    </w:p>
    <w:p>
      <w:pPr>
        <w:spacing w:after="0" w:line="182" w:lineRule="exact"/>
        <w:rPr>
          <w:sz w:val="24"/>
          <w:szCs w:val="24"/>
          <w:color w:val="auto"/>
        </w:rPr>
      </w:pPr>
    </w:p>
    <w:p>
      <w:pPr>
        <w:ind w:right="180" w:firstLine="571"/>
        <w:spacing w:after="0" w:line="259" w:lineRule="auto"/>
        <w:rPr>
          <w:sz w:val="20"/>
          <w:szCs w:val="20"/>
          <w:color w:val="auto"/>
        </w:rPr>
      </w:pPr>
      <w:r>
        <w:rPr>
          <w:rFonts w:ascii="Arial" w:cs="Arial" w:eastAsia="Arial" w:hAnsi="Arial"/>
          <w:sz w:val="18"/>
          <w:szCs w:val="18"/>
          <w:color w:val="auto"/>
        </w:rPr>
        <w:t>On November 9, 2007, we announced that Marvin E. Dee, our Vice President, Chief Financial Officer, Secretary and Treasurer, will leave the Company effective December 31, 2007. We are actively searching for a new Chief Financial Officer. Mr. Dee’s resignation does not involve any disagreement over any financial matter concerning the Company, nor any disagreement with our auditors.</w:t>
      </w:r>
    </w:p>
    <w:p>
      <w:pPr>
        <w:spacing w:after="0" w:line="19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 copy of the press release announcing Mr. Dee’s departure is attached as Exhibit 99 to this report.</w:t>
      </w:r>
    </w:p>
    <w:p>
      <w:pPr>
        <w:spacing w:after="0" w:line="200" w:lineRule="exact"/>
        <w:rPr>
          <w:sz w:val="24"/>
          <w:szCs w:val="24"/>
          <w:color w:val="auto"/>
        </w:rPr>
      </w:pPr>
    </w:p>
    <w:p>
      <w:pPr>
        <w:spacing w:after="0" w:line="222"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99 – Press Release, dated November 9, 2007, issued by Hawkins, Inc.</w:t>
      </w:r>
    </w:p>
    <w:p>
      <w:pPr>
        <w:sectPr>
          <w:pgSz w:w="11900" w:h="16838" w:orient="portrait"/>
          <w:cols w:equalWidth="0" w:num="1">
            <w:col w:w="11420"/>
          </w:cols>
          <w:pgMar w:left="240" w:top="1272" w:right="239" w:bottom="215"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w:t>
      </w:r>
    </w:p>
    <w:p>
      <w:pPr>
        <w:spacing w:after="0" w:line="11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6000" w:type="dxa"/>
            <w:vAlign w:val="bottom"/>
            <w:gridSpan w:val="2"/>
          </w:tcPr>
          <w:p>
            <w:pPr>
              <w:ind w:left="2380"/>
              <w:spacing w:after="0"/>
              <w:rPr>
                <w:sz w:val="20"/>
                <w:szCs w:val="20"/>
                <w:color w:val="auto"/>
              </w:rPr>
            </w:pPr>
            <w:r>
              <w:rPr>
                <w:rFonts w:ascii="Arial" w:cs="Arial" w:eastAsia="Arial" w:hAnsi="Arial"/>
                <w:sz w:val="18"/>
                <w:szCs w:val="18"/>
                <w:color w:val="auto"/>
              </w:rPr>
              <w:t>HAWKINS, INC.</w:t>
            </w:r>
          </w:p>
        </w:tc>
        <w:tc>
          <w:tcPr>
            <w:tcW w:w="1140" w:type="dxa"/>
            <w:vAlign w:val="bottom"/>
          </w:tcPr>
          <w:p>
            <w:pPr>
              <w:spacing w:after="0"/>
              <w:rPr>
                <w:sz w:val="19"/>
                <w:szCs w:val="19"/>
                <w:color w:val="auto"/>
              </w:rPr>
            </w:pPr>
          </w:p>
        </w:tc>
      </w:tr>
      <w:tr>
        <w:trPr>
          <w:trHeight w:val="474"/>
        </w:trPr>
        <w:tc>
          <w:tcPr>
            <w:tcW w:w="4280" w:type="dxa"/>
            <w:vAlign w:val="bottom"/>
          </w:tcPr>
          <w:p>
            <w:pPr>
              <w:spacing w:after="0"/>
              <w:rPr>
                <w:sz w:val="20"/>
                <w:szCs w:val="20"/>
                <w:color w:val="auto"/>
              </w:rPr>
            </w:pPr>
            <w:r>
              <w:rPr>
                <w:rFonts w:ascii="Arial" w:cs="Arial" w:eastAsia="Arial" w:hAnsi="Arial"/>
                <w:sz w:val="18"/>
                <w:szCs w:val="18"/>
                <w:color w:val="auto"/>
              </w:rPr>
              <w:t>Date:  November 15, 2007</w:t>
            </w:r>
          </w:p>
        </w:tc>
        <w:tc>
          <w:tcPr>
            <w:tcW w:w="6000" w:type="dxa"/>
            <w:vAlign w:val="bottom"/>
            <w:gridSpan w:val="2"/>
          </w:tcPr>
          <w:p>
            <w:pPr>
              <w:ind w:left="2380"/>
              <w:spacing w:after="0"/>
              <w:rPr>
                <w:sz w:val="20"/>
                <w:szCs w:val="20"/>
                <w:color w:val="auto"/>
              </w:rPr>
            </w:pPr>
            <w:r>
              <w:rPr>
                <w:rFonts w:ascii="Arial" w:cs="Arial" w:eastAsia="Arial" w:hAnsi="Arial"/>
                <w:sz w:val="18"/>
                <w:szCs w:val="18"/>
                <w:color w:val="auto"/>
              </w:rPr>
              <w:t>By  /s/  John R. Hawkins</w:t>
            </w:r>
          </w:p>
        </w:tc>
        <w:tc>
          <w:tcPr>
            <w:tcW w:w="1140" w:type="dxa"/>
            <w:vAlign w:val="bottom"/>
          </w:tcPr>
          <w:p>
            <w:pPr>
              <w:spacing w:after="0"/>
              <w:rPr>
                <w:sz w:val="24"/>
                <w:szCs w:val="24"/>
                <w:color w:val="auto"/>
              </w:rPr>
            </w:pPr>
          </w:p>
        </w:tc>
      </w:tr>
      <w:tr>
        <w:trPr>
          <w:trHeight w:val="202"/>
        </w:trPr>
        <w:tc>
          <w:tcPr>
            <w:tcW w:w="4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John R. Hawkins</w:t>
            </w:r>
          </w:p>
        </w:tc>
        <w:tc>
          <w:tcPr>
            <w:tcW w:w="1140" w:type="dxa"/>
            <w:vAlign w:val="bottom"/>
          </w:tcPr>
          <w:p>
            <w:pPr>
              <w:spacing w:after="0"/>
              <w:rPr>
                <w:sz w:val="17"/>
                <w:szCs w:val="17"/>
                <w:color w:val="auto"/>
              </w:rPr>
            </w:pPr>
          </w:p>
        </w:tc>
      </w:tr>
      <w:tr>
        <w:trPr>
          <w:trHeight w:val="222"/>
        </w:trPr>
        <w:tc>
          <w:tcPr>
            <w:tcW w:w="4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140" w:type="dxa"/>
            <w:vAlign w:val="bottom"/>
          </w:tcPr>
          <w:p>
            <w:pPr>
              <w:spacing w:after="0"/>
              <w:rPr>
                <w:sz w:val="19"/>
                <w:szCs w:val="19"/>
                <w:color w:val="auto"/>
              </w:rPr>
            </w:pPr>
          </w:p>
        </w:tc>
      </w:tr>
      <w:tr>
        <w:trPr>
          <w:trHeight w:val="3294"/>
        </w:trPr>
        <w:tc>
          <w:tcPr>
            <w:tcW w:w="428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t>Exhibit 99</w:t>
      </w:r>
    </w:p>
    <w:p>
      <w:pPr>
        <w:sectPr>
          <w:pgSz w:w="11900" w:h="16838" w:orient="portrait"/>
          <w:cols w:equalWidth="0" w:num="1">
            <w:col w:w="11420"/>
          </w:cols>
          <w:pgMar w:left="240" w:top="598"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9,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Contacts: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john.hawkins@HawkinsInc.com</w:t>
      </w:r>
    </w:p>
    <w:p>
      <w:pPr>
        <w:spacing w:after="0" w:line="31" w:lineRule="exact"/>
        <w:rPr>
          <w:sz w:val="20"/>
          <w:szCs w:val="20"/>
          <w:color w:val="auto"/>
        </w:rPr>
      </w:pPr>
    </w:p>
    <w:p>
      <w:pPr>
        <w:sectPr>
          <w:pgSz w:w="11900" w:h="16838" w:orient="portrait"/>
          <w:cols w:equalWidth="0" w:num="3">
            <w:col w:w="6440" w:space="720"/>
            <w:col w:w="660" w:space="120"/>
            <w:col w:w="3480"/>
          </w:cols>
          <w:pgMar w:left="240" w:top="598" w:right="239" w:bottom="1440" w:gutter="0" w:footer="0" w:header="0"/>
          <w:type w:val="continuous"/>
        </w:sectPr>
      </w:pPr>
    </w:p>
    <w:p>
      <w:pPr>
        <w:spacing w:after="0"/>
        <w:rPr>
          <w:sz w:val="20"/>
          <w:szCs w:val="20"/>
          <w:color w:val="auto"/>
        </w:rPr>
      </w:pPr>
      <w:r>
        <w:rPr>
          <w:rFonts w:ascii="Arial" w:cs="Arial" w:eastAsia="Arial" w:hAnsi="Arial"/>
          <w:sz w:val="15"/>
          <w:szCs w:val="15"/>
          <w:color w:val="auto"/>
        </w:rPr>
        <w:t>3100 East Hennepin Avenue</w:t>
      </w:r>
    </w:p>
    <w:p>
      <w:pPr>
        <w:sectPr>
          <w:pgSz w:w="11900" w:h="16838" w:orient="portrait"/>
          <w:cols w:equalWidth="0" w:num="1">
            <w:col w:w="11420"/>
          </w:cols>
          <w:pgMar w:left="240" w:top="598"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http://www.hawkinsinc.com</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Weichert Financial Relations,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612/810-0515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199" w:lineRule="exact"/>
        <w:rPr>
          <w:sz w:val="20"/>
          <w:szCs w:val="20"/>
          <w:color w:val="auto"/>
        </w:rPr>
      </w:pPr>
    </w:p>
    <w:p>
      <w:pPr>
        <w:sectPr>
          <w:pgSz w:w="11900" w:h="16838" w:orient="portrait"/>
          <w:cols w:equalWidth="0" w:num="2">
            <w:col w:w="7220" w:space="720"/>
            <w:col w:w="3480"/>
          </w:cols>
          <w:pgMar w:left="240" w:top="598" w:right="239" w:bottom="1440" w:gutter="0" w:footer="0" w:header="0"/>
          <w:type w:val="continuous"/>
        </w:sectPr>
      </w:pPr>
    </w:p>
    <w:p>
      <w:pPr>
        <w:jc w:val="center"/>
        <w:spacing w:after="0"/>
        <w:rPr>
          <w:sz w:val="20"/>
          <w:szCs w:val="20"/>
          <w:color w:val="auto"/>
        </w:rPr>
      </w:pPr>
      <w:r>
        <w:rPr>
          <w:rFonts w:ascii="Arial" w:cs="Arial" w:eastAsia="Arial" w:hAnsi="Arial"/>
          <w:sz w:val="24"/>
          <w:szCs w:val="24"/>
          <w:b w:val="1"/>
          <w:bCs w:val="1"/>
          <w:color w:val="auto"/>
        </w:rPr>
        <w:t>HAWKINS, INC. ANNOUNCES DEPARTURE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OF CHIEF FINANCIAL OFFICER</w:t>
      </w:r>
    </w:p>
    <w:p>
      <w:pPr>
        <w:sectPr>
          <w:pgSz w:w="11900" w:h="16838" w:orient="portrait"/>
          <w:cols w:equalWidth="0" w:num="1">
            <w:col w:w="11420"/>
          </w:cols>
          <w:pgMar w:left="240" w:top="598" w:right="239" w:bottom="1440" w:gutter="0" w:footer="0" w:header="0"/>
          <w:type w:val="continuous"/>
        </w:sectPr>
      </w:pPr>
    </w:p>
    <w:p>
      <w:pPr>
        <w:spacing w:after="0" w:line="2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Minneapolis, MN, November 9, 2007 – Hawkins, Inc. (Nasdaq: HWKN) today announced that Marvin Dee will leave his position as Chief Financial Officer of Hawkins effective December 31, 2007 to pursue other business interests.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Chief Executive Officer, John R. Hawkins, commented, “We appreciate Marv’s contributions to the Company and wish him the best in the future. We have begun the process to identify his replacement and plans for an orderly transition are in place.”</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sixteen facilities in Iowa, Illinois, Minnesota, Montana, Nebraska, New Jersey, South and North Dakota and Wisconsin and services customers in Upper Michigan, Kansas and Wyoming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2019-12-13T01:51:25Z</dcterms:created>
  <dcterms:modified xsi:type="dcterms:W3CDTF">2019-12-13T01:51:25Z</dcterms:modified>
</cp:coreProperties>
</file>