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6"/>
          <w:szCs w:val="16"/>
          <w:b w:val="1"/>
          <w:bCs w:val="1"/>
          <w:color w:val="auto"/>
        </w:rPr>
        <w:t>8UNITED STATES</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Washington, D.C. 20549</w:t>
      </w:r>
    </w:p>
    <w:p>
      <w:pPr>
        <w:spacing w:after="0" w:line="18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21"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(Amendment No. 2)*</w:t>
      </w:r>
    </w:p>
    <w:p>
      <w:pPr>
        <w:spacing w:after="0" w:line="164"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(Name of Issuer)</w:t>
      </w: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(Title of Class of Securities)</w:t>
      </w: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(CUSIP Number)</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19" w:lineRule="exact"/>
        <w:rPr>
          <w:sz w:val="24"/>
          <w:szCs w:val="24"/>
          <w:color w:val="auto"/>
        </w:rPr>
      </w:pPr>
    </w:p>
    <w:p>
      <w:pPr>
        <w:jc w:val="both"/>
        <w:ind w:right="10040" w:firstLine="8"/>
        <w:spacing w:after="0" w:line="218" w:lineRule="exact"/>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6"/>
          <w:szCs w:val="16"/>
          <w:color w:val="auto"/>
        </w:rPr>
        <w:t xml:space="preserve">Rule 13d-1(b) </w:t>
      </w:r>
      <w:r>
        <w:rPr>
          <w:rFonts w:ascii="MS PGothic" w:cs="MS PGothic" w:eastAsia="MS PGothic" w:hAnsi="MS PGothic"/>
          <w:sz w:val="18"/>
          <w:szCs w:val="18"/>
          <w:color w:val="auto"/>
        </w:rPr>
        <w:t>☐</w:t>
      </w:r>
      <w:r>
        <w:rPr>
          <w:rFonts w:ascii="Arial" w:cs="Arial" w:eastAsia="Arial" w:hAnsi="Arial"/>
          <w:sz w:val="16"/>
          <w:szCs w:val="16"/>
          <w:color w:val="auto"/>
        </w:rPr>
        <w:t xml:space="preserve"> Rule 13d-1(c) </w:t>
      </w:r>
      <w:r>
        <w:rPr>
          <w:rFonts w:ascii="MS PGothic" w:cs="MS PGothic" w:eastAsia="MS PGothic" w:hAnsi="MS PGothic"/>
          <w:sz w:val="18"/>
          <w:szCs w:val="18"/>
          <w:color w:val="auto"/>
        </w:rPr>
        <w:t>☐</w:t>
      </w:r>
      <w:r>
        <w:rPr>
          <w:rFonts w:ascii="Arial" w:cs="Arial" w:eastAsia="Arial" w:hAnsi="Arial"/>
          <w:sz w:val="16"/>
          <w:szCs w:val="16"/>
          <w:color w:val="auto"/>
        </w:rPr>
        <w:t xml:space="preserve"> Rule 13d-1(d)</w:t>
      </w:r>
    </w:p>
    <w:p>
      <w:pPr>
        <w:spacing w:after="0" w:line="239" w:lineRule="exact"/>
        <w:rPr>
          <w:sz w:val="24"/>
          <w:szCs w:val="24"/>
          <w:color w:val="auto"/>
        </w:rPr>
      </w:pPr>
    </w:p>
    <w:p>
      <w:pPr>
        <w:ind w:right="40" w:firstLine="8"/>
        <w:spacing w:after="0" w:line="186" w:lineRule="auto"/>
        <w:tabs>
          <w:tab w:leader="none" w:pos="98"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7"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00"/>
          </w:cols>
          <w:pgMar w:left="240" w:top="229" w:right="359" w:bottom="1440" w:gutter="0" w:footer="0" w:header="0"/>
        </w:sectPr>
      </w:pPr>
    </w:p>
    <w:bookmarkStart w:id="1" w:name="page2"/>
    <w:bookmarkEnd w:id="1"/>
    <w:p>
      <w:pPr>
        <w:spacing w:after="0"/>
        <w:tabs>
          <w:tab w:leader="none" w:pos="5680" w:val="left"/>
          <w:tab w:leader="none" w:pos="102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4</w:t>
      </w:r>
      <w:r>
        <w:rPr>
          <w:rFonts w:ascii="Arial" w:cs="Arial" w:eastAsia="Arial" w:hAnsi="Arial"/>
          <w:sz w:val="18"/>
          <w:szCs w:val="18"/>
          <w:color w:val="auto"/>
        </w:rPr>
        <w:t>20261109</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2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60" w:hanging="344"/>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NAMES OF REPORTING PERSONS</w:t>
      </w:r>
    </w:p>
    <w:p>
      <w:pPr>
        <w:spacing w:after="0" w:line="2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I.R.S. IDENTIFICATION NOS. OF ABOVE PERSONS (ENTITIES ONLY)</w:t>
      </w:r>
    </w:p>
    <w:p>
      <w:pPr>
        <w:spacing w:after="0" w:line="2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Victory Capital Management Inc.</w:t>
      </w:r>
    </w:p>
    <w:p>
      <w:pPr>
        <w:ind w:left="460"/>
        <w:spacing w:after="0"/>
        <w:rPr>
          <w:rFonts w:ascii="Arial" w:cs="Arial" w:eastAsia="Arial" w:hAnsi="Arial"/>
          <w:sz w:val="16"/>
          <w:szCs w:val="16"/>
          <w:color w:val="auto"/>
        </w:rPr>
      </w:pPr>
      <w:r>
        <w:rPr>
          <w:rFonts w:ascii="Arial" w:cs="Arial" w:eastAsia="Arial" w:hAnsi="Arial"/>
          <w:sz w:val="18"/>
          <w:szCs w:val="18"/>
          <w:color w:val="auto"/>
        </w:rPr>
        <w:t>13-2700161</w:t>
      </w:r>
    </w:p>
    <w:p>
      <w:pPr>
        <w:spacing w:after="0" w:line="24" w:lineRule="exact"/>
        <w:rPr>
          <w:rFonts w:ascii="Arial" w:cs="Arial" w:eastAsia="Arial" w:hAnsi="Arial"/>
          <w:sz w:val="16"/>
          <w:szCs w:val="16"/>
          <w:color w:val="auto"/>
        </w:rPr>
      </w:pPr>
    </w:p>
    <w:p>
      <w:pPr>
        <w:ind w:left="460" w:right="6480" w:hanging="344"/>
        <w:spacing w:after="0" w:line="266"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800" w:hanging="333"/>
        <w:spacing w:after="0" w:line="189" w:lineRule="exact"/>
        <w:tabs>
          <w:tab w:leader="none" w:pos="800" w:val="left"/>
        </w:tabs>
        <w:numPr>
          <w:ilvl w:val="1"/>
          <w:numId w:val="3"/>
        </w:numPr>
        <w:rPr>
          <w:rFonts w:ascii="Arial" w:cs="Arial" w:eastAsia="Arial" w:hAnsi="Arial"/>
          <w:sz w:val="16"/>
          <w:szCs w:val="16"/>
          <w:color w:val="auto"/>
        </w:rPr>
      </w:pPr>
      <w:r>
        <w:rPr>
          <w:rFonts w:ascii="MS PGothic" w:cs="MS PGothic" w:eastAsia="MS PGothic" w:hAnsi="MS PGothic"/>
          <w:sz w:val="18"/>
          <w:szCs w:val="18"/>
          <w:color w:val="auto"/>
        </w:rPr>
        <w:t>☐</w:t>
      </w:r>
    </w:p>
    <w:p>
      <w:pPr>
        <w:spacing w:after="0" w:line="51" w:lineRule="exact"/>
        <w:rPr>
          <w:rFonts w:ascii="Arial" w:cs="Arial" w:eastAsia="Arial" w:hAnsi="Arial"/>
          <w:sz w:val="16"/>
          <w:szCs w:val="16"/>
          <w:color w:val="auto"/>
        </w:rPr>
      </w:pPr>
    </w:p>
    <w:p>
      <w:pPr>
        <w:ind w:left="820" w:hanging="353"/>
        <w:spacing w:after="0" w:line="189" w:lineRule="exact"/>
        <w:tabs>
          <w:tab w:leader="none" w:pos="820" w:val="left"/>
        </w:tabs>
        <w:numPr>
          <w:ilvl w:val="1"/>
          <w:numId w:val="3"/>
        </w:numPr>
        <w:rPr>
          <w:rFonts w:ascii="Arial" w:cs="Arial" w:eastAsia="Arial" w:hAnsi="Arial"/>
          <w:sz w:val="16"/>
          <w:szCs w:val="16"/>
          <w:color w:val="auto"/>
        </w:rPr>
      </w:pPr>
      <w:r>
        <w:rPr>
          <w:rFonts w:ascii="MS PGothic" w:cs="MS PGothic" w:eastAsia="MS PGothic" w:hAnsi="MS PGothic"/>
          <w:sz w:val="18"/>
          <w:szCs w:val="18"/>
          <w:color w:val="auto"/>
        </w:rPr>
        <w:t>☐</w:t>
      </w:r>
    </w:p>
    <w:p>
      <w:pPr>
        <w:spacing w:after="0" w:line="27" w:lineRule="exact"/>
        <w:rPr>
          <w:rFonts w:ascii="Arial" w:cs="Arial" w:eastAsia="Arial" w:hAnsi="Arial"/>
          <w:sz w:val="16"/>
          <w:szCs w:val="16"/>
          <w:color w:val="auto"/>
        </w:rPr>
      </w:pPr>
    </w:p>
    <w:p>
      <w:pPr>
        <w:ind w:left="460" w:hanging="344"/>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20" w:lineRule="exact"/>
        <w:rPr>
          <w:rFonts w:ascii="Arial" w:cs="Arial" w:eastAsia="Arial" w:hAnsi="Arial"/>
          <w:sz w:val="16"/>
          <w:szCs w:val="16"/>
          <w:color w:val="auto"/>
        </w:rPr>
      </w:pPr>
    </w:p>
    <w:p>
      <w:pPr>
        <w:ind w:left="460" w:right="7640" w:hanging="344"/>
        <w:spacing w:after="0" w:line="557"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CITIZENSHIP OR PLACE OF ORGANIZATION New York</w:t>
      </w:r>
    </w:p>
    <w:p>
      <w:pPr>
        <w:spacing w:after="0" w:line="239" w:lineRule="exact"/>
        <w:rPr>
          <w:rFonts w:ascii="Arial" w:cs="Arial" w:eastAsia="Arial" w:hAnsi="Arial"/>
          <w:sz w:val="16"/>
          <w:szCs w:val="16"/>
          <w:color w:val="auto"/>
        </w:rPr>
      </w:pPr>
    </w:p>
    <w:p>
      <w:pPr>
        <w:ind w:left="2080" w:hanging="343"/>
        <w:spacing w:after="0"/>
        <w:tabs>
          <w:tab w:leader="none" w:pos="2080" w:val="left"/>
        </w:tabs>
        <w:numPr>
          <w:ilvl w:val="2"/>
          <w:numId w:val="3"/>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-1078865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-813435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-427355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1640" w:type="dxa"/>
            <w:vAlign w:val="bottom"/>
            <w:vMerge w:val="restart"/>
          </w:tcPr>
          <w:p>
            <w:pPr>
              <w:jc w:val="center"/>
              <w:ind w:right="219"/>
              <w:spacing w:after="0"/>
              <w:rPr>
                <w:sz w:val="20"/>
                <w:szCs w:val="20"/>
                <w:color w:val="auto"/>
              </w:rPr>
            </w:pPr>
            <w:r>
              <w:rPr>
                <w:rFonts w:ascii="Arial" w:cs="Arial" w:eastAsia="Arial" w:hAnsi="Arial"/>
                <w:sz w:val="16"/>
                <w:szCs w:val="16"/>
                <w:color w:val="auto"/>
                <w:w w:val="97"/>
              </w:rPr>
              <w:t>NUMBER OF</w:t>
            </w:r>
          </w:p>
        </w:tc>
        <w:tc>
          <w:tcPr>
            <w:tcW w:w="240" w:type="dxa"/>
            <w:vAlign w:val="bottom"/>
            <w:tcBorders>
              <w:bottom w:val="single" w:sz="8" w:color="auto"/>
            </w:tcBorders>
          </w:tcPr>
          <w:p>
            <w:pPr>
              <w:spacing w:after="0"/>
              <w:rPr>
                <w:sz w:val="16"/>
                <w:szCs w:val="16"/>
                <w:color w:val="auto"/>
              </w:rPr>
            </w:pPr>
          </w:p>
        </w:tc>
        <w:tc>
          <w:tcPr>
            <w:tcW w:w="94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6"/>
        </w:trPr>
        <w:tc>
          <w:tcPr>
            <w:tcW w:w="1640" w:type="dxa"/>
            <w:vAlign w:val="bottom"/>
            <w:vMerge w:val="continue"/>
          </w:tcPr>
          <w:p>
            <w:pPr>
              <w:spacing w:after="0"/>
              <w:rPr>
                <w:sz w:val="16"/>
                <w:szCs w:val="16"/>
                <w:color w:val="auto"/>
              </w:rPr>
            </w:pPr>
          </w:p>
        </w:tc>
        <w:tc>
          <w:tcPr>
            <w:tcW w:w="240" w:type="dxa"/>
            <w:vAlign w:val="bottom"/>
          </w:tcPr>
          <w:p>
            <w:pPr>
              <w:jc w:val="right"/>
              <w:ind w:right="19"/>
              <w:spacing w:after="0"/>
              <w:rPr>
                <w:sz w:val="20"/>
                <w:szCs w:val="20"/>
                <w:color w:val="auto"/>
              </w:rPr>
            </w:pPr>
            <w:r>
              <w:rPr>
                <w:rFonts w:ascii="Arial" w:cs="Arial" w:eastAsia="Arial" w:hAnsi="Arial"/>
                <w:sz w:val="16"/>
                <w:szCs w:val="16"/>
                <w:color w:val="auto"/>
                <w:w w:val="89"/>
              </w:rPr>
              <w:t>6.</w:t>
            </w:r>
          </w:p>
        </w:tc>
        <w:tc>
          <w:tcPr>
            <w:tcW w:w="9460" w:type="dxa"/>
            <w:vAlign w:val="bottom"/>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Pr>
          <w:p>
            <w:pPr>
              <w:jc w:val="center"/>
              <w:ind w:right="219"/>
              <w:spacing w:after="0"/>
              <w:rPr>
                <w:sz w:val="20"/>
                <w:szCs w:val="20"/>
                <w:color w:val="auto"/>
              </w:rPr>
            </w:pPr>
            <w:r>
              <w:rPr>
                <w:rFonts w:ascii="Arial" w:cs="Arial" w:eastAsia="Arial" w:hAnsi="Arial"/>
                <w:sz w:val="16"/>
                <w:szCs w:val="16"/>
                <w:color w:val="auto"/>
                <w:w w:val="94"/>
              </w:rPr>
              <w:t>SHARES</w:t>
            </w:r>
          </w:p>
        </w:tc>
        <w:tc>
          <w:tcPr>
            <w:tcW w:w="240" w:type="dxa"/>
            <w:vAlign w:val="bottom"/>
          </w:tcPr>
          <w:p>
            <w:pPr>
              <w:spacing w:after="0"/>
              <w:rPr>
                <w:sz w:val="17"/>
                <w:szCs w:val="17"/>
                <w:color w:val="auto"/>
              </w:rPr>
            </w:pPr>
          </w:p>
        </w:tc>
        <w:tc>
          <w:tcPr>
            <w:tcW w:w="9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40" w:type="dxa"/>
            <w:vAlign w:val="bottom"/>
          </w:tcPr>
          <w:p>
            <w:pPr>
              <w:jc w:val="center"/>
              <w:ind w:right="219"/>
              <w:spacing w:after="0"/>
              <w:rPr>
                <w:sz w:val="20"/>
                <w:szCs w:val="20"/>
                <w:color w:val="auto"/>
              </w:rPr>
            </w:pPr>
            <w:r>
              <w:rPr>
                <w:rFonts w:ascii="Arial" w:cs="Arial" w:eastAsia="Arial" w:hAnsi="Arial"/>
                <w:sz w:val="16"/>
                <w:szCs w:val="16"/>
                <w:color w:val="auto"/>
              </w:rPr>
              <w:t>BENEFICIALLY</w:t>
            </w:r>
          </w:p>
        </w:tc>
        <w:tc>
          <w:tcPr>
            <w:tcW w:w="240" w:type="dxa"/>
            <w:vAlign w:val="bottom"/>
            <w:tcBorders>
              <w:bottom w:val="single" w:sz="8" w:color="auto"/>
            </w:tcBorders>
          </w:tcPr>
          <w:p>
            <w:pPr>
              <w:spacing w:after="0"/>
              <w:rPr>
                <w:sz w:val="17"/>
                <w:szCs w:val="17"/>
                <w:color w:val="auto"/>
              </w:rPr>
            </w:pPr>
          </w:p>
        </w:tc>
        <w:tc>
          <w:tcPr>
            <w:tcW w:w="94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79"/>
        </w:trPr>
        <w:tc>
          <w:tcPr>
            <w:tcW w:w="1640" w:type="dxa"/>
            <w:vAlign w:val="bottom"/>
          </w:tcPr>
          <w:p>
            <w:pPr>
              <w:jc w:val="center"/>
              <w:ind w:right="219"/>
              <w:spacing w:after="0" w:line="179" w:lineRule="exact"/>
              <w:rPr>
                <w:sz w:val="20"/>
                <w:szCs w:val="20"/>
                <w:color w:val="auto"/>
              </w:rPr>
            </w:pPr>
            <w:r>
              <w:rPr>
                <w:rFonts w:ascii="Arial" w:cs="Arial" w:eastAsia="Arial" w:hAnsi="Arial"/>
                <w:sz w:val="16"/>
                <w:szCs w:val="16"/>
                <w:color w:val="auto"/>
                <w:w w:val="98"/>
              </w:rPr>
              <w:t>OWNED BY EACH</w:t>
            </w:r>
          </w:p>
        </w:tc>
        <w:tc>
          <w:tcPr>
            <w:tcW w:w="240" w:type="dxa"/>
            <w:vAlign w:val="bottom"/>
          </w:tcPr>
          <w:p>
            <w:pPr>
              <w:jc w:val="right"/>
              <w:ind w:right="19"/>
              <w:spacing w:after="0" w:line="179" w:lineRule="exact"/>
              <w:rPr>
                <w:sz w:val="20"/>
                <w:szCs w:val="20"/>
                <w:color w:val="auto"/>
              </w:rPr>
            </w:pPr>
            <w:r>
              <w:rPr>
                <w:rFonts w:ascii="Arial" w:cs="Arial" w:eastAsia="Arial" w:hAnsi="Arial"/>
                <w:sz w:val="16"/>
                <w:szCs w:val="16"/>
                <w:color w:val="auto"/>
                <w:w w:val="89"/>
              </w:rPr>
              <w:t>7.</w:t>
            </w:r>
          </w:p>
        </w:tc>
        <w:tc>
          <w:tcPr>
            <w:tcW w:w="9460" w:type="dxa"/>
            <w:vAlign w:val="bottom"/>
          </w:tcPr>
          <w:p>
            <w:pPr>
              <w:ind w:left="120"/>
              <w:spacing w:after="0" w:line="179" w:lineRule="exact"/>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203"/>
        </w:trPr>
        <w:tc>
          <w:tcPr>
            <w:tcW w:w="1640" w:type="dxa"/>
            <w:vAlign w:val="bottom"/>
          </w:tcPr>
          <w:p>
            <w:pPr>
              <w:jc w:val="center"/>
              <w:ind w:right="219"/>
              <w:spacing w:after="0"/>
              <w:rPr>
                <w:sz w:val="20"/>
                <w:szCs w:val="20"/>
                <w:color w:val="auto"/>
              </w:rPr>
            </w:pPr>
            <w:r>
              <w:rPr>
                <w:rFonts w:ascii="Arial" w:cs="Arial" w:eastAsia="Arial" w:hAnsi="Arial"/>
                <w:sz w:val="16"/>
                <w:szCs w:val="16"/>
                <w:color w:val="auto"/>
                <w:w w:val="94"/>
              </w:rPr>
              <w:t>REPORTING</w:t>
            </w:r>
          </w:p>
        </w:tc>
        <w:tc>
          <w:tcPr>
            <w:tcW w:w="240" w:type="dxa"/>
            <w:vAlign w:val="bottom"/>
          </w:tcPr>
          <w:p>
            <w:pPr>
              <w:spacing w:after="0"/>
              <w:rPr>
                <w:sz w:val="17"/>
                <w:szCs w:val="17"/>
                <w:color w:val="auto"/>
              </w:rPr>
            </w:pPr>
          </w:p>
        </w:tc>
        <w:tc>
          <w:tcPr>
            <w:tcW w:w="9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640" w:type="dxa"/>
            <w:vAlign w:val="bottom"/>
          </w:tcPr>
          <w:p>
            <w:pPr>
              <w:jc w:val="center"/>
              <w:ind w:right="219"/>
              <w:spacing w:after="0"/>
              <w:rPr>
                <w:sz w:val="20"/>
                <w:szCs w:val="20"/>
                <w:color w:val="auto"/>
              </w:rPr>
            </w:pPr>
            <w:r>
              <w:rPr>
                <w:rFonts w:ascii="Arial" w:cs="Arial" w:eastAsia="Arial" w:hAnsi="Arial"/>
                <w:sz w:val="16"/>
                <w:szCs w:val="16"/>
                <w:color w:val="auto"/>
                <w:w w:val="97"/>
              </w:rPr>
              <w:t>PERSON WITH</w:t>
            </w:r>
          </w:p>
        </w:tc>
        <w:tc>
          <w:tcPr>
            <w:tcW w:w="240" w:type="dxa"/>
            <w:vAlign w:val="bottom"/>
          </w:tcPr>
          <w:p>
            <w:pPr>
              <w:spacing w:after="0"/>
              <w:rPr>
                <w:sz w:val="19"/>
                <w:szCs w:val="19"/>
                <w:color w:val="auto"/>
              </w:rPr>
            </w:pPr>
          </w:p>
        </w:tc>
        <w:tc>
          <w:tcPr>
            <w:tcW w:w="9460" w:type="dxa"/>
            <w:vAlign w:val="bottom"/>
          </w:tcPr>
          <w:p>
            <w:pPr>
              <w:ind w:left="1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-3810</wp:posOffset>
            </wp:positionV>
            <wp:extent cx="61575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ind w:left="2080" w:right="7060" w:hanging="343"/>
        <w:spacing w:after="0" w:line="552" w:lineRule="auto"/>
        <w:tabs>
          <w:tab w:leader="none" w:pos="2080" w:val="left"/>
        </w:tabs>
        <w:numPr>
          <w:ilvl w:val="1"/>
          <w:numId w:val="4"/>
        </w:numPr>
        <w:rPr>
          <w:rFonts w:ascii="Arial" w:cs="Arial" w:eastAsia="Arial" w:hAnsi="Arial"/>
          <w:sz w:val="16"/>
          <w:szCs w:val="16"/>
          <w:color w:val="auto"/>
        </w:rPr>
      </w:pPr>
      <w:r>
        <w:rPr>
          <w:rFonts w:ascii="Arial" w:cs="Arial" w:eastAsia="Arial" w:hAnsi="Arial"/>
          <w:sz w:val="16"/>
          <w:szCs w:val="16"/>
          <w:color w:val="auto"/>
        </w:rPr>
        <w:t>SHARED DISPOSITIVE POWER 0</w:t>
      </w:r>
    </w:p>
    <w:p>
      <w:pPr>
        <w:spacing w:after="0" w:line="257" w:lineRule="exact"/>
        <w:rPr>
          <w:rFonts w:ascii="Arial" w:cs="Arial" w:eastAsia="Arial" w:hAnsi="Arial"/>
          <w:sz w:val="16"/>
          <w:szCs w:val="16"/>
          <w:color w:val="auto"/>
        </w:rPr>
      </w:pPr>
    </w:p>
    <w:p>
      <w:pPr>
        <w:ind w:left="460" w:right="5060" w:hanging="344"/>
        <w:spacing w:after="0" w:line="425"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0</w:t>
      </w:r>
    </w:p>
    <w:p>
      <w:pPr>
        <w:ind w:left="460" w:right="4980" w:hanging="425"/>
        <w:spacing w:after="0" w:line="222" w:lineRule="exact"/>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1" w:lineRule="exact"/>
        <w:rPr>
          <w:rFonts w:ascii="Arial" w:cs="Arial" w:eastAsia="Arial" w:hAnsi="Arial"/>
          <w:sz w:val="16"/>
          <w:szCs w:val="16"/>
          <w:color w:val="auto"/>
        </w:rPr>
      </w:pPr>
    </w:p>
    <w:p>
      <w:pPr>
        <w:ind w:left="460" w:right="6400" w:hanging="419"/>
        <w:spacing w:after="0" w:line="425"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PERCENT OF CLASS REPRESENTED BY AMOUNT IN ROW (9) 0.00%</w:t>
      </w:r>
    </w:p>
    <w:p>
      <w:pPr>
        <w:ind w:left="460" w:hanging="425"/>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69"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-1952625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-1232535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-820420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2" w:name="page3"/>
    <w:bookmarkEnd w:id="2"/>
    <w:p>
      <w:pPr>
        <w:spacing w:after="0"/>
        <w:tabs>
          <w:tab w:leader="none" w:pos="5680" w:val="left"/>
          <w:tab w:leader="none" w:pos="102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4</w:t>
      </w:r>
      <w:r>
        <w:rPr>
          <w:rFonts w:ascii="Arial" w:cs="Arial" w:eastAsia="Arial" w:hAnsi="Arial"/>
          <w:sz w:val="18"/>
          <w:szCs w:val="18"/>
          <w:color w:val="auto"/>
        </w:rPr>
        <w:t>20261109</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3 of 4 Pages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w:t>
      </w:r>
    </w:p>
    <w:p>
      <w:pPr>
        <w:spacing w:after="0" w:line="187" w:lineRule="exact"/>
        <w:rPr>
          <w:sz w:val="20"/>
          <w:szCs w:val="20"/>
          <w:color w:val="auto"/>
        </w:rPr>
      </w:pPr>
    </w:p>
    <w:p>
      <w:pPr>
        <w:ind w:left="700" w:right="9620" w:hanging="233"/>
        <w:spacing w:after="0" w:line="260" w:lineRule="auto"/>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Issuer Hawkins Inc.</w:t>
      </w:r>
    </w:p>
    <w:p>
      <w:pPr>
        <w:spacing w:after="0" w:line="222" w:lineRule="exact"/>
        <w:rPr>
          <w:rFonts w:ascii="Arial" w:cs="Arial" w:eastAsia="Arial" w:hAnsi="Arial"/>
          <w:sz w:val="16"/>
          <w:szCs w:val="16"/>
          <w:color w:val="auto"/>
        </w:rPr>
      </w:pPr>
    </w:p>
    <w:p>
      <w:pPr>
        <w:ind w:left="720" w:right="7360" w:hanging="253"/>
        <w:spacing w:after="0" w:line="246"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Issuer’s Principal Executive Offices 2381 Rosegate</w:t>
      </w:r>
    </w:p>
    <w:p>
      <w:pPr>
        <w:ind w:left="720"/>
        <w:spacing w:after="0"/>
        <w:rPr>
          <w:rFonts w:ascii="Arial" w:cs="Arial" w:eastAsia="Arial" w:hAnsi="Arial"/>
          <w:sz w:val="16"/>
          <w:szCs w:val="16"/>
          <w:color w:val="auto"/>
        </w:rPr>
      </w:pPr>
      <w:r>
        <w:rPr>
          <w:rFonts w:ascii="Arial" w:cs="Arial" w:eastAsia="Arial" w:hAnsi="Arial"/>
          <w:sz w:val="16"/>
          <w:szCs w:val="16"/>
          <w:color w:val="auto"/>
        </w:rPr>
        <w:t>Roseville, MN 55113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89" w:lineRule="exact"/>
        <w:rPr>
          <w:sz w:val="20"/>
          <w:szCs w:val="20"/>
          <w:color w:val="auto"/>
        </w:rPr>
      </w:pPr>
    </w:p>
    <w:p>
      <w:pPr>
        <w:ind w:left="720" w:hanging="280"/>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Persons Filing</w:t>
      </w:r>
    </w:p>
    <w:p>
      <w:pPr>
        <w:spacing w:after="0" w:line="23"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Victory Capital Management Inc.</w:t>
      </w:r>
    </w:p>
    <w:p>
      <w:pPr>
        <w:spacing w:after="0" w:line="237" w:lineRule="exact"/>
        <w:rPr>
          <w:rFonts w:ascii="Arial" w:cs="Arial" w:eastAsia="Arial" w:hAnsi="Arial"/>
          <w:sz w:val="18"/>
          <w:szCs w:val="18"/>
          <w:color w:val="auto"/>
        </w:rPr>
      </w:pPr>
    </w:p>
    <w:p>
      <w:pPr>
        <w:ind w:left="720" w:right="6920" w:hanging="280"/>
        <w:spacing w:after="0" w:line="212"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the Principal Office or, if none, residence 4900 Tiedeman Rd.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Brooklyn, OH 44144</w:t>
      </w:r>
    </w:p>
    <w:p>
      <w:pPr>
        <w:spacing w:after="0" w:line="236" w:lineRule="exact"/>
        <w:rPr>
          <w:rFonts w:ascii="Arial" w:cs="Arial" w:eastAsia="Arial" w:hAnsi="Arial"/>
          <w:sz w:val="18"/>
          <w:szCs w:val="18"/>
          <w:color w:val="auto"/>
        </w:rPr>
      </w:pPr>
    </w:p>
    <w:p>
      <w:pPr>
        <w:ind w:left="720" w:right="9880" w:hanging="280"/>
        <w:spacing w:after="0" w:line="342"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New York</w:t>
      </w:r>
    </w:p>
    <w:p>
      <w:pPr>
        <w:spacing w:after="0" w:line="150" w:lineRule="exact"/>
        <w:rPr>
          <w:rFonts w:ascii="Arial" w:cs="Arial" w:eastAsia="Arial" w:hAnsi="Arial"/>
          <w:sz w:val="16"/>
          <w:szCs w:val="16"/>
          <w:color w:val="auto"/>
        </w:rPr>
      </w:pPr>
    </w:p>
    <w:p>
      <w:pPr>
        <w:ind w:left="720" w:right="8800" w:hanging="280"/>
        <w:spacing w:after="0" w:line="342"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50" w:lineRule="exact"/>
        <w:rPr>
          <w:rFonts w:ascii="Arial" w:cs="Arial" w:eastAsia="Arial" w:hAnsi="Arial"/>
          <w:sz w:val="16"/>
          <w:szCs w:val="16"/>
          <w:color w:val="auto"/>
        </w:rPr>
      </w:pPr>
    </w:p>
    <w:p>
      <w:pPr>
        <w:ind w:left="720" w:right="9560" w:hanging="280"/>
        <w:spacing w:after="0" w:line="342"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420261109</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If this statement is filed pursuant to §§240.13d-1(b) or 240.13d-2(b) or (c), check whether the person filing is a:</w:t>
      </w:r>
    </w:p>
    <w:p>
      <w:pPr>
        <w:spacing w:after="0" w:line="138" w:lineRule="exact"/>
        <w:rPr>
          <w:sz w:val="20"/>
          <w:szCs w:val="20"/>
          <w:color w:val="auto"/>
        </w:rPr>
      </w:pPr>
    </w:p>
    <w:p>
      <w:pPr>
        <w:ind w:left="700" w:hanging="233"/>
        <w:spacing w:after="0" w:line="207" w:lineRule="exact"/>
        <w:tabs>
          <w:tab w:leader="none" w:pos="700" w:val="left"/>
        </w:tabs>
        <w:numPr>
          <w:ilvl w:val="0"/>
          <w:numId w:val="8"/>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Broker or dealer registered under section 15 of the Act (15 U.S.C. 78o).</w:t>
      </w:r>
    </w:p>
    <w:p>
      <w:pPr>
        <w:spacing w:after="0" w:line="279" w:lineRule="exact"/>
        <w:rPr>
          <w:rFonts w:ascii="Arial" w:cs="Arial" w:eastAsia="Arial" w:hAnsi="Arial"/>
          <w:sz w:val="16"/>
          <w:szCs w:val="16"/>
          <w:color w:val="auto"/>
        </w:rPr>
      </w:pPr>
    </w:p>
    <w:p>
      <w:pPr>
        <w:ind w:left="700" w:hanging="233"/>
        <w:spacing w:after="0" w:line="207" w:lineRule="exact"/>
        <w:tabs>
          <w:tab w:leader="none" w:pos="700" w:val="left"/>
        </w:tabs>
        <w:numPr>
          <w:ilvl w:val="0"/>
          <w:numId w:val="8"/>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Bank as defined in section 3(a)(6) of the Act (15 U.S.C. 78c).</w:t>
      </w:r>
    </w:p>
    <w:p>
      <w:pPr>
        <w:spacing w:after="0" w:line="279" w:lineRule="exact"/>
        <w:rPr>
          <w:rFonts w:ascii="Arial" w:cs="Arial" w:eastAsia="Arial" w:hAnsi="Arial"/>
          <w:sz w:val="16"/>
          <w:szCs w:val="16"/>
          <w:color w:val="auto"/>
        </w:rPr>
      </w:pPr>
    </w:p>
    <w:p>
      <w:pPr>
        <w:ind w:left="700" w:hanging="233"/>
        <w:spacing w:after="0" w:line="207" w:lineRule="exact"/>
        <w:tabs>
          <w:tab w:leader="none" w:pos="700" w:val="left"/>
        </w:tabs>
        <w:numPr>
          <w:ilvl w:val="0"/>
          <w:numId w:val="8"/>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Insurance company as defined in section 3(a)(19) of the Act (15 U.S.C. 78c).</w:t>
      </w:r>
    </w:p>
    <w:p>
      <w:pPr>
        <w:spacing w:after="0" w:line="279" w:lineRule="exact"/>
        <w:rPr>
          <w:rFonts w:ascii="Arial" w:cs="Arial" w:eastAsia="Arial" w:hAnsi="Arial"/>
          <w:sz w:val="16"/>
          <w:szCs w:val="16"/>
          <w:color w:val="auto"/>
        </w:rPr>
      </w:pPr>
    </w:p>
    <w:p>
      <w:pPr>
        <w:ind w:left="700" w:hanging="233"/>
        <w:spacing w:after="0" w:line="207" w:lineRule="exact"/>
        <w:tabs>
          <w:tab w:leader="none" w:pos="700" w:val="left"/>
        </w:tabs>
        <w:numPr>
          <w:ilvl w:val="0"/>
          <w:numId w:val="8"/>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Investment company registered under section 8 of the Investment Company Act of 1940 (15 U.S.C. 80a-8).</w:t>
      </w:r>
    </w:p>
    <w:p>
      <w:pPr>
        <w:spacing w:after="0" w:line="307" w:lineRule="exact"/>
        <w:rPr>
          <w:rFonts w:ascii="Arial" w:cs="Arial" w:eastAsia="Arial" w:hAnsi="Arial"/>
          <w:sz w:val="16"/>
          <w:szCs w:val="16"/>
          <w:color w:val="auto"/>
        </w:rPr>
      </w:pPr>
    </w:p>
    <w:p>
      <w:pPr>
        <w:ind w:left="700" w:hanging="233"/>
        <w:spacing w:after="0"/>
        <w:tabs>
          <w:tab w:leader="none" w:pos="700" w:val="left"/>
        </w:tabs>
        <w:numPr>
          <w:ilvl w:val="0"/>
          <w:numId w:val="8"/>
        </w:numPr>
        <w:rPr>
          <w:rFonts w:ascii="Arial" w:cs="Arial" w:eastAsia="Arial" w:hAnsi="Arial"/>
          <w:sz w:val="16"/>
          <w:szCs w:val="16"/>
          <w:color w:val="auto"/>
        </w:rPr>
      </w:pPr>
      <w:r>
        <w:rPr>
          <w:rFonts w:ascii="Arial" w:cs="Arial" w:eastAsia="Arial" w:hAnsi="Arial"/>
          <w:sz w:val="18"/>
          <w:szCs w:val="18"/>
          <w:b w:val="1"/>
          <w:bCs w:val="1"/>
          <w:color w:val="auto"/>
        </w:rPr>
        <w:t xml:space="preserve">x   </w:t>
      </w:r>
      <w:r>
        <w:rPr>
          <w:rFonts w:ascii="Arial" w:cs="Arial" w:eastAsia="Arial" w:hAnsi="Arial"/>
          <w:sz w:val="16"/>
          <w:szCs w:val="16"/>
          <w:color w:val="auto"/>
        </w:rPr>
        <w:t>An investment adviser in accordance with §240.13d-1(b)(1)(ii)(E);</w:t>
      </w:r>
    </w:p>
    <w:p>
      <w:pPr>
        <w:spacing w:after="0" w:line="250" w:lineRule="exact"/>
        <w:rPr>
          <w:rFonts w:ascii="Arial" w:cs="Arial" w:eastAsia="Arial" w:hAnsi="Arial"/>
          <w:sz w:val="16"/>
          <w:szCs w:val="16"/>
          <w:color w:val="auto"/>
        </w:rPr>
      </w:pPr>
    </w:p>
    <w:p>
      <w:pPr>
        <w:ind w:left="700" w:hanging="233"/>
        <w:spacing w:after="0" w:line="207" w:lineRule="exact"/>
        <w:tabs>
          <w:tab w:leader="none" w:pos="700" w:val="left"/>
        </w:tabs>
        <w:numPr>
          <w:ilvl w:val="0"/>
          <w:numId w:val="8"/>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An employee benefit plan or endowment fund in accordance with §240.13d-1(b)(1)(ii)(F);</w:t>
      </w:r>
    </w:p>
    <w:p>
      <w:pPr>
        <w:spacing w:after="0" w:line="279" w:lineRule="exact"/>
        <w:rPr>
          <w:rFonts w:ascii="Arial" w:cs="Arial" w:eastAsia="Arial" w:hAnsi="Arial"/>
          <w:sz w:val="16"/>
          <w:szCs w:val="16"/>
          <w:color w:val="auto"/>
        </w:rPr>
      </w:pPr>
    </w:p>
    <w:p>
      <w:pPr>
        <w:ind w:left="700" w:hanging="233"/>
        <w:spacing w:after="0" w:line="207" w:lineRule="exact"/>
        <w:tabs>
          <w:tab w:leader="none" w:pos="700" w:val="left"/>
        </w:tabs>
        <w:numPr>
          <w:ilvl w:val="0"/>
          <w:numId w:val="8"/>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A parent holding company or control person in accordance with §240.13d-1(b)(1)(ii)(G);</w:t>
      </w:r>
    </w:p>
    <w:p>
      <w:pPr>
        <w:spacing w:after="0" w:line="279" w:lineRule="exact"/>
        <w:rPr>
          <w:rFonts w:ascii="Arial" w:cs="Arial" w:eastAsia="Arial" w:hAnsi="Arial"/>
          <w:sz w:val="16"/>
          <w:szCs w:val="16"/>
          <w:color w:val="auto"/>
        </w:rPr>
      </w:pPr>
    </w:p>
    <w:p>
      <w:pPr>
        <w:ind w:left="700" w:hanging="233"/>
        <w:spacing w:after="0" w:line="207" w:lineRule="exact"/>
        <w:tabs>
          <w:tab w:leader="none" w:pos="700" w:val="left"/>
        </w:tabs>
        <w:numPr>
          <w:ilvl w:val="0"/>
          <w:numId w:val="8"/>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A savings associations as defined in Section 3(b) of the Federal Deposit Insurance Act (12 U.S.C. 1813);</w:t>
      </w:r>
    </w:p>
    <w:p>
      <w:pPr>
        <w:spacing w:after="0" w:line="279" w:lineRule="exact"/>
        <w:rPr>
          <w:rFonts w:ascii="Arial" w:cs="Arial" w:eastAsia="Arial" w:hAnsi="Arial"/>
          <w:sz w:val="16"/>
          <w:szCs w:val="16"/>
          <w:color w:val="auto"/>
        </w:rPr>
      </w:pPr>
    </w:p>
    <w:p>
      <w:pPr>
        <w:ind w:left="700" w:hanging="233"/>
        <w:spacing w:after="0" w:line="196" w:lineRule="exact"/>
        <w:tabs>
          <w:tab w:leader="none" w:pos="700" w:val="left"/>
        </w:tabs>
        <w:numPr>
          <w:ilvl w:val="0"/>
          <w:numId w:val="8"/>
        </w:numPr>
        <w:rPr>
          <w:rFonts w:ascii="Arial" w:cs="Arial" w:eastAsia="Arial" w:hAnsi="Arial"/>
          <w:sz w:val="15"/>
          <w:szCs w:val="15"/>
          <w:color w:val="auto"/>
        </w:rPr>
      </w:pPr>
      <w:r>
        <w:rPr>
          <w:rFonts w:ascii="MS PGothic" w:cs="MS PGothic" w:eastAsia="MS PGothic" w:hAnsi="MS PGothic"/>
          <w:sz w:val="17"/>
          <w:szCs w:val="17"/>
          <w:color w:val="auto"/>
        </w:rPr>
        <w:t>☐</w:t>
      </w:r>
      <w:r>
        <w:rPr>
          <w:rFonts w:ascii="Arial" w:cs="Arial" w:eastAsia="Arial" w:hAnsi="Arial"/>
          <w:sz w:val="15"/>
          <w:szCs w:val="15"/>
          <w:color w:val="auto"/>
        </w:rPr>
        <w:t xml:space="preserve"> A church plan that is excluded from the definition of an investment company under section 3(c)(14) of the Investment Company Act of 1940 (15 U.S.C. 80a-3);</w:t>
      </w:r>
    </w:p>
    <w:p>
      <w:pPr>
        <w:sectPr>
          <w:pgSz w:w="11900" w:h="16838" w:orient="portrait"/>
          <w:cols w:equalWidth="0" w:num="1">
            <w:col w:w="11420"/>
          </w:cols>
          <w:pgMar w:left="240" w:top="1341" w:right="239" w:bottom="1440" w:gutter="0" w:footer="0" w:header="0"/>
        </w:sectPr>
      </w:pPr>
    </w:p>
    <w:bookmarkStart w:id="3" w:name="page4"/>
    <w:bookmarkEnd w:id="3"/>
    <w:p>
      <w:pPr>
        <w:ind w:left="720"/>
        <w:spacing w:after="0" w:line="207" w:lineRule="exact"/>
        <w:rPr>
          <w:sz w:val="20"/>
          <w:szCs w:val="20"/>
          <w:color w:val="auto"/>
        </w:rPr>
      </w:pPr>
      <w:r>
        <w:rPr>
          <w:rFonts w:ascii="Arial" w:cs="Arial" w:eastAsia="Arial" w:hAnsi="Arial"/>
          <w:sz w:val="16"/>
          <w:szCs w:val="16"/>
          <w:color w:val="auto"/>
        </w:rPr>
        <w:t xml:space="preserve">(j) </w:t>
      </w:r>
      <w:r>
        <w:rPr>
          <w:rFonts w:ascii="MS PGothic" w:cs="MS PGothic" w:eastAsia="MS PGothic" w:hAnsi="MS PGothic"/>
          <w:sz w:val="18"/>
          <w:szCs w:val="18"/>
          <w:color w:val="auto"/>
        </w:rPr>
        <w:t>☐</w:t>
      </w:r>
      <w:r>
        <w:rPr>
          <w:rFonts w:ascii="Arial" w:cs="Arial" w:eastAsia="Arial" w:hAnsi="Arial"/>
          <w:sz w:val="16"/>
          <w:szCs w:val="16"/>
          <w:color w:val="auto"/>
        </w:rPr>
        <w:t xml:space="preserve"> Group, in accordance with §240.13d-1(b)(1)(ii)(J).</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Ownership.</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10"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1540" w:type="dxa"/>
            <w:vAlign w:val="bottom"/>
          </w:tcPr>
          <w:p>
            <w:pPr>
              <w:spacing w:after="0"/>
              <w:rPr>
                <w:sz w:val="20"/>
                <w:szCs w:val="20"/>
                <w:color w:val="auto"/>
              </w:rPr>
            </w:pPr>
            <w:r>
              <w:rPr>
                <w:rFonts w:ascii="Arial" w:cs="Arial" w:eastAsia="Arial" w:hAnsi="Arial"/>
                <w:sz w:val="16"/>
                <w:szCs w:val="16"/>
                <w:color w:val="auto"/>
              </w:rPr>
              <w:t>(a)</w:t>
            </w:r>
          </w:p>
        </w:tc>
        <w:tc>
          <w:tcPr>
            <w:tcW w:w="3360" w:type="dxa"/>
            <w:vAlign w:val="bottom"/>
          </w:tcPr>
          <w:p>
            <w:pPr>
              <w:ind w:left="1340"/>
              <w:spacing w:after="0"/>
              <w:rPr>
                <w:sz w:val="20"/>
                <w:szCs w:val="20"/>
                <w:color w:val="auto"/>
              </w:rPr>
            </w:pPr>
            <w:r>
              <w:rPr>
                <w:rFonts w:ascii="Arial" w:cs="Arial" w:eastAsia="Arial" w:hAnsi="Arial"/>
                <w:sz w:val="16"/>
                <w:szCs w:val="16"/>
                <w:color w:val="auto"/>
              </w:rPr>
              <w:t>Amount beneficially owned:</w:t>
            </w:r>
          </w:p>
        </w:tc>
        <w:tc>
          <w:tcPr>
            <w:tcW w:w="4640" w:type="dxa"/>
            <w:vAlign w:val="bottom"/>
          </w:tcPr>
          <w:p>
            <w:pPr>
              <w:ind w:left="40"/>
              <w:spacing w:after="0"/>
              <w:rPr>
                <w:sz w:val="20"/>
                <w:szCs w:val="20"/>
                <w:color w:val="auto"/>
              </w:rPr>
            </w:pPr>
            <w:r>
              <w:rPr>
                <w:rFonts w:ascii="Arial" w:cs="Arial" w:eastAsia="Arial" w:hAnsi="Arial"/>
                <w:sz w:val="16"/>
                <w:szCs w:val="16"/>
                <w:color w:val="auto"/>
              </w:rPr>
              <w:t>0</w:t>
            </w:r>
          </w:p>
        </w:tc>
      </w:tr>
      <w:tr>
        <w:trPr>
          <w:trHeight w:val="486"/>
        </w:trPr>
        <w:tc>
          <w:tcPr>
            <w:tcW w:w="1540" w:type="dxa"/>
            <w:vAlign w:val="bottom"/>
          </w:tcPr>
          <w:p>
            <w:pPr>
              <w:spacing w:after="0"/>
              <w:rPr>
                <w:sz w:val="20"/>
                <w:szCs w:val="20"/>
                <w:color w:val="auto"/>
              </w:rPr>
            </w:pPr>
            <w:r>
              <w:rPr>
                <w:rFonts w:ascii="Arial" w:cs="Arial" w:eastAsia="Arial" w:hAnsi="Arial"/>
                <w:sz w:val="16"/>
                <w:szCs w:val="16"/>
                <w:color w:val="auto"/>
              </w:rPr>
              <w:t>(b)</w:t>
            </w:r>
          </w:p>
        </w:tc>
        <w:tc>
          <w:tcPr>
            <w:tcW w:w="3360" w:type="dxa"/>
            <w:vAlign w:val="bottom"/>
          </w:tcPr>
          <w:p>
            <w:pPr>
              <w:ind w:left="1340"/>
              <w:spacing w:after="0"/>
              <w:rPr>
                <w:sz w:val="20"/>
                <w:szCs w:val="20"/>
                <w:color w:val="auto"/>
              </w:rPr>
            </w:pPr>
            <w:r>
              <w:rPr>
                <w:rFonts w:ascii="Arial" w:cs="Arial" w:eastAsia="Arial" w:hAnsi="Arial"/>
                <w:sz w:val="16"/>
                <w:szCs w:val="16"/>
                <w:color w:val="auto"/>
              </w:rPr>
              <w:t>Percent of class: 0.00%</w:t>
            </w:r>
          </w:p>
        </w:tc>
        <w:tc>
          <w:tcPr>
            <w:tcW w:w="4640" w:type="dxa"/>
            <w:vAlign w:val="bottom"/>
          </w:tcPr>
          <w:p>
            <w:pPr>
              <w:spacing w:after="0"/>
              <w:rPr>
                <w:sz w:val="24"/>
                <w:szCs w:val="24"/>
                <w:color w:val="auto"/>
              </w:rPr>
            </w:pPr>
          </w:p>
        </w:tc>
      </w:tr>
      <w:tr>
        <w:trPr>
          <w:trHeight w:val="486"/>
        </w:trPr>
        <w:tc>
          <w:tcPr>
            <w:tcW w:w="1540" w:type="dxa"/>
            <w:vAlign w:val="bottom"/>
          </w:tcPr>
          <w:p>
            <w:pPr>
              <w:spacing w:after="0"/>
              <w:rPr>
                <w:sz w:val="20"/>
                <w:szCs w:val="20"/>
                <w:color w:val="auto"/>
              </w:rPr>
            </w:pPr>
            <w:r>
              <w:rPr>
                <w:rFonts w:ascii="Arial" w:cs="Arial" w:eastAsia="Arial" w:hAnsi="Arial"/>
                <w:sz w:val="16"/>
                <w:szCs w:val="16"/>
                <w:color w:val="auto"/>
              </w:rPr>
              <w:t>(c)</w:t>
            </w:r>
          </w:p>
        </w:tc>
        <w:tc>
          <w:tcPr>
            <w:tcW w:w="8000" w:type="dxa"/>
            <w:vAlign w:val="bottom"/>
            <w:gridSpan w:val="2"/>
          </w:tcPr>
          <w:p>
            <w:pPr>
              <w:ind w:left="1340"/>
              <w:spacing w:after="0"/>
              <w:rPr>
                <w:sz w:val="20"/>
                <w:szCs w:val="20"/>
                <w:color w:val="auto"/>
              </w:rPr>
            </w:pPr>
            <w:r>
              <w:rPr>
                <w:rFonts w:ascii="Arial" w:cs="Arial" w:eastAsia="Arial" w:hAnsi="Arial"/>
                <w:sz w:val="16"/>
                <w:szCs w:val="16"/>
                <w:color w:val="auto"/>
              </w:rPr>
              <w:t>Number of shares as to which the person has:</w:t>
            </w:r>
          </w:p>
        </w:tc>
      </w:tr>
      <w:tr>
        <w:trPr>
          <w:trHeight w:val="486"/>
        </w:trPr>
        <w:tc>
          <w:tcPr>
            <w:tcW w:w="1540" w:type="dxa"/>
            <w:vAlign w:val="bottom"/>
          </w:tcPr>
          <w:p>
            <w:pPr>
              <w:spacing w:after="0"/>
              <w:rPr>
                <w:sz w:val="24"/>
                <w:szCs w:val="24"/>
                <w:color w:val="auto"/>
              </w:rPr>
            </w:pPr>
          </w:p>
        </w:tc>
        <w:tc>
          <w:tcPr>
            <w:tcW w:w="3360" w:type="dxa"/>
            <w:vAlign w:val="bottom"/>
          </w:tcPr>
          <w:p>
            <w:pPr>
              <w:ind w:left="1340"/>
              <w:spacing w:after="0"/>
              <w:rPr>
                <w:sz w:val="20"/>
                <w:szCs w:val="20"/>
                <w:color w:val="auto"/>
              </w:rPr>
            </w:pPr>
            <w:r>
              <w:rPr>
                <w:rFonts w:ascii="Arial" w:cs="Arial" w:eastAsia="Arial" w:hAnsi="Arial"/>
                <w:sz w:val="16"/>
                <w:szCs w:val="16"/>
                <w:color w:val="auto"/>
              </w:rPr>
              <w:t>(i)</w:t>
            </w:r>
          </w:p>
        </w:tc>
        <w:tc>
          <w:tcPr>
            <w:tcW w:w="4640" w:type="dxa"/>
            <w:vAlign w:val="bottom"/>
          </w:tcPr>
          <w:p>
            <w:pPr>
              <w:ind w:left="560"/>
              <w:spacing w:after="0"/>
              <w:rPr>
                <w:sz w:val="20"/>
                <w:szCs w:val="20"/>
                <w:color w:val="auto"/>
              </w:rPr>
            </w:pPr>
            <w:r>
              <w:rPr>
                <w:rFonts w:ascii="Arial" w:cs="Arial" w:eastAsia="Arial" w:hAnsi="Arial"/>
                <w:sz w:val="16"/>
                <w:szCs w:val="16"/>
                <w:color w:val="auto"/>
              </w:rPr>
              <w:t>Sole power to vote or to direct the vote 0</w:t>
            </w:r>
          </w:p>
        </w:tc>
      </w:tr>
      <w:tr>
        <w:trPr>
          <w:trHeight w:val="486"/>
        </w:trPr>
        <w:tc>
          <w:tcPr>
            <w:tcW w:w="1540" w:type="dxa"/>
            <w:vAlign w:val="bottom"/>
          </w:tcPr>
          <w:p>
            <w:pPr>
              <w:spacing w:after="0"/>
              <w:rPr>
                <w:sz w:val="24"/>
                <w:szCs w:val="24"/>
                <w:color w:val="auto"/>
              </w:rPr>
            </w:pPr>
          </w:p>
        </w:tc>
        <w:tc>
          <w:tcPr>
            <w:tcW w:w="3360" w:type="dxa"/>
            <w:vAlign w:val="bottom"/>
          </w:tcPr>
          <w:p>
            <w:pPr>
              <w:ind w:left="1340"/>
              <w:spacing w:after="0"/>
              <w:rPr>
                <w:sz w:val="20"/>
                <w:szCs w:val="20"/>
                <w:color w:val="auto"/>
              </w:rPr>
            </w:pPr>
            <w:r>
              <w:rPr>
                <w:rFonts w:ascii="Arial" w:cs="Arial" w:eastAsia="Arial" w:hAnsi="Arial"/>
                <w:sz w:val="16"/>
                <w:szCs w:val="16"/>
                <w:color w:val="auto"/>
              </w:rPr>
              <w:t>(ii)</w:t>
            </w:r>
          </w:p>
        </w:tc>
        <w:tc>
          <w:tcPr>
            <w:tcW w:w="4640" w:type="dxa"/>
            <w:vAlign w:val="bottom"/>
          </w:tcPr>
          <w:p>
            <w:pPr>
              <w:ind w:left="560"/>
              <w:spacing w:after="0"/>
              <w:rPr>
                <w:sz w:val="20"/>
                <w:szCs w:val="20"/>
                <w:color w:val="auto"/>
              </w:rPr>
            </w:pPr>
            <w:r>
              <w:rPr>
                <w:rFonts w:ascii="Arial" w:cs="Arial" w:eastAsia="Arial" w:hAnsi="Arial"/>
                <w:sz w:val="16"/>
                <w:szCs w:val="16"/>
                <w:color w:val="auto"/>
              </w:rPr>
              <w:t>Shared power to vote or to direct the vote: 0</w:t>
            </w:r>
          </w:p>
        </w:tc>
      </w:tr>
      <w:tr>
        <w:trPr>
          <w:trHeight w:val="486"/>
        </w:trPr>
        <w:tc>
          <w:tcPr>
            <w:tcW w:w="1540" w:type="dxa"/>
            <w:vAlign w:val="bottom"/>
          </w:tcPr>
          <w:p>
            <w:pPr>
              <w:spacing w:after="0"/>
              <w:rPr>
                <w:sz w:val="24"/>
                <w:szCs w:val="24"/>
                <w:color w:val="auto"/>
              </w:rPr>
            </w:pPr>
          </w:p>
        </w:tc>
        <w:tc>
          <w:tcPr>
            <w:tcW w:w="3360" w:type="dxa"/>
            <w:vAlign w:val="bottom"/>
          </w:tcPr>
          <w:p>
            <w:pPr>
              <w:ind w:left="1340"/>
              <w:spacing w:after="0"/>
              <w:rPr>
                <w:sz w:val="20"/>
                <w:szCs w:val="20"/>
                <w:color w:val="auto"/>
              </w:rPr>
            </w:pPr>
            <w:r>
              <w:rPr>
                <w:rFonts w:ascii="Arial" w:cs="Arial" w:eastAsia="Arial" w:hAnsi="Arial"/>
                <w:sz w:val="16"/>
                <w:szCs w:val="16"/>
                <w:color w:val="auto"/>
              </w:rPr>
              <w:t>(iii)</w:t>
            </w:r>
          </w:p>
        </w:tc>
        <w:tc>
          <w:tcPr>
            <w:tcW w:w="4640" w:type="dxa"/>
            <w:vAlign w:val="bottom"/>
          </w:tcPr>
          <w:p>
            <w:pPr>
              <w:ind w:left="560"/>
              <w:spacing w:after="0"/>
              <w:rPr>
                <w:sz w:val="20"/>
                <w:szCs w:val="20"/>
                <w:color w:val="auto"/>
              </w:rPr>
            </w:pPr>
            <w:r>
              <w:rPr>
                <w:rFonts w:ascii="Arial" w:cs="Arial" w:eastAsia="Arial" w:hAnsi="Arial"/>
                <w:sz w:val="16"/>
                <w:szCs w:val="16"/>
                <w:color w:val="auto"/>
              </w:rPr>
              <w:t>Sole power to dispose or to direct the disposition of: 0</w:t>
            </w:r>
          </w:p>
        </w:tc>
      </w:tr>
      <w:tr>
        <w:trPr>
          <w:trHeight w:val="486"/>
        </w:trPr>
        <w:tc>
          <w:tcPr>
            <w:tcW w:w="1540" w:type="dxa"/>
            <w:vAlign w:val="bottom"/>
          </w:tcPr>
          <w:p>
            <w:pPr>
              <w:spacing w:after="0"/>
              <w:rPr>
                <w:sz w:val="24"/>
                <w:szCs w:val="24"/>
                <w:color w:val="auto"/>
              </w:rPr>
            </w:pPr>
          </w:p>
        </w:tc>
        <w:tc>
          <w:tcPr>
            <w:tcW w:w="3360" w:type="dxa"/>
            <w:vAlign w:val="bottom"/>
          </w:tcPr>
          <w:p>
            <w:pPr>
              <w:ind w:left="1340"/>
              <w:spacing w:after="0"/>
              <w:rPr>
                <w:sz w:val="20"/>
                <w:szCs w:val="20"/>
                <w:color w:val="auto"/>
              </w:rPr>
            </w:pPr>
            <w:r>
              <w:rPr>
                <w:rFonts w:ascii="Arial" w:cs="Arial" w:eastAsia="Arial" w:hAnsi="Arial"/>
                <w:sz w:val="16"/>
                <w:szCs w:val="16"/>
                <w:color w:val="auto"/>
              </w:rPr>
              <w:t>(iv)</w:t>
            </w:r>
          </w:p>
        </w:tc>
        <w:tc>
          <w:tcPr>
            <w:tcW w:w="4640" w:type="dxa"/>
            <w:vAlign w:val="bottom"/>
          </w:tcPr>
          <w:p>
            <w:pPr>
              <w:ind w:left="560"/>
              <w:spacing w:after="0"/>
              <w:rPr>
                <w:sz w:val="20"/>
                <w:szCs w:val="20"/>
                <w:color w:val="auto"/>
              </w:rPr>
            </w:pPr>
            <w:r>
              <w:rPr>
                <w:rFonts w:ascii="Arial" w:cs="Arial" w:eastAsia="Arial" w:hAnsi="Arial"/>
                <w:sz w:val="16"/>
                <w:szCs w:val="16"/>
                <w:color w:val="auto"/>
              </w:rPr>
              <w:t>Shared power to dispose or to direct the disposition of: 0</w:t>
            </w: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Instruction</w:t>
      </w:r>
      <w:r>
        <w:rPr>
          <w:rFonts w:ascii="Arial" w:cs="Arial" w:eastAsia="Arial" w:hAnsi="Arial"/>
          <w:sz w:val="16"/>
          <w:szCs w:val="16"/>
          <w:color w:val="auto"/>
        </w:rPr>
        <w:t>. For computations regarding securities which represent a right to acquire an underlying security</w:t>
      </w:r>
      <w:r>
        <w:rPr>
          <w:rFonts w:ascii="Arial" w:cs="Arial" w:eastAsia="Arial" w:hAnsi="Arial"/>
          <w:sz w:val="16"/>
          <w:szCs w:val="16"/>
          <w:i w:val="1"/>
          <w:iCs w:val="1"/>
          <w:color w:val="auto"/>
        </w:rPr>
        <w:t xml:space="preserve"> see </w:t>
      </w:r>
      <w:r>
        <w:rPr>
          <w:rFonts w:ascii="Arial" w:cs="Arial" w:eastAsia="Arial" w:hAnsi="Arial"/>
          <w:sz w:val="16"/>
          <w:szCs w:val="16"/>
          <w:color w:val="auto"/>
        </w:rPr>
        <w:t>§240.13d-3(d)(1).</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Ownership of Five Percent or Less of a Class.</w:t>
      </w:r>
    </w:p>
    <w:p>
      <w:pPr>
        <w:spacing w:after="0" w:line="187" w:lineRule="exact"/>
        <w:rPr>
          <w:sz w:val="20"/>
          <w:szCs w:val="20"/>
          <w:color w:val="auto"/>
        </w:rPr>
      </w:pPr>
    </w:p>
    <w:p>
      <w:pPr>
        <w:ind w:right="260" w:firstLine="324"/>
        <w:spacing w:after="0" w:line="201" w:lineRule="exact"/>
        <w:rPr>
          <w:sz w:val="20"/>
          <w:szCs w:val="20"/>
          <w:color w:val="auto"/>
        </w:rPr>
      </w:pPr>
      <w:r>
        <w:rPr>
          <w:rFonts w:ascii="Arial" w:cs="Arial" w:eastAsia="Arial" w:hAnsi="Arial"/>
          <w:sz w:val="16"/>
          <w:szCs w:val="16"/>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Ownership of More than Five Percent on Behalf of Another Person.</w:t>
      </w:r>
    </w:p>
    <w:p>
      <w:pPr>
        <w:spacing w:after="0" w:line="187" w:lineRule="exact"/>
        <w:rPr>
          <w:sz w:val="20"/>
          <w:szCs w:val="20"/>
          <w:color w:val="auto"/>
        </w:rPr>
      </w:pPr>
    </w:p>
    <w:p>
      <w:pPr>
        <w:jc w:val="both"/>
        <w:ind w:left="420"/>
        <w:spacing w:after="0" w:line="251" w:lineRule="auto"/>
        <w:rPr>
          <w:sz w:val="20"/>
          <w:szCs w:val="20"/>
          <w:color w:val="auto"/>
        </w:rPr>
      </w:pPr>
      <w:r>
        <w:rPr>
          <w:rFonts w:ascii="Arial" w:cs="Arial" w:eastAsia="Arial" w:hAnsi="Arial"/>
          <w:sz w:val="16"/>
          <w:szCs w:val="16"/>
          <w:color w:val="auto"/>
        </w:rPr>
        <w:t>The clients of Victory Capital Management Inc., including investment companies registered under the Investment Company Act of 1940 and separately managed accounts, have the right to receive or the power to direct the receipt of dividends from, or the proceeds from the sale of, the class of securities reported herein. No client has the right to receive or the power to direct the receipt of dividends from, or the proceeds from the sale of, more than 5% of such class.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Identification and Classification of Members of the Group.</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Notice of Dissolution of Group.</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60"/>
          </w:cols>
          <w:pgMar w:left="240" w:top="687" w:right="399" w:bottom="1440" w:gutter="0" w:footer="0" w:header="0"/>
        </w:sectPr>
      </w:pPr>
    </w:p>
    <w:bookmarkStart w:id="4" w:name="page5"/>
    <w:bookmarkEnd w:id="4"/>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732155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tabs>
          <w:tab w:leader="none" w:pos="5680" w:val="left"/>
          <w:tab w:leader="none" w:pos="10240" w:val="left"/>
        </w:tabs>
        <w:rPr>
          <w:sz w:val="20"/>
          <w:szCs w:val="20"/>
          <w:color w:val="auto"/>
        </w:rPr>
      </w:pPr>
      <w:r>
        <w:rPr>
          <w:rFonts w:ascii="Arial" w:cs="Arial" w:eastAsia="Arial" w:hAnsi="Arial"/>
          <w:sz w:val="16"/>
          <w:szCs w:val="16"/>
          <w:color w:val="auto"/>
        </w:rPr>
        <w:t>CUSIP No. 4</w:t>
      </w:r>
      <w:r>
        <w:rPr>
          <w:rFonts w:ascii="Arial" w:cs="Arial" w:eastAsia="Arial" w:hAnsi="Arial"/>
          <w:sz w:val="18"/>
          <w:szCs w:val="18"/>
          <w:color w:val="auto"/>
        </w:rPr>
        <w:t>20261109</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4 of 4 Pages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Certification.</w:t>
      </w:r>
    </w:p>
    <w:p>
      <w:pPr>
        <w:spacing w:after="0" w:line="187"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following certification shall be included if the statement is filed pursuant to §240.13d-1(b):</w:t>
      </w:r>
    </w:p>
    <w:p>
      <w:pPr>
        <w:spacing w:after="0" w:line="302" w:lineRule="exact"/>
        <w:rPr>
          <w:sz w:val="20"/>
          <w:szCs w:val="20"/>
          <w:color w:val="auto"/>
        </w:rPr>
      </w:pPr>
    </w:p>
    <w:p>
      <w:pPr>
        <w:ind w:left="380" w:right="140"/>
        <w:spacing w:after="0" w:line="253"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Date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w:t>
      </w:r>
      <w:r>
        <w:rPr>
          <w:rFonts w:ascii="Arial" w:cs="Arial" w:eastAsia="Arial" w:hAnsi="Arial"/>
          <w:sz w:val="18"/>
          <w:szCs w:val="18"/>
          <w:color w:val="auto"/>
        </w:rPr>
        <w:t>/ Colin S. Kinney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Colin S. Kinney/Chief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2EB141F2"/>
    <w:multiLevelType w:val="hybridMultilevel"/>
    <w:lvl w:ilvl="0">
      <w:lvlJc w:val="left"/>
      <w:lvlText w:val="%1"/>
      <w:numFmt w:val="decimal"/>
      <w:start w:val="1"/>
    </w:lvl>
    <w:lvl w:ilvl="1">
      <w:lvlJc w:val="left"/>
      <w:lvlText w:val="%2."/>
      <w:numFmt w:val="decimal"/>
      <w:start w:val="8"/>
    </w:lvl>
  </w:abstractNum>
  <w:abstractNum w:abstractNumId="4">
    <w:nsid w:val="41B71EFB"/>
    <w:multiLevelType w:val="hybridMultilevel"/>
    <w:lvl w:ilvl="0">
      <w:lvlJc w:val="left"/>
      <w:lvlText w:val="%1."/>
      <w:numFmt w:val="decimal"/>
      <w:start w:val="9"/>
    </w:lvl>
    <w:lvl w:ilvl="1">
      <w:lvlJc w:val="left"/>
      <w:lvlText w:val="%2"/>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2019-12-04T23:15:42Z</dcterms:created>
  <dcterms:modified xsi:type="dcterms:W3CDTF">2019-12-04T23:15:42Z</dcterms:modified>
</cp:coreProperties>
</file>