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137795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December 31, 2006</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941" w:right="239" w:bottom="0" w:gutter="0" w:footer="0" w:header="0"/>
        </w:sectPr>
      </w:pPr>
    </w:p>
    <w:p>
      <w:pPr>
        <w:spacing w:after="0" w:line="381" w:lineRule="exact"/>
        <w:rPr>
          <w:sz w:val="24"/>
          <w:szCs w:val="24"/>
          <w:color w:val="auto"/>
        </w:rPr>
      </w:pPr>
    </w:p>
    <w:p>
      <w:pPr>
        <w:ind w:left="2200"/>
        <w:spacing w:after="0"/>
        <w:rPr>
          <w:sz w:val="20"/>
          <w:szCs w:val="20"/>
          <w:color w:val="auto"/>
        </w:rPr>
      </w:pPr>
      <w:r>
        <w:rPr>
          <w:rFonts w:ascii="Arial" w:cs="Arial" w:eastAsia="Arial" w:hAnsi="Arial"/>
          <w:sz w:val="22"/>
          <w:szCs w:val="22"/>
          <w:b w:val="1"/>
          <w:bCs w:val="1"/>
          <w:color w:val="auto"/>
        </w:rPr>
        <w:t>MINNESOTA</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62" w:lineRule="exact"/>
        <w:rPr>
          <w:sz w:val="24"/>
          <w:szCs w:val="24"/>
          <w:color w:val="auto"/>
        </w:rPr>
      </w:pPr>
    </w:p>
    <w:p>
      <w:pPr>
        <w:sectPr>
          <w:pgSz w:w="11900" w:h="16838" w:orient="portrait"/>
          <w:cols w:equalWidth="0" w:num="2">
            <w:col w:w="7320" w:space="720"/>
            <w:col w:w="3380"/>
          </w:cols>
          <w:pgMar w:left="240" w:top="941" w:right="239" w:bottom="0" w:gutter="0" w:footer="0" w:header="0"/>
          <w:type w:val="continuous"/>
        </w:sectPr>
      </w:pPr>
    </w:p>
    <w:p>
      <w:pPr>
        <w:ind w:left="184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390" w:lineRule="exact"/>
        <w:rPr>
          <w:sz w:val="24"/>
          <w:szCs w:val="24"/>
          <w:color w:val="auto"/>
        </w:rPr>
      </w:pPr>
    </w:p>
    <w:p>
      <w:pPr>
        <w:sectPr>
          <w:pgSz w:w="11900" w:h="16838" w:orient="portrait"/>
          <w:cols w:equalWidth="0" w:num="2">
            <w:col w:w="6580" w:space="720"/>
            <w:col w:w="4120"/>
          </w:cols>
          <w:pgMar w:left="240" w:top="941" w:right="239" w:bottom="0" w:gutter="0" w:footer="0" w:header="0"/>
          <w:type w:val="continuous"/>
        </w:sectPr>
      </w:pPr>
    </w:p>
    <w:p>
      <w:pPr>
        <w:spacing w:after="0" w:line="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3100 EAST HENNEPIN AVENUE, MINNEAPOLIS, MINNESOTA 55413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(612) 331-6910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22"/>
          <w:szCs w:val="22"/>
          <w:color w:val="auto"/>
        </w:rPr>
        <w:t>YES x</w:t>
        <w:tab/>
        <w:t>NO o</w:t>
      </w:r>
    </w:p>
    <w:p>
      <w:pPr>
        <w:spacing w:after="0" w:line="206"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(as defined in Rule 12b-2 of the Exchange Act).</w:t>
      </w:r>
    </w:p>
    <w:p>
      <w:pPr>
        <w:spacing w:after="0" w:line="362" w:lineRule="exact"/>
        <w:rPr>
          <w:sz w:val="24"/>
          <w:szCs w:val="24"/>
          <w:color w:val="auto"/>
        </w:rPr>
      </w:pPr>
    </w:p>
    <w:p>
      <w:pPr>
        <w:ind w:left="1240"/>
        <w:spacing w:after="0"/>
        <w:tabs>
          <w:tab w:leader="none" w:pos="4800" w:val="left"/>
          <w:tab w:leader="none" w:pos="7900" w:val="left"/>
        </w:tabs>
        <w:rPr>
          <w:sz w:val="20"/>
          <w:szCs w:val="20"/>
          <w:color w:val="auto"/>
        </w:rPr>
      </w:pPr>
      <w:r>
        <w:rPr>
          <w:rFonts w:ascii="Arial" w:cs="Arial" w:eastAsia="Arial" w:hAnsi="Arial"/>
          <w:sz w:val="22"/>
          <w:szCs w:val="22"/>
          <w:color w:val="auto"/>
        </w:rPr>
        <w:t>Large Accelerated Filer  o</w:t>
      </w:r>
      <w:r>
        <w:rPr>
          <w:sz w:val="20"/>
          <w:szCs w:val="20"/>
          <w:color w:val="auto"/>
        </w:rPr>
        <w:tab/>
      </w:r>
      <w:r>
        <w:rPr>
          <w:rFonts w:ascii="Arial" w:cs="Arial" w:eastAsia="Arial" w:hAnsi="Arial"/>
          <w:sz w:val="22"/>
          <w:szCs w:val="22"/>
          <w:color w:val="auto"/>
        </w:rPr>
        <w:t>Accelerated Filer  x</w:t>
      </w:r>
      <w:r>
        <w:rPr>
          <w:sz w:val="20"/>
          <w:szCs w:val="20"/>
          <w:color w:val="auto"/>
        </w:rPr>
        <w:tab/>
      </w:r>
      <w:r>
        <w:rPr>
          <w:rFonts w:ascii="Arial" w:cs="Arial" w:eastAsia="Arial" w:hAnsi="Arial"/>
          <w:sz w:val="19"/>
          <w:szCs w:val="19"/>
          <w:color w:val="auto"/>
        </w:rPr>
        <w:t>Non-Accelerated Filer  o</w:t>
      </w:r>
    </w:p>
    <w:p>
      <w:pPr>
        <w:spacing w:after="0" w:line="193"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233" w:lineRule="exact"/>
        <w:rPr>
          <w:sz w:val="24"/>
          <w:szCs w:val="24"/>
          <w:color w:val="auto"/>
        </w:rPr>
      </w:pPr>
    </w:p>
    <w:p>
      <w:pPr>
        <w:ind w:left="4980"/>
        <w:spacing w:after="0"/>
        <w:tabs>
          <w:tab w:leader="none" w:pos="5900" w:val="left"/>
        </w:tabs>
        <w:rPr>
          <w:sz w:val="20"/>
          <w:szCs w:val="20"/>
          <w:color w:val="auto"/>
        </w:rPr>
      </w:pPr>
      <w:r>
        <w:rPr>
          <w:rFonts w:ascii="Arial" w:cs="Arial" w:eastAsia="Arial" w:hAnsi="Arial"/>
          <w:sz w:val="22"/>
          <w:szCs w:val="22"/>
          <w:color w:val="auto"/>
        </w:rPr>
        <w:t>YES o</w:t>
        <w:tab/>
        <w:t>NO x</w:t>
      </w:r>
    </w:p>
    <w:p>
      <w:pPr>
        <w:spacing w:after="0" w:line="179"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389"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5100" w:type="dxa"/>
            <w:vAlign w:val="bottom"/>
            <w:tcBorders>
              <w:bottom w:val="single" w:sz="8" w:color="auto"/>
            </w:tcBorders>
          </w:tcPr>
          <w:p>
            <w:pPr>
              <w:jc w:val="center"/>
              <w:ind w:right="162"/>
              <w:spacing w:after="0"/>
              <w:rPr>
                <w:sz w:val="20"/>
                <w:szCs w:val="20"/>
                <w:color w:val="auto"/>
              </w:rPr>
            </w:pPr>
            <w:r>
              <w:rPr>
                <w:rFonts w:ascii="Arial" w:cs="Arial" w:eastAsia="Arial" w:hAnsi="Arial"/>
                <w:sz w:val="18"/>
                <w:szCs w:val="18"/>
                <w:color w:val="auto"/>
                <w:w w:val="94"/>
              </w:rPr>
              <w:t>CLASS</w:t>
            </w:r>
          </w:p>
        </w:tc>
        <w:tc>
          <w:tcPr>
            <w:tcW w:w="4620" w:type="dxa"/>
            <w:vAlign w:val="bottom"/>
            <w:tcBorders>
              <w:bottom w:val="single" w:sz="8" w:color="auto"/>
            </w:tcBorders>
          </w:tcPr>
          <w:p>
            <w:pPr>
              <w:jc w:val="center"/>
              <w:ind w:right="162"/>
              <w:spacing w:after="0"/>
              <w:rPr>
                <w:sz w:val="20"/>
                <w:szCs w:val="20"/>
                <w:color w:val="auto"/>
              </w:rPr>
            </w:pPr>
            <w:r>
              <w:rPr>
                <w:rFonts w:ascii="Arial" w:cs="Arial" w:eastAsia="Arial" w:hAnsi="Arial"/>
                <w:sz w:val="18"/>
                <w:szCs w:val="18"/>
                <w:color w:val="auto"/>
                <w:w w:val="93"/>
              </w:rPr>
              <w:t>OUTSTANDING AT MAY 7, 2007</w:t>
            </w:r>
          </w:p>
        </w:tc>
        <w:tc>
          <w:tcPr>
            <w:tcW w:w="840" w:type="dxa"/>
            <w:vAlign w:val="bottom"/>
          </w:tcPr>
          <w:p>
            <w:pPr>
              <w:spacing w:after="0"/>
              <w:rPr>
                <w:sz w:val="19"/>
                <w:szCs w:val="19"/>
                <w:color w:val="auto"/>
              </w:rPr>
            </w:pPr>
          </w:p>
        </w:tc>
      </w:tr>
      <w:tr>
        <w:trPr>
          <w:trHeight w:val="269"/>
        </w:trPr>
        <w:tc>
          <w:tcPr>
            <w:tcW w:w="860" w:type="dxa"/>
            <w:vAlign w:val="bottom"/>
          </w:tcPr>
          <w:p>
            <w:pPr>
              <w:spacing w:after="0"/>
              <w:rPr>
                <w:sz w:val="23"/>
                <w:szCs w:val="23"/>
                <w:color w:val="auto"/>
              </w:rPr>
            </w:pPr>
          </w:p>
        </w:tc>
        <w:tc>
          <w:tcPr>
            <w:tcW w:w="5100" w:type="dxa"/>
            <w:vAlign w:val="bottom"/>
          </w:tcPr>
          <w:p>
            <w:pPr>
              <w:jc w:val="center"/>
              <w:ind w:right="162"/>
              <w:spacing w:after="0"/>
              <w:rPr>
                <w:sz w:val="20"/>
                <w:szCs w:val="20"/>
                <w:color w:val="auto"/>
              </w:rPr>
            </w:pPr>
            <w:r>
              <w:rPr>
                <w:rFonts w:ascii="Arial" w:cs="Arial" w:eastAsia="Arial" w:hAnsi="Arial"/>
                <w:sz w:val="22"/>
                <w:szCs w:val="22"/>
                <w:color w:val="auto"/>
                <w:w w:val="87"/>
              </w:rPr>
              <w:t>Common Stock, par value $.05 per share</w:t>
            </w:r>
          </w:p>
        </w:tc>
        <w:tc>
          <w:tcPr>
            <w:tcW w:w="4620" w:type="dxa"/>
            <w:vAlign w:val="bottom"/>
          </w:tcPr>
          <w:p>
            <w:pPr>
              <w:jc w:val="right"/>
              <w:ind w:right="1842"/>
              <w:spacing w:after="0"/>
              <w:rPr>
                <w:sz w:val="20"/>
                <w:szCs w:val="20"/>
                <w:color w:val="auto"/>
              </w:rPr>
            </w:pPr>
            <w:r>
              <w:rPr>
                <w:rFonts w:ascii="Arial" w:cs="Arial" w:eastAsia="Arial" w:hAnsi="Arial"/>
                <w:sz w:val="22"/>
                <w:szCs w:val="22"/>
                <w:color w:val="auto"/>
              </w:rPr>
              <w:t>10,216,753</w:t>
            </w:r>
          </w:p>
        </w:tc>
        <w:tc>
          <w:tcPr>
            <w:tcW w:w="840" w:type="dxa"/>
            <w:vAlign w:val="bottom"/>
          </w:tcPr>
          <w:p>
            <w:pPr>
              <w:spacing w:after="0"/>
              <w:rPr>
                <w:sz w:val="23"/>
                <w:szCs w:val="23"/>
                <w:color w:val="auto"/>
              </w:rPr>
            </w:pPr>
          </w:p>
        </w:tc>
      </w:tr>
      <w:tr>
        <w:trPr>
          <w:trHeight w:val="691"/>
        </w:trPr>
        <w:tc>
          <w:tcPr>
            <w:tcW w:w="8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75"/>
        </w:trPr>
        <w:tc>
          <w:tcPr>
            <w:tcW w:w="86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HAWKINS,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INDEX TO FORM 10-Q</w:t>
      </w:r>
    </w:p>
    <w:p>
      <w:pPr>
        <w:spacing w:after="0" w:line="195" w:lineRule="exact"/>
        <w:rPr>
          <w:sz w:val="24"/>
          <w:szCs w:val="24"/>
          <w:color w:val="auto"/>
        </w:rPr>
      </w:pPr>
    </w:p>
    <w:p>
      <w:pPr>
        <w:ind w:left="10720"/>
        <w:spacing w:after="0"/>
        <w:rPr>
          <w:sz w:val="20"/>
          <w:szCs w:val="20"/>
          <w:color w:val="auto"/>
        </w:rPr>
      </w:pPr>
      <w:r>
        <w:rPr>
          <w:rFonts w:ascii="Arial" w:cs="Arial" w:eastAsia="Arial" w:hAnsi="Arial"/>
          <w:sz w:val="18"/>
          <w:szCs w:val="18"/>
          <w:b w:val="1"/>
          <w:bCs w:val="1"/>
          <w:color w:val="auto"/>
        </w:rPr>
        <w:t>Page</w:t>
      </w:r>
    </w:p>
    <w:p>
      <w:pPr>
        <w:spacing w:after="0" w:line="36" w:lineRule="exact"/>
        <w:rPr>
          <w:sz w:val="24"/>
          <w:szCs w:val="24"/>
          <w:color w:val="auto"/>
        </w:rPr>
      </w:pPr>
    </w:p>
    <w:p>
      <w:pPr>
        <w:spacing w:after="0"/>
        <w:tabs>
          <w:tab w:leader="none" w:pos="1240" w:val="left"/>
        </w:tabs>
        <w:rPr>
          <w:rFonts w:ascii="Arial" w:cs="Arial" w:eastAsia="Arial" w:hAnsi="Arial"/>
          <w:sz w:val="18"/>
          <w:szCs w:val="18"/>
          <w:b w:val="1"/>
          <w:bCs w:val="1"/>
          <w:u w:val="single" w:color="auto"/>
          <w:color w:val="0000EE"/>
        </w:rPr>
      </w:pPr>
      <w:r>
        <w:rPr>
          <w:rFonts w:ascii="Arial" w:cs="Arial" w:eastAsia="Arial" w:hAnsi="Arial"/>
          <w:sz w:val="18"/>
          <w:szCs w:val="18"/>
          <w:b w:val="1"/>
          <w:bCs w:val="1"/>
          <w:color w:val="auto"/>
        </w:rPr>
        <w:t>PART I.</w:t>
      </w:r>
      <w:r>
        <w:rPr>
          <w:sz w:val="20"/>
          <w:szCs w:val="20"/>
          <w:color w:val="auto"/>
        </w:rPr>
        <w:tab/>
      </w:r>
      <w:hyperlink w:anchor="page2">
        <w:r>
          <w:rPr>
            <w:rFonts w:ascii="Arial" w:cs="Arial" w:eastAsia="Arial" w:hAnsi="Arial"/>
            <w:sz w:val="18"/>
            <w:szCs w:val="18"/>
            <w:b w:val="1"/>
            <w:bCs w:val="1"/>
            <w:u w:val="single" w:color="auto"/>
            <w:color w:val="0000EE"/>
          </w:rPr>
          <w:t>FINANCIAL INFORMATION</w:t>
        </w:r>
      </w:hyperlink>
    </w:p>
    <w:p>
      <w:pPr>
        <w:sectPr>
          <w:pgSz w:w="11900" w:h="16838" w:orient="portrait"/>
          <w:cols w:equalWidth="0" w:num="1">
            <w:col w:w="11420"/>
          </w:cols>
          <w:pgMar w:left="240" w:top="94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18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15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72"/>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Balance Sheets – December 31, 2006 and April 2, 2006</w:t>
              </w:r>
            </w:hyperlink>
          </w:p>
        </w:tc>
        <w:tc>
          <w:tcPr>
            <w:tcW w:w="3440" w:type="dxa"/>
            <w:vAlign w:val="bottom"/>
            <w:gridSpan w:val="4"/>
          </w:tcPr>
          <w:p>
            <w:pPr>
              <w:spacing w:after="0"/>
              <w:rPr>
                <w:sz w:val="24"/>
                <w:szCs w:val="24"/>
                <w:color w:val="auto"/>
              </w:rPr>
            </w:pPr>
          </w:p>
        </w:tc>
        <w:tc>
          <w:tcPr>
            <w:tcW w:w="1540" w:type="dxa"/>
            <w:vAlign w:val="bottom"/>
          </w:tcPr>
          <w:p>
            <w:pPr>
              <w:jc w:val="center"/>
              <w:ind w:left="1292"/>
              <w:spacing w:after="0"/>
              <w:rPr>
                <w:sz w:val="20"/>
                <w:szCs w:val="20"/>
                <w:color w:val="auto"/>
              </w:rPr>
            </w:pPr>
            <w:r>
              <w:rPr>
                <w:rFonts w:ascii="Arial" w:cs="Arial" w:eastAsia="Arial" w:hAnsi="Arial"/>
                <w:sz w:val="18"/>
                <w:szCs w:val="18"/>
                <w:color w:val="auto"/>
                <w:w w:val="79"/>
              </w:rPr>
              <w:t>3</w:t>
            </w:r>
          </w:p>
        </w:tc>
      </w:tr>
      <w:tr>
        <w:trPr>
          <w:trHeight w:val="372"/>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Statements of Income – Three and Nine Months Ended December 31, 2006 and 2005</w:t>
              </w:r>
            </w:hyperlink>
          </w:p>
        </w:tc>
        <w:tc>
          <w:tcPr>
            <w:tcW w:w="1360" w:type="dxa"/>
            <w:vAlign w:val="bottom"/>
          </w:tcPr>
          <w:p>
            <w:pPr>
              <w:spacing w:after="0"/>
              <w:rPr>
                <w:sz w:val="24"/>
                <w:szCs w:val="24"/>
                <w:color w:val="auto"/>
              </w:rPr>
            </w:pPr>
          </w:p>
        </w:tc>
        <w:tc>
          <w:tcPr>
            <w:tcW w:w="1540" w:type="dxa"/>
            <w:vAlign w:val="bottom"/>
          </w:tcPr>
          <w:p>
            <w:pPr>
              <w:jc w:val="center"/>
              <w:ind w:left="1292"/>
              <w:spacing w:after="0"/>
              <w:rPr>
                <w:sz w:val="20"/>
                <w:szCs w:val="20"/>
                <w:color w:val="auto"/>
              </w:rPr>
            </w:pPr>
            <w:r>
              <w:rPr>
                <w:rFonts w:ascii="Arial" w:cs="Arial" w:eastAsia="Arial" w:hAnsi="Arial"/>
                <w:sz w:val="18"/>
                <w:szCs w:val="18"/>
                <w:color w:val="auto"/>
                <w:w w:val="79"/>
              </w:rPr>
              <w:t>4</w:t>
            </w:r>
          </w:p>
        </w:tc>
      </w:tr>
      <w:tr>
        <w:trPr>
          <w:trHeight w:val="372"/>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Statements of Cash Flows – Nine Months Ended December 31, 2006 and 2005</w:t>
              </w:r>
            </w:hyperlink>
          </w:p>
        </w:tc>
        <w:tc>
          <w:tcPr>
            <w:tcW w:w="1540" w:type="dxa"/>
            <w:vAlign w:val="bottom"/>
          </w:tcPr>
          <w:p>
            <w:pPr>
              <w:jc w:val="center"/>
              <w:ind w:left="1292"/>
              <w:spacing w:after="0"/>
              <w:rPr>
                <w:sz w:val="20"/>
                <w:szCs w:val="20"/>
                <w:color w:val="auto"/>
              </w:rPr>
            </w:pPr>
            <w:r>
              <w:rPr>
                <w:rFonts w:ascii="Arial" w:cs="Arial" w:eastAsia="Arial" w:hAnsi="Arial"/>
                <w:sz w:val="18"/>
                <w:szCs w:val="18"/>
                <w:color w:val="auto"/>
                <w:w w:val="79"/>
              </w:rPr>
              <w:t>5</w:t>
            </w:r>
          </w:p>
        </w:tc>
      </w:tr>
      <w:tr>
        <w:trPr>
          <w:trHeight w:val="372"/>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Notes to Condensed Financial Statements</w:t>
              </w:r>
            </w:hyperlink>
          </w:p>
        </w:tc>
        <w:tc>
          <w:tcPr>
            <w:tcW w:w="3420" w:type="dxa"/>
            <w:vAlign w:val="bottom"/>
            <w:tcBorders>
              <w:top w:val="single" w:sz="8" w:color="0000EE"/>
            </w:tcBorders>
            <w:gridSpan w:val="4"/>
          </w:tcPr>
          <w:p>
            <w:pPr>
              <w:spacing w:after="0"/>
              <w:rPr>
                <w:sz w:val="24"/>
                <w:szCs w:val="24"/>
                <w:color w:val="auto"/>
              </w:rPr>
            </w:pPr>
          </w:p>
        </w:tc>
        <w:tc>
          <w:tcPr>
            <w:tcW w:w="1820" w:type="dxa"/>
            <w:vAlign w:val="bottom"/>
            <w:gridSpan w:val="2"/>
          </w:tcPr>
          <w:p>
            <w:pPr>
              <w:spacing w:after="0"/>
              <w:rPr>
                <w:sz w:val="24"/>
                <w:szCs w:val="24"/>
                <w:color w:val="auto"/>
              </w:rPr>
            </w:pPr>
          </w:p>
        </w:tc>
        <w:tc>
          <w:tcPr>
            <w:tcW w:w="1540" w:type="dxa"/>
            <w:vAlign w:val="bottom"/>
          </w:tcPr>
          <w:p>
            <w:pPr>
              <w:jc w:val="center"/>
              <w:ind w:left="1292"/>
              <w:spacing w:after="0"/>
              <w:rPr>
                <w:sz w:val="20"/>
                <w:szCs w:val="20"/>
                <w:color w:val="auto"/>
              </w:rPr>
            </w:pPr>
            <w:r>
              <w:rPr>
                <w:rFonts w:ascii="Arial" w:cs="Arial" w:eastAsia="Arial" w:hAnsi="Arial"/>
                <w:sz w:val="18"/>
                <w:szCs w:val="18"/>
                <w:color w:val="auto"/>
                <w:w w:val="79"/>
              </w:rPr>
              <w:t>6</w:t>
            </w:r>
          </w:p>
        </w:tc>
      </w:tr>
      <w:tr>
        <w:trPr>
          <w:trHeight w:val="372"/>
        </w:trPr>
        <w:tc>
          <w:tcPr>
            <w:tcW w:w="12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Management’s Discussion and Analysis of Financial Condition and Results of Operations</w:t>
              </w:r>
            </w:hyperlink>
          </w:p>
        </w:tc>
        <w:tc>
          <w:tcPr>
            <w:tcW w:w="1540" w:type="dxa"/>
            <w:vAlign w:val="bottom"/>
          </w:tcPr>
          <w:p>
            <w:pPr>
              <w:jc w:val="center"/>
              <w:ind w:left="1292"/>
              <w:spacing w:after="0"/>
              <w:rPr>
                <w:sz w:val="20"/>
                <w:szCs w:val="20"/>
                <w:color w:val="auto"/>
              </w:rPr>
            </w:pPr>
            <w:r>
              <w:rPr>
                <w:rFonts w:ascii="Arial" w:cs="Arial" w:eastAsia="Arial" w:hAnsi="Arial"/>
                <w:sz w:val="18"/>
                <w:szCs w:val="18"/>
                <w:color w:val="auto"/>
                <w:w w:val="79"/>
              </w:rPr>
              <w:t>8</w:t>
            </w:r>
          </w:p>
        </w:tc>
      </w:tr>
      <w:tr>
        <w:trPr>
          <w:trHeight w:val="372"/>
        </w:trPr>
        <w:tc>
          <w:tcPr>
            <w:tcW w:w="12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Quantitative and Qualitative Disclosures about Market Risk</w:t>
              </w:r>
            </w:hyperlink>
          </w:p>
        </w:tc>
        <w:tc>
          <w:tcPr>
            <w:tcW w:w="1880" w:type="dxa"/>
            <w:vAlign w:val="bottom"/>
            <w:gridSpan w:val="3"/>
          </w:tcPr>
          <w:p>
            <w:pPr>
              <w:spacing w:after="0"/>
              <w:rPr>
                <w:sz w:val="24"/>
                <w:szCs w:val="24"/>
                <w:color w:val="auto"/>
              </w:rPr>
            </w:pPr>
          </w:p>
        </w:tc>
        <w:tc>
          <w:tcPr>
            <w:tcW w:w="1540" w:type="dxa"/>
            <w:vAlign w:val="bottom"/>
          </w:tcPr>
          <w:p>
            <w:pPr>
              <w:jc w:val="center"/>
              <w:ind w:left="1292"/>
              <w:spacing w:after="0"/>
              <w:rPr>
                <w:sz w:val="20"/>
                <w:szCs w:val="20"/>
                <w:color w:val="auto"/>
              </w:rPr>
            </w:pPr>
            <w:r>
              <w:rPr>
                <w:rFonts w:ascii="Arial" w:cs="Arial" w:eastAsia="Arial" w:hAnsi="Arial"/>
                <w:sz w:val="18"/>
                <w:szCs w:val="18"/>
                <w:color w:val="auto"/>
                <w:w w:val="79"/>
              </w:rPr>
              <w:t>13</w:t>
            </w:r>
          </w:p>
        </w:tc>
      </w:tr>
      <w:tr>
        <w:trPr>
          <w:trHeight w:val="372"/>
        </w:trPr>
        <w:tc>
          <w:tcPr>
            <w:tcW w:w="12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3"/>
          </w:tcPr>
          <w:p>
            <w:pPr>
              <w:spacing w:after="0"/>
              <w:rPr>
                <w:sz w:val="24"/>
                <w:szCs w:val="24"/>
                <w:color w:val="auto"/>
              </w:rPr>
            </w:pPr>
          </w:p>
        </w:tc>
        <w:tc>
          <w:tcPr>
            <w:tcW w:w="3980" w:type="dxa"/>
            <w:vAlign w:val="bottom"/>
            <w:gridSpan w:val="5"/>
          </w:tcPr>
          <w:p>
            <w:pPr>
              <w:spacing w:after="0"/>
              <w:rPr>
                <w:sz w:val="24"/>
                <w:szCs w:val="24"/>
                <w:color w:val="auto"/>
              </w:rPr>
            </w:pPr>
          </w:p>
        </w:tc>
        <w:tc>
          <w:tcPr>
            <w:tcW w:w="1540" w:type="dxa"/>
            <w:vAlign w:val="bottom"/>
          </w:tcPr>
          <w:p>
            <w:pPr>
              <w:jc w:val="center"/>
              <w:ind w:left="1292"/>
              <w:spacing w:after="0"/>
              <w:rPr>
                <w:sz w:val="20"/>
                <w:szCs w:val="20"/>
                <w:color w:val="auto"/>
              </w:rPr>
            </w:pPr>
            <w:r>
              <w:rPr>
                <w:rFonts w:ascii="Arial" w:cs="Arial" w:eastAsia="Arial" w:hAnsi="Arial"/>
                <w:sz w:val="18"/>
                <w:szCs w:val="18"/>
                <w:color w:val="auto"/>
                <w:w w:val="79"/>
              </w:rPr>
              <w:t>13</w:t>
            </w:r>
          </w:p>
        </w:tc>
      </w:tr>
      <w:tr>
        <w:trPr>
          <w:trHeight w:val="53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OTHER INFORMATION</w:t>
              </w:r>
            </w:hyperlink>
          </w:p>
        </w:tc>
        <w:tc>
          <w:tcPr>
            <w:tcW w:w="6200" w:type="dxa"/>
            <w:vAlign w:val="bottom"/>
            <w:gridSpan w:val="7"/>
          </w:tcPr>
          <w:p>
            <w:pPr>
              <w:spacing w:after="0"/>
              <w:rPr>
                <w:sz w:val="24"/>
                <w:szCs w:val="24"/>
                <w:color w:val="auto"/>
              </w:rPr>
            </w:pPr>
          </w:p>
        </w:tc>
        <w:tc>
          <w:tcPr>
            <w:tcW w:w="1540" w:type="dxa"/>
            <w:vAlign w:val="bottom"/>
          </w:tcPr>
          <w:p>
            <w:pPr>
              <w:spacing w:after="0"/>
              <w:rPr>
                <w:sz w:val="24"/>
                <w:szCs w:val="24"/>
                <w:color w:val="auto"/>
              </w:rPr>
            </w:pPr>
          </w:p>
        </w:tc>
      </w:tr>
      <w:tr>
        <w:trPr>
          <w:trHeight w:val="372"/>
        </w:trPr>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180" w:type="dxa"/>
            <w:vAlign w:val="bottom"/>
            <w:gridSpan w:val="1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540" w:type="dxa"/>
            <w:vAlign w:val="bottom"/>
          </w:tcPr>
          <w:p>
            <w:pPr>
              <w:jc w:val="center"/>
              <w:ind w:left="1292"/>
              <w:spacing w:after="0"/>
              <w:rPr>
                <w:sz w:val="20"/>
                <w:szCs w:val="20"/>
                <w:color w:val="auto"/>
              </w:rPr>
            </w:pPr>
            <w:r>
              <w:rPr>
                <w:rFonts w:ascii="Arial" w:cs="Arial" w:eastAsia="Arial" w:hAnsi="Arial"/>
                <w:sz w:val="18"/>
                <w:szCs w:val="18"/>
                <w:color w:val="auto"/>
                <w:w w:val="79"/>
              </w:rPr>
              <w:t>14</w:t>
            </w:r>
          </w:p>
        </w:tc>
      </w:tr>
      <w:tr>
        <w:trPr>
          <w:trHeight w:val="372"/>
        </w:trPr>
        <w:tc>
          <w:tcPr>
            <w:tcW w:w="12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Exhibits</w:t>
              </w:r>
            </w:hyperlink>
          </w:p>
        </w:tc>
        <w:tc>
          <w:tcPr>
            <w:tcW w:w="7300" w:type="dxa"/>
            <w:vAlign w:val="bottom"/>
            <w:gridSpan w:val="10"/>
          </w:tcPr>
          <w:p>
            <w:pPr>
              <w:spacing w:after="0"/>
              <w:rPr>
                <w:sz w:val="24"/>
                <w:szCs w:val="24"/>
                <w:color w:val="auto"/>
              </w:rPr>
            </w:pPr>
          </w:p>
        </w:tc>
        <w:tc>
          <w:tcPr>
            <w:tcW w:w="1540" w:type="dxa"/>
            <w:vAlign w:val="bottom"/>
          </w:tcPr>
          <w:p>
            <w:pPr>
              <w:jc w:val="center"/>
              <w:ind w:left="1292"/>
              <w:spacing w:after="0"/>
              <w:rPr>
                <w:sz w:val="20"/>
                <w:szCs w:val="20"/>
                <w:color w:val="auto"/>
              </w:rPr>
            </w:pPr>
            <w:r>
              <w:rPr>
                <w:rFonts w:ascii="Arial" w:cs="Arial" w:eastAsia="Arial" w:hAnsi="Arial"/>
                <w:sz w:val="18"/>
                <w:szCs w:val="18"/>
                <w:color w:val="auto"/>
                <w:w w:val="79"/>
              </w:rPr>
              <w:t>14</w:t>
            </w:r>
          </w:p>
        </w:tc>
      </w:tr>
      <w:tr>
        <w:trPr>
          <w:trHeight w:val="372"/>
        </w:trPr>
        <w:tc>
          <w:tcPr>
            <w:tcW w:w="126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jc w:val="center"/>
              <w:ind w:left="1292"/>
              <w:spacing w:after="0"/>
              <w:rPr>
                <w:sz w:val="20"/>
                <w:szCs w:val="20"/>
                <w:color w:val="auto"/>
              </w:rPr>
            </w:pPr>
            <w:r>
              <w:rPr>
                <w:rFonts w:ascii="Arial" w:cs="Arial" w:eastAsia="Arial" w:hAnsi="Arial"/>
                <w:sz w:val="18"/>
                <w:szCs w:val="18"/>
                <w:color w:val="auto"/>
                <w:w w:val="79"/>
              </w:rPr>
              <w:t>15</w:t>
            </w: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72"/>
        </w:trPr>
        <w:tc>
          <w:tcPr>
            <w:tcW w:w="126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Exhibit Index</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jc w:val="center"/>
              <w:ind w:left="1292"/>
              <w:spacing w:after="0"/>
              <w:rPr>
                <w:sz w:val="20"/>
                <w:szCs w:val="20"/>
                <w:color w:val="auto"/>
              </w:rPr>
            </w:pPr>
            <w:r>
              <w:rPr>
                <w:rFonts w:ascii="Arial" w:cs="Arial" w:eastAsia="Arial" w:hAnsi="Arial"/>
                <w:sz w:val="18"/>
                <w:szCs w:val="18"/>
                <w:color w:val="auto"/>
                <w:w w:val="79"/>
              </w:rPr>
              <w:t>16</w:t>
            </w:r>
          </w:p>
        </w:tc>
      </w:tr>
      <w:tr>
        <w:trPr>
          <w:trHeight w:val="437"/>
        </w:trPr>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8"/>
          </w:tcPr>
          <w:p>
            <w:pPr>
              <w:ind w:left="442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359410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ectPr>
          <w:pgSz w:w="11900" w:h="16838" w:orient="portrait"/>
          <w:cols w:equalWidth="0" w:num="1">
            <w:col w:w="11320"/>
          </w:cols>
          <w:pgMar w:left="240" w:top="28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Investments available-for-sale</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Trade receivables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Prepaid expenses and other current assets (Note 8)</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current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 less accumulated amortization of $1,587,104 and $1,418,491,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LIABILITIES AND SHAREHOLDERS’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Accounts payable – trade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Accrued payroll and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current liabilities</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current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APRIL 2,</w:t>
            </w:r>
          </w:p>
        </w:tc>
      </w:tr>
      <w:tr>
        <w:trPr>
          <w:trHeight w:val="149"/>
        </w:trPr>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2006</w:t>
            </w:r>
          </w:p>
        </w:tc>
      </w:tr>
      <w:tr>
        <w:trPr>
          <w:trHeight w:val="149"/>
        </w:trPr>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9"/>
              </w:rPr>
              <w:t>(DERIVED FROM</w:t>
            </w:r>
          </w:p>
        </w:tc>
      </w:tr>
      <w:tr>
        <w:trPr>
          <w:trHeight w:val="149"/>
        </w:trPr>
        <w:tc>
          <w:tcPr>
            <w:tcW w:w="160" w:type="dxa"/>
            <w:vAlign w:val="bottom"/>
          </w:tcPr>
          <w:p>
            <w:pPr>
              <w:spacing w:after="0"/>
              <w:rPr>
                <w:sz w:val="12"/>
                <w:szCs w:val="12"/>
                <w:color w:val="auto"/>
              </w:rPr>
            </w:pPr>
          </w:p>
        </w:tc>
        <w:tc>
          <w:tcPr>
            <w:tcW w:w="13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DECEMBER 31,</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9"/>
              </w:rPr>
              <w:t>AUDITED</w:t>
            </w:r>
          </w:p>
        </w:tc>
      </w:tr>
      <w:tr>
        <w:trPr>
          <w:trHeight w:val="149"/>
        </w:trPr>
        <w:tc>
          <w:tcPr>
            <w:tcW w:w="160" w:type="dxa"/>
            <w:vAlign w:val="bottom"/>
          </w:tcPr>
          <w:p>
            <w:pPr>
              <w:spacing w:after="0"/>
              <w:rPr>
                <w:sz w:val="12"/>
                <w:szCs w:val="12"/>
                <w:color w:val="auto"/>
              </w:rPr>
            </w:pPr>
          </w:p>
        </w:tc>
        <w:tc>
          <w:tcPr>
            <w:tcW w:w="13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FINANCIAL</w:t>
            </w:r>
          </w:p>
        </w:tc>
      </w:tr>
      <w:tr>
        <w:trPr>
          <w:trHeight w:val="161"/>
        </w:trPr>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STATEMENTS)</w:t>
            </w:r>
          </w:p>
        </w:tc>
      </w:tr>
      <w:tr>
        <w:trPr>
          <w:trHeight w:val="849"/>
        </w:trPr>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8,025,132</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6,330,004</w:t>
            </w:r>
          </w:p>
        </w:tc>
      </w:tr>
      <w:tr>
        <w:trPr>
          <w:trHeight w:val="216"/>
        </w:trPr>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14,164,013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14,167,047</w:t>
            </w:r>
          </w:p>
        </w:tc>
      </w:tr>
      <w:tr>
        <w:trPr>
          <w:trHeight w:val="216"/>
        </w:trPr>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17,951,864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16,185,560</w:t>
            </w:r>
          </w:p>
        </w:tc>
      </w:tr>
      <w:tr>
        <w:trPr>
          <w:trHeight w:val="222"/>
        </w:trPr>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12,527,154</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10,449,671</w:t>
            </w:r>
          </w:p>
        </w:tc>
      </w:tr>
      <w:tr>
        <w:trPr>
          <w:trHeight w:val="231"/>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4,790,121</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2,314,458</w:t>
            </w:r>
          </w:p>
        </w:tc>
      </w:tr>
      <w:tr>
        <w:trPr>
          <w:trHeight w:val="217"/>
        </w:trPr>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57,458,284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49,446,740</w:t>
            </w:r>
          </w:p>
        </w:tc>
      </w:tr>
      <w:tr>
        <w:trPr>
          <w:trHeight w:val="397"/>
        </w:trPr>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35,259,966</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34,721,739</w:t>
            </w:r>
          </w:p>
        </w:tc>
      </w:tr>
      <w:tr>
        <w:trPr>
          <w:trHeight w:val="405"/>
        </w:trPr>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1,895,929</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2,064,542</w:t>
            </w:r>
          </w:p>
        </w:tc>
      </w:tr>
      <w:tr>
        <w:trPr>
          <w:trHeight w:val="405"/>
        </w:trPr>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3,665,691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5,658,341</w:t>
            </w:r>
          </w:p>
        </w:tc>
      </w:tr>
      <w:tr>
        <w:trPr>
          <w:trHeight w:val="420"/>
        </w:trPr>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576,422</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2,165,372</w:t>
            </w:r>
          </w:p>
        </w:tc>
      </w:tr>
      <w:tr>
        <w:trPr>
          <w:trHeight w:val="250"/>
        </w:trPr>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98,856,292</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94,056,734</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824"/>
        </w:trPr>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11,574,787</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8,695,396</w:t>
            </w:r>
          </w:p>
        </w:tc>
      </w:tr>
      <w:tr>
        <w:trPr>
          <w:trHeight w:val="216"/>
        </w:trPr>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2,034,299</w:t>
            </w:r>
          </w:p>
        </w:tc>
      </w:tr>
      <w:tr>
        <w:trPr>
          <w:trHeight w:val="222"/>
        </w:trPr>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4,401,409</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4,426,356</w:t>
            </w:r>
          </w:p>
        </w:tc>
      </w:tr>
      <w:tr>
        <w:trPr>
          <w:trHeight w:val="231"/>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2,196,289</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2,411,676</w:t>
            </w:r>
          </w:p>
        </w:tc>
      </w:tr>
      <w:tr>
        <w:trPr>
          <w:trHeight w:val="217"/>
        </w:trPr>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18,172,485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17,567,727</w:t>
            </w:r>
          </w:p>
        </w:tc>
      </w:tr>
      <w:tr>
        <w:trPr>
          <w:trHeight w:val="397"/>
        </w:trPr>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125,944</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127,644</w:t>
            </w:r>
          </w:p>
        </w:tc>
      </w:tr>
      <w:tr>
        <w:trPr>
          <w:trHeight w:val="405"/>
        </w:trPr>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322,824</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265,324</w:t>
            </w:r>
          </w:p>
        </w:tc>
      </w:tr>
    </w:tbl>
    <w:p>
      <w:pPr>
        <w:sectPr>
          <w:pgSz w:w="11900" w:h="16838" w:orient="portrait"/>
          <w:cols w:equalWidth="0" w:num="2">
            <w:col w:w="7120" w:space="680"/>
            <w:col w:w="3520"/>
          </w:cols>
          <w:pgMar w:left="240" w:top="284"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SHAREHOLDERS’ EQUITY:</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Common stock, par value $.05 per share; 10,171,496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shareholders’ equity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508,575</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508,575</w:t>
            </w:r>
          </w:p>
        </w:tc>
        <w:tc>
          <w:tcPr>
            <w:tcW w:w="6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37,082,673</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37,056,103</w:t>
            </w:r>
          </w:p>
        </w:tc>
        <w:tc>
          <w:tcPr>
            <w:tcW w:w="60" w:type="dxa"/>
            <w:vAlign w:val="bottom"/>
          </w:tcPr>
          <w:p>
            <w:pPr>
              <w:spacing w:after="0"/>
              <w:rPr>
                <w:sz w:val="19"/>
                <w:szCs w:val="19"/>
                <w:color w:val="auto"/>
              </w:rPr>
            </w:pPr>
          </w:p>
        </w:tc>
      </w:tr>
      <w:tr>
        <w:trPr>
          <w:trHeight w:val="257"/>
        </w:trPr>
        <w:tc>
          <w:tcPr>
            <w:tcW w:w="380" w:type="dxa"/>
            <w:vAlign w:val="bottom"/>
          </w:tcPr>
          <w:p>
            <w:pPr>
              <w:spacing w:after="0"/>
              <w:rPr>
                <w:sz w:val="22"/>
                <w:szCs w:val="22"/>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(35,963)</w:t>
            </w:r>
          </w:p>
        </w:tc>
        <w:tc>
          <w:tcPr>
            <w:tcW w:w="3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(125,754)</w:t>
            </w:r>
          </w:p>
        </w:tc>
      </w:tr>
      <w:tr>
        <w:trPr>
          <w:trHeight w:val="231"/>
        </w:trPr>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42,679,754</w:t>
            </w:r>
          </w:p>
        </w:tc>
        <w:tc>
          <w:tcPr>
            <w:tcW w:w="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38,657,115</w:t>
            </w:r>
          </w:p>
        </w:tc>
        <w:tc>
          <w:tcPr>
            <w:tcW w:w="60" w:type="dxa"/>
            <w:vAlign w:val="bottom"/>
          </w:tcPr>
          <w:p>
            <w:pPr>
              <w:spacing w:after="0"/>
              <w:rPr>
                <w:sz w:val="20"/>
                <w:szCs w:val="20"/>
                <w:color w:val="auto"/>
              </w:rPr>
            </w:pPr>
          </w:p>
        </w:tc>
      </w:tr>
      <w:tr>
        <w:trPr>
          <w:trHeight w:val="211"/>
        </w:trPr>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80,235,039</w:t>
            </w:r>
          </w:p>
        </w:tc>
        <w:tc>
          <w:tcPr>
            <w:tcW w:w="5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76,096,039</w:t>
            </w:r>
          </w:p>
        </w:tc>
        <w:tc>
          <w:tcPr>
            <w:tcW w:w="60" w:type="dxa"/>
            <w:vAlign w:val="bottom"/>
          </w:tcPr>
          <w:p>
            <w:pPr>
              <w:spacing w:after="0"/>
              <w:rPr>
                <w:sz w:val="18"/>
                <w:szCs w:val="18"/>
                <w:color w:val="auto"/>
              </w:rPr>
            </w:pPr>
          </w:p>
        </w:tc>
      </w:tr>
      <w:tr>
        <w:trPr>
          <w:trHeight w:val="249"/>
        </w:trPr>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98,856,292</w:t>
            </w:r>
          </w:p>
        </w:tc>
        <w:tc>
          <w:tcPr>
            <w:tcW w:w="560" w:type="dxa"/>
            <w:vAlign w:val="bottom"/>
          </w:tcPr>
          <w:p>
            <w:pPr>
              <w:spacing w:after="0"/>
              <w:rPr>
                <w:sz w:val="21"/>
                <w:szCs w:val="21"/>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94,056,734</w:t>
            </w:r>
          </w:p>
        </w:tc>
        <w:tc>
          <w:tcPr>
            <w:tcW w:w="60" w:type="dxa"/>
            <w:vAlign w:val="bottom"/>
          </w:tcPr>
          <w:p>
            <w:pPr>
              <w:spacing w:after="0"/>
              <w:rPr>
                <w:sz w:val="21"/>
                <w:szCs w:val="2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720"/>
            <w:col w:w="3580"/>
          </w:cols>
          <w:pgMar w:left="240" w:top="320" w:right="27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7"/>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6"/>
              </w:rPr>
              <w:t>DECEMBER 31</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8"/>
              </w:rPr>
              <w:t>(UNAUDITED)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37,039,181</w:t>
            </w:r>
          </w:p>
        </w:tc>
        <w:tc>
          <w:tcPr>
            <w:tcW w:w="200" w:type="dxa"/>
            <w:vAlign w:val="bottom"/>
            <w:shd w:val="clear" w:color="auto" w:fill="D6F3E8"/>
          </w:tcPr>
          <w:p>
            <w:pPr>
              <w:spacing w:after="0"/>
              <w:rPr>
                <w:sz w:val="22"/>
                <w:szCs w:val="22"/>
                <w:color w:val="auto"/>
              </w:rPr>
            </w:pPr>
          </w:p>
        </w:tc>
        <w:tc>
          <w:tcPr>
            <w:tcW w:w="40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88"/>
              </w:rPr>
              <w:t>34,352,992</w:t>
            </w:r>
          </w:p>
        </w:tc>
        <w:tc>
          <w:tcPr>
            <w:tcW w:w="360" w:type="dxa"/>
            <w:vAlign w:val="bottom"/>
            <w:gridSpan w:val="2"/>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120,700,006</w:t>
            </w:r>
          </w:p>
        </w:tc>
        <w:tc>
          <w:tcPr>
            <w:tcW w:w="220" w:type="dxa"/>
            <w:vAlign w:val="bottom"/>
            <w:shd w:val="clear" w:color="auto" w:fill="D6F3E8"/>
          </w:tcPr>
          <w:p>
            <w:pPr>
              <w:spacing w:after="0"/>
              <w:rPr>
                <w:sz w:val="22"/>
                <w:szCs w:val="22"/>
                <w:color w:val="auto"/>
              </w:rPr>
            </w:pPr>
          </w:p>
        </w:tc>
        <w:tc>
          <w:tcPr>
            <w:tcW w:w="400" w:type="dxa"/>
            <w:vAlign w:val="bottom"/>
            <w:shd w:val="clear" w:color="auto" w:fill="D6F3E8"/>
          </w:tcPr>
          <w:p>
            <w:pPr>
              <w:jc w:val="right"/>
              <w:ind w:right="2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7"/>
              </w:rPr>
              <w:t>106,850,761</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542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30,047,975</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27,133,377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91,709,068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80,950,535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4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6,991,206</w:t>
            </w:r>
          </w:p>
        </w:tc>
        <w:tc>
          <w:tcPr>
            <w:tcW w:w="200" w:type="dxa"/>
            <w:vAlign w:val="bottom"/>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9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9"/>
              </w:rPr>
              <w:t>7,219,615</w:t>
            </w:r>
          </w:p>
        </w:tc>
        <w:tc>
          <w:tcPr>
            <w:tcW w:w="10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28,990,938</w:t>
            </w:r>
          </w:p>
        </w:tc>
        <w:tc>
          <w:tcPr>
            <w:tcW w:w="220" w:type="dxa"/>
            <w:vAlign w:val="bottom"/>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7"/>
              </w:rPr>
              <w:t>25,900,226</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4"/>
        </w:trPr>
        <w:tc>
          <w:tcPr>
            <w:tcW w:w="5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6,716,617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4,708,939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19,835,758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15,797,249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D6F3E8"/>
          </w:tcPr>
          <w:p>
            <w:pPr>
              <w:spacing w:after="0"/>
              <w:rPr>
                <w:sz w:val="20"/>
                <w:szCs w:val="20"/>
                <w:color w:val="auto"/>
              </w:rPr>
            </w:pPr>
            <w:r>
              <w:rPr>
                <w:rFonts w:ascii="Arial" w:cs="Arial" w:eastAsia="Arial" w:hAnsi="Arial"/>
                <w:sz w:val="18"/>
                <w:szCs w:val="18"/>
                <w:color w:val="auto"/>
              </w:rPr>
              <w:t>Litigation settlement (Note 6)</w:t>
            </w:r>
          </w:p>
        </w:tc>
        <w:tc>
          <w:tcPr>
            <w:tcW w:w="24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(1,015,826)</w:t>
            </w:r>
          </w:p>
        </w:tc>
        <w:tc>
          <w:tcPr>
            <w:tcW w:w="0" w:type="dxa"/>
            <w:vAlign w:val="bottom"/>
          </w:tcPr>
          <w:p>
            <w:pPr>
              <w:spacing w:after="0"/>
              <w:rPr>
                <w:sz w:val="1"/>
                <w:szCs w:val="1"/>
                <w:color w:val="auto"/>
              </w:rPr>
            </w:pPr>
          </w:p>
        </w:tc>
      </w:tr>
      <w:tr>
        <w:trPr>
          <w:trHeight w:val="438"/>
        </w:trPr>
        <w:tc>
          <w:tcPr>
            <w:tcW w:w="54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274,589</w:t>
            </w: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2,510,676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9,155,180</w:t>
            </w: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11,118,803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D6F3E8"/>
          </w:tcPr>
          <w:p>
            <w:pPr>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auto"/>
            </w:tcBorders>
            <w:shd w:val="clear" w:color="auto" w:fill="D6F3E8"/>
          </w:tcPr>
          <w:p>
            <w:pPr>
              <w:spacing w:after="0"/>
              <w:rPr>
                <w:sz w:val="22"/>
                <w:szCs w:val="22"/>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359,184</w:t>
            </w:r>
          </w:p>
        </w:tc>
        <w:tc>
          <w:tcPr>
            <w:tcW w:w="200" w:type="dxa"/>
            <w:vAlign w:val="bottom"/>
            <w:shd w:val="clear" w:color="auto" w:fill="D6F3E8"/>
          </w:tcPr>
          <w:p>
            <w:pPr>
              <w:spacing w:after="0"/>
              <w:rPr>
                <w:sz w:val="22"/>
                <w:szCs w:val="22"/>
                <w:color w:val="auto"/>
              </w:rPr>
            </w:pPr>
          </w:p>
        </w:tc>
        <w:tc>
          <w:tcPr>
            <w:tcW w:w="400" w:type="dxa"/>
            <w:vAlign w:val="bottom"/>
            <w:tcBorders>
              <w:bottom w:val="single" w:sz="8" w:color="auto"/>
            </w:tcBorders>
            <w:shd w:val="clear" w:color="auto" w:fill="D6F3E8"/>
          </w:tcPr>
          <w:p>
            <w:pPr>
              <w:spacing w:after="0"/>
              <w:rPr>
                <w:sz w:val="22"/>
                <w:szCs w:val="22"/>
                <w:color w:val="auto"/>
              </w:rPr>
            </w:pPr>
          </w:p>
        </w:tc>
        <w:tc>
          <w:tcPr>
            <w:tcW w:w="8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242,488</w:t>
            </w: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260" w:type="dxa"/>
            <w:vAlign w:val="bottom"/>
            <w:tcBorders>
              <w:bottom w:val="single" w:sz="8" w:color="auto"/>
            </w:tcBorders>
            <w:shd w:val="clear" w:color="auto" w:fill="D6F3E8"/>
          </w:tcPr>
          <w:p>
            <w:pPr>
              <w:spacing w:after="0"/>
              <w:rPr>
                <w:sz w:val="22"/>
                <w:szCs w:val="22"/>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1,008,188</w:t>
            </w:r>
          </w:p>
        </w:tc>
        <w:tc>
          <w:tcPr>
            <w:tcW w:w="220" w:type="dxa"/>
            <w:vAlign w:val="bottom"/>
            <w:shd w:val="clear" w:color="auto" w:fill="D6F3E8"/>
          </w:tcPr>
          <w:p>
            <w:pPr>
              <w:spacing w:after="0"/>
              <w:rPr>
                <w:sz w:val="22"/>
                <w:szCs w:val="22"/>
                <w:color w:val="auto"/>
              </w:rPr>
            </w:pPr>
          </w:p>
        </w:tc>
        <w:tc>
          <w:tcPr>
            <w:tcW w:w="400" w:type="dxa"/>
            <w:vAlign w:val="bottom"/>
            <w:tcBorders>
              <w:bottom w:val="single" w:sz="8" w:color="auto"/>
            </w:tcBorders>
            <w:shd w:val="clear" w:color="auto" w:fill="D6F3E8"/>
          </w:tcPr>
          <w:p>
            <w:pPr>
              <w:spacing w:after="0"/>
              <w:rPr>
                <w:sz w:val="22"/>
                <w:szCs w:val="22"/>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619,366</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5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633,773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2,753,164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10,163,368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11,738,169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D6F3E8"/>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D6F3E8"/>
          </w:tcPr>
          <w:p>
            <w:pPr>
              <w:spacing w:after="0"/>
              <w:rPr>
                <w:sz w:val="22"/>
                <w:szCs w:val="22"/>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319,500</w:t>
            </w:r>
          </w:p>
        </w:tc>
        <w:tc>
          <w:tcPr>
            <w:tcW w:w="200" w:type="dxa"/>
            <w:vAlign w:val="bottom"/>
            <w:shd w:val="clear" w:color="auto" w:fill="D6F3E8"/>
          </w:tcPr>
          <w:p>
            <w:pPr>
              <w:spacing w:after="0"/>
              <w:rPr>
                <w:sz w:val="22"/>
                <w:szCs w:val="22"/>
                <w:color w:val="auto"/>
              </w:rPr>
            </w:pPr>
          </w:p>
        </w:tc>
        <w:tc>
          <w:tcPr>
            <w:tcW w:w="400" w:type="dxa"/>
            <w:vAlign w:val="bottom"/>
            <w:tcBorders>
              <w:bottom w:val="single" w:sz="8" w:color="auto"/>
            </w:tcBorders>
            <w:shd w:val="clear" w:color="auto" w:fill="D6F3E8"/>
          </w:tcPr>
          <w:p>
            <w:pPr>
              <w:spacing w:after="0"/>
              <w:rPr>
                <w:sz w:val="22"/>
                <w:szCs w:val="22"/>
                <w:color w:val="auto"/>
              </w:rPr>
            </w:pPr>
          </w:p>
        </w:tc>
        <w:tc>
          <w:tcPr>
            <w:tcW w:w="8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925,900</w:t>
            </w: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260" w:type="dxa"/>
            <w:vAlign w:val="bottom"/>
            <w:tcBorders>
              <w:bottom w:val="single" w:sz="8" w:color="auto"/>
            </w:tcBorders>
            <w:shd w:val="clear" w:color="auto" w:fill="D6F3E8"/>
          </w:tcPr>
          <w:p>
            <w:pPr>
              <w:spacing w:after="0"/>
              <w:rPr>
                <w:sz w:val="22"/>
                <w:szCs w:val="22"/>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3,903,000</w:t>
            </w:r>
          </w:p>
        </w:tc>
        <w:tc>
          <w:tcPr>
            <w:tcW w:w="220" w:type="dxa"/>
            <w:vAlign w:val="bottom"/>
            <w:shd w:val="clear" w:color="auto" w:fill="D6F3E8"/>
          </w:tcPr>
          <w:p>
            <w:pPr>
              <w:spacing w:after="0"/>
              <w:rPr>
                <w:sz w:val="22"/>
                <w:szCs w:val="22"/>
                <w:color w:val="auto"/>
              </w:rPr>
            </w:pPr>
          </w:p>
        </w:tc>
        <w:tc>
          <w:tcPr>
            <w:tcW w:w="400" w:type="dxa"/>
            <w:vAlign w:val="bottom"/>
            <w:tcBorders>
              <w:bottom w:val="single" w:sz="8" w:color="auto"/>
            </w:tcBorders>
            <w:shd w:val="clear" w:color="auto" w:fill="D6F3E8"/>
          </w:tcPr>
          <w:p>
            <w:pPr>
              <w:spacing w:after="0"/>
              <w:rPr>
                <w:sz w:val="22"/>
                <w:szCs w:val="22"/>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4,160,500</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314,273</w:t>
            </w:r>
          </w:p>
        </w:tc>
        <w:tc>
          <w:tcPr>
            <w:tcW w:w="20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1,827,264</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6,260,368</w:t>
            </w:r>
          </w:p>
        </w:tc>
        <w:tc>
          <w:tcPr>
            <w:tcW w:w="22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7,577,669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4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10,171,496</w:t>
            </w:r>
          </w:p>
        </w:tc>
        <w:tc>
          <w:tcPr>
            <w:tcW w:w="200" w:type="dxa"/>
            <w:vAlign w:val="bottom"/>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9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88"/>
              </w:rPr>
              <w:t>10,182,144</w:t>
            </w:r>
          </w:p>
        </w:tc>
        <w:tc>
          <w:tcPr>
            <w:tcW w:w="10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10,171,496</w:t>
            </w:r>
          </w:p>
        </w:tc>
        <w:tc>
          <w:tcPr>
            <w:tcW w:w="220" w:type="dxa"/>
            <w:vAlign w:val="bottom"/>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7"/>
              </w:rPr>
              <w:t>10,208,563</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5420" w:type="dxa"/>
            <w:vAlign w:val="bottom"/>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10,171,715</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10,182,144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10,171,570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10,225,477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Earnings per share – basic and diluted</w:t>
            </w:r>
          </w:p>
        </w:tc>
        <w:tc>
          <w:tcPr>
            <w:tcW w:w="240" w:type="dxa"/>
            <w:vAlign w:val="bottom"/>
            <w:tcBorders>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D6F3E8"/>
            </w:tcBorders>
            <w:shd w:val="clear" w:color="auto" w:fill="D6F3E8"/>
          </w:tcPr>
          <w:p>
            <w:pPr>
              <w:spacing w:after="0"/>
              <w:rPr>
                <w:sz w:val="22"/>
                <w:szCs w:val="22"/>
                <w:color w:val="auto"/>
              </w:rPr>
            </w:pPr>
          </w:p>
        </w:tc>
        <w:tc>
          <w:tcPr>
            <w:tcW w:w="400" w:type="dxa"/>
            <w:vAlign w:val="bottom"/>
            <w:tcBorders>
              <w:bottom w:val="single" w:sz="8" w:color="auto"/>
            </w:tcBorders>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D6F3E8"/>
            </w:tcBorders>
            <w:shd w:val="clear" w:color="auto" w:fill="D6F3E8"/>
          </w:tcPr>
          <w:p>
            <w:pPr>
              <w:spacing w:after="0"/>
              <w:rPr>
                <w:sz w:val="22"/>
                <w:szCs w:val="22"/>
                <w:color w:val="auto"/>
              </w:rPr>
            </w:pPr>
          </w:p>
        </w:tc>
        <w:tc>
          <w:tcPr>
            <w:tcW w:w="100" w:type="dxa"/>
            <w:vAlign w:val="bottom"/>
            <w:tcBorders>
              <w:bottom w:val="single" w:sz="8" w:color="D6F3E8"/>
            </w:tcBorders>
            <w:shd w:val="clear" w:color="auto" w:fill="D6F3E8"/>
          </w:tcPr>
          <w:p>
            <w:pPr>
              <w:spacing w:after="0"/>
              <w:rPr>
                <w:sz w:val="22"/>
                <w:szCs w:val="22"/>
                <w:color w:val="auto"/>
              </w:rPr>
            </w:pPr>
          </w:p>
        </w:tc>
        <w:tc>
          <w:tcPr>
            <w:tcW w:w="260" w:type="dxa"/>
            <w:vAlign w:val="bottom"/>
            <w:tcBorders>
              <w:bottom w:val="single" w:sz="8" w:color="auto"/>
            </w:tcBorders>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0.62</w:t>
            </w:r>
          </w:p>
        </w:tc>
        <w:tc>
          <w:tcPr>
            <w:tcW w:w="220" w:type="dxa"/>
            <w:vAlign w:val="bottom"/>
            <w:tcBorders>
              <w:bottom w:val="single" w:sz="8" w:color="D6F3E8"/>
            </w:tcBorders>
            <w:shd w:val="clear" w:color="auto" w:fill="D6F3E8"/>
          </w:tcPr>
          <w:p>
            <w:pPr>
              <w:spacing w:after="0"/>
              <w:rPr>
                <w:sz w:val="22"/>
                <w:szCs w:val="22"/>
                <w:color w:val="auto"/>
              </w:rPr>
            </w:pPr>
          </w:p>
        </w:tc>
        <w:tc>
          <w:tcPr>
            <w:tcW w:w="400" w:type="dxa"/>
            <w:vAlign w:val="bottom"/>
            <w:tcBorders>
              <w:bottom w:val="single" w:sz="8" w:color="auto"/>
            </w:tcBorders>
            <w:shd w:val="clear" w:color="auto" w:fill="D6F3E8"/>
          </w:tcPr>
          <w:p>
            <w:pPr>
              <w:jc w:val="right"/>
              <w:ind w:right="24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0.74</w:t>
            </w:r>
          </w:p>
        </w:tc>
        <w:tc>
          <w:tcPr>
            <w:tcW w:w="22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20" w:type="dxa"/>
            <w:vAlign w:val="bottom"/>
            <w:vMerge w:val="continue"/>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0" w:lineRule="exact"/>
        <w:rPr>
          <w:sz w:val="20"/>
          <w:szCs w:val="20"/>
          <w:color w:val="auto"/>
        </w:rPr>
      </w:pPr>
    </w:p>
    <w:p>
      <w:pPr>
        <w:spacing w:after="0" w:line="23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-7620</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380"/>
          </w:cols>
          <w:pgMar w:left="240" w:top="320" w:right="279" w:bottom="0" w:gutter="0" w:footer="0" w:header="0"/>
          <w:type w:val="continuous"/>
        </w:sectPr>
      </w:pPr>
    </w:p>
    <w:bookmarkStart w:id="3" w:name="page4"/>
    <w:bookmarkEnd w:id="3"/>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6915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Reconciliation to cash flows:</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Depreciation and amortization</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6915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Restricted stock compensation expense</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Impairment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6915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Impairment of investments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Loss (gain) from property 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6915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Litigation settlement</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operating accounts (using) providing cash:</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6915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6915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6915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232" w:lineRule="exact"/>
        <w:rPr>
          <w:sz w:val="20"/>
          <w:szCs w:val="20"/>
          <w:color w:val="auto"/>
        </w:rPr>
      </w:pPr>
    </w:p>
    <w:p>
      <w:pPr>
        <w:jc w:val="center"/>
        <w:ind w:right="2720"/>
        <w:spacing w:after="0"/>
        <w:rPr>
          <w:sz w:val="20"/>
          <w:szCs w:val="20"/>
          <w:color w:val="auto"/>
        </w:rPr>
      </w:pPr>
      <w:r>
        <w:rPr>
          <w:rFonts w:ascii="Arial" w:cs="Arial" w:eastAsia="Arial" w:hAnsi="Arial"/>
          <w:sz w:val="18"/>
          <w:szCs w:val="18"/>
          <w:color w:val="auto"/>
        </w:rPr>
        <w:t>Net cash provided by operating activities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6915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Purchases of investments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Sale and maturities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6915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Proceeds from property disposals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Payments received on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6915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2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Net cash used in investing activities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6915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Net cash used in financing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6915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0" cy="16319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BEGINNING OF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691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DISCLOSURES OF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400" w:type="dxa"/>
            <w:vAlign w:val="bottom"/>
          </w:tcPr>
          <w:p>
            <w:pPr>
              <w:spacing w:after="0"/>
              <w:rPr>
                <w:sz w:val="17"/>
                <w:szCs w:val="17"/>
                <w:color w:val="auto"/>
              </w:rPr>
            </w:pPr>
          </w:p>
        </w:tc>
        <w:tc>
          <w:tcPr>
            <w:tcW w:w="232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(UNAUDITED)</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8"/>
        </w:trPr>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6,260,368</w:t>
            </w:r>
          </w:p>
        </w:tc>
        <w:tc>
          <w:tcPr>
            <w:tcW w:w="540" w:type="dxa"/>
            <w:vAlign w:val="bottom"/>
          </w:tcPr>
          <w:p>
            <w:pPr>
              <w:spacing w:after="0"/>
              <w:rPr>
                <w:sz w:val="24"/>
                <w:szCs w:val="24"/>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7,577,669</w:t>
            </w:r>
          </w:p>
        </w:tc>
        <w:tc>
          <w:tcPr>
            <w:tcW w:w="40" w:type="dxa"/>
            <w:vAlign w:val="bottom"/>
          </w:tcPr>
          <w:p>
            <w:pPr>
              <w:spacing w:after="0"/>
              <w:rPr>
                <w:sz w:val="24"/>
                <w:szCs w:val="24"/>
                <w:color w:val="auto"/>
              </w:rPr>
            </w:pPr>
          </w:p>
        </w:tc>
      </w:tr>
      <w:tr>
        <w:trPr>
          <w:trHeight w:val="473"/>
        </w:trPr>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3,093,781</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2,655,474</w:t>
            </w:r>
          </w:p>
        </w:tc>
        <w:tc>
          <w:tcPr>
            <w:tcW w:w="40" w:type="dxa"/>
            <w:vAlign w:val="bottom"/>
          </w:tcPr>
          <w:p>
            <w:pPr>
              <w:spacing w:after="0"/>
              <w:rPr>
                <w:sz w:val="24"/>
                <w:szCs w:val="24"/>
                <w:color w:val="auto"/>
              </w:rPr>
            </w:pPr>
          </w:p>
        </w:tc>
      </w:tr>
      <w:tr>
        <w:trPr>
          <w:trHeight w:val="257"/>
        </w:trPr>
        <w:tc>
          <w:tcPr>
            <w:tcW w:w="400" w:type="dxa"/>
            <w:vAlign w:val="bottom"/>
          </w:tcPr>
          <w:p>
            <w:pPr>
              <w:spacing w:after="0"/>
              <w:rPr>
                <w:sz w:val="22"/>
                <w:szCs w:val="22"/>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(111,000)</w:t>
            </w:r>
          </w:p>
        </w:tc>
        <w:tc>
          <w:tcPr>
            <w:tcW w:w="46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(427,183)</w:t>
            </w:r>
          </w:p>
        </w:tc>
      </w:tr>
      <w:tr>
        <w:trPr>
          <w:trHeight w:val="257"/>
        </w:trPr>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26,570</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198,702</w:t>
            </w:r>
          </w:p>
        </w:tc>
        <w:tc>
          <w:tcPr>
            <w:tcW w:w="40" w:type="dxa"/>
            <w:vAlign w:val="bottom"/>
          </w:tcPr>
          <w:p>
            <w:pPr>
              <w:spacing w:after="0"/>
              <w:rPr>
                <w:sz w:val="22"/>
                <w:szCs w:val="22"/>
                <w:color w:val="auto"/>
              </w:rPr>
            </w:pPr>
          </w:p>
        </w:tc>
      </w:tr>
      <w:tr>
        <w:trPr>
          <w:trHeight w:val="257"/>
        </w:trPr>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176,000</w:t>
            </w:r>
          </w:p>
        </w:tc>
        <w:tc>
          <w:tcPr>
            <w:tcW w:w="40" w:type="dxa"/>
            <w:vAlign w:val="bottom"/>
          </w:tcPr>
          <w:p>
            <w:pPr>
              <w:spacing w:after="0"/>
              <w:rPr>
                <w:sz w:val="22"/>
                <w:szCs w:val="22"/>
                <w:color w:val="auto"/>
              </w:rPr>
            </w:pPr>
          </w:p>
        </w:tc>
      </w:tr>
      <w:tr>
        <w:trPr>
          <w:trHeight w:val="257"/>
        </w:trPr>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30,595</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242,454</w:t>
            </w:r>
          </w:p>
        </w:tc>
        <w:tc>
          <w:tcPr>
            <w:tcW w:w="40" w:type="dxa"/>
            <w:vAlign w:val="bottom"/>
          </w:tcPr>
          <w:p>
            <w:pPr>
              <w:spacing w:after="0"/>
              <w:rPr>
                <w:sz w:val="22"/>
                <w:szCs w:val="22"/>
                <w:color w:val="auto"/>
              </w:rPr>
            </w:pPr>
          </w:p>
        </w:tc>
      </w:tr>
      <w:tr>
        <w:trPr>
          <w:trHeight w:val="257"/>
        </w:trPr>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170,259</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(106,026)</w:t>
            </w:r>
          </w:p>
        </w:tc>
      </w:tr>
      <w:tr>
        <w:trPr>
          <w:trHeight w:val="257"/>
        </w:trPr>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(1,015,826)</w:t>
            </w:r>
          </w:p>
        </w:tc>
      </w:tr>
      <w:tr>
        <w:trPr>
          <w:trHeight w:val="473"/>
        </w:trPr>
        <w:tc>
          <w:tcPr>
            <w:tcW w:w="400" w:type="dxa"/>
            <w:vAlign w:val="bottom"/>
          </w:tcPr>
          <w:p>
            <w:pPr>
              <w:spacing w:after="0"/>
              <w:rPr>
                <w:sz w:val="24"/>
                <w:szCs w:val="24"/>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(1,766,304)</w:t>
            </w:r>
          </w:p>
        </w:tc>
        <w:tc>
          <w:tcPr>
            <w:tcW w:w="4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(1,433,500)</w:t>
            </w:r>
          </w:p>
        </w:tc>
      </w:tr>
      <w:tr>
        <w:trPr>
          <w:trHeight w:val="257"/>
        </w:trPr>
        <w:tc>
          <w:tcPr>
            <w:tcW w:w="400" w:type="dxa"/>
            <w:vAlign w:val="bottom"/>
          </w:tcPr>
          <w:p>
            <w:pPr>
              <w:spacing w:after="0"/>
              <w:rPr>
                <w:sz w:val="22"/>
                <w:szCs w:val="22"/>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(2,077,483)</w:t>
            </w:r>
          </w:p>
        </w:tc>
        <w:tc>
          <w:tcPr>
            <w:tcW w:w="46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(5,064,799)</w:t>
            </w:r>
          </w:p>
        </w:tc>
      </w:tr>
      <w:tr>
        <w:trPr>
          <w:trHeight w:val="257"/>
        </w:trPr>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3,262,164</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1,972,452</w:t>
            </w:r>
          </w:p>
        </w:tc>
        <w:tc>
          <w:tcPr>
            <w:tcW w:w="40" w:type="dxa"/>
            <w:vAlign w:val="bottom"/>
          </w:tcPr>
          <w:p>
            <w:pPr>
              <w:spacing w:after="0"/>
              <w:rPr>
                <w:sz w:val="22"/>
                <w:szCs w:val="22"/>
                <w:color w:val="auto"/>
              </w:rPr>
            </w:pPr>
          </w:p>
        </w:tc>
      </w:tr>
      <w:tr>
        <w:trPr>
          <w:trHeight w:val="257"/>
        </w:trPr>
        <w:tc>
          <w:tcPr>
            <w:tcW w:w="400" w:type="dxa"/>
            <w:vAlign w:val="bottom"/>
          </w:tcPr>
          <w:p>
            <w:pPr>
              <w:spacing w:after="0"/>
              <w:rPr>
                <w:sz w:val="22"/>
                <w:szCs w:val="22"/>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(253,371)</w:t>
            </w:r>
          </w:p>
        </w:tc>
        <w:tc>
          <w:tcPr>
            <w:tcW w:w="46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(499,101)</w:t>
            </w:r>
          </w:p>
        </w:tc>
      </w:tr>
      <w:tr>
        <w:trPr>
          <w:trHeight w:val="258"/>
        </w:trPr>
        <w:tc>
          <w:tcPr>
            <w:tcW w:w="400" w:type="dxa"/>
            <w:vAlign w:val="bottom"/>
          </w:tcPr>
          <w:p>
            <w:pPr>
              <w:spacing w:after="0"/>
              <w:rPr>
                <w:sz w:val="22"/>
                <w:szCs w:val="22"/>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(1,076,729)</w:t>
            </w:r>
          </w:p>
        </w:tc>
        <w:tc>
          <w:tcPr>
            <w:tcW w:w="4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51,350</w:t>
            </w:r>
          </w:p>
        </w:tc>
        <w:tc>
          <w:tcPr>
            <w:tcW w:w="40" w:type="dxa"/>
            <w:vAlign w:val="bottom"/>
          </w:tcPr>
          <w:p>
            <w:pPr>
              <w:spacing w:after="0"/>
              <w:rPr>
                <w:sz w:val="22"/>
                <w:szCs w:val="22"/>
                <w:color w:val="auto"/>
              </w:rPr>
            </w:pPr>
          </w:p>
        </w:tc>
      </w:tr>
      <w:tr>
        <w:trPr>
          <w:trHeight w:val="438"/>
        </w:trPr>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7,558,850</w:t>
            </w:r>
          </w:p>
        </w:tc>
        <w:tc>
          <w:tcPr>
            <w:tcW w:w="5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4,327,666</w:t>
            </w:r>
          </w:p>
        </w:tc>
        <w:tc>
          <w:tcPr>
            <w:tcW w:w="40" w:type="dxa"/>
            <w:vAlign w:val="bottom"/>
          </w:tcPr>
          <w:p>
            <w:pPr>
              <w:spacing w:after="0"/>
              <w:rPr>
                <w:sz w:val="24"/>
                <w:szCs w:val="24"/>
                <w:color w:val="auto"/>
              </w:rPr>
            </w:pPr>
          </w:p>
        </w:tc>
      </w:tr>
      <w:tr>
        <w:trPr>
          <w:trHeight w:val="662"/>
        </w:trPr>
        <w:tc>
          <w:tcPr>
            <w:tcW w:w="400" w:type="dxa"/>
            <w:vAlign w:val="bottom"/>
          </w:tcPr>
          <w:p>
            <w:pPr>
              <w:spacing w:after="0"/>
              <w:rPr>
                <w:sz w:val="24"/>
                <w:szCs w:val="24"/>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(3,938,000)</w:t>
            </w:r>
          </w:p>
        </w:tc>
        <w:tc>
          <w:tcPr>
            <w:tcW w:w="4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(5,464,673)</w:t>
            </w:r>
          </w:p>
        </w:tc>
      </w:tr>
      <w:tr>
        <w:trPr>
          <w:trHeight w:val="257"/>
        </w:trPr>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(2,082,381)</w:t>
            </w:r>
          </w:p>
        </w:tc>
      </w:tr>
      <w:tr>
        <w:trPr>
          <w:trHeight w:val="257"/>
        </w:trPr>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2,132,610</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4,020,535</w:t>
            </w:r>
          </w:p>
        </w:tc>
        <w:tc>
          <w:tcPr>
            <w:tcW w:w="40" w:type="dxa"/>
            <w:vAlign w:val="bottom"/>
          </w:tcPr>
          <w:p>
            <w:pPr>
              <w:spacing w:after="0"/>
              <w:rPr>
                <w:sz w:val="22"/>
                <w:szCs w:val="22"/>
                <w:color w:val="auto"/>
              </w:rPr>
            </w:pPr>
          </w:p>
        </w:tc>
      </w:tr>
      <w:tr>
        <w:trPr>
          <w:trHeight w:val="257"/>
        </w:trPr>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81,104</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228,394</w:t>
            </w:r>
          </w:p>
        </w:tc>
        <w:tc>
          <w:tcPr>
            <w:tcW w:w="40" w:type="dxa"/>
            <w:vAlign w:val="bottom"/>
          </w:tcPr>
          <w:p>
            <w:pPr>
              <w:spacing w:after="0"/>
              <w:rPr>
                <w:sz w:val="22"/>
                <w:szCs w:val="22"/>
                <w:color w:val="auto"/>
              </w:rPr>
            </w:pPr>
          </w:p>
        </w:tc>
      </w:tr>
      <w:tr>
        <w:trPr>
          <w:trHeight w:val="258"/>
        </w:trPr>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134,904</w:t>
            </w:r>
          </w:p>
        </w:tc>
        <w:tc>
          <w:tcPr>
            <w:tcW w:w="5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116,673</w:t>
            </w:r>
          </w:p>
        </w:tc>
        <w:tc>
          <w:tcPr>
            <w:tcW w:w="40" w:type="dxa"/>
            <w:vAlign w:val="bottom"/>
          </w:tcPr>
          <w:p>
            <w:pPr>
              <w:spacing w:after="0"/>
              <w:rPr>
                <w:sz w:val="22"/>
                <w:szCs w:val="22"/>
                <w:color w:val="auto"/>
              </w:rPr>
            </w:pPr>
          </w:p>
        </w:tc>
      </w:tr>
      <w:tr>
        <w:trPr>
          <w:trHeight w:val="438"/>
        </w:trPr>
        <w:tc>
          <w:tcPr>
            <w:tcW w:w="400" w:type="dxa"/>
            <w:vAlign w:val="bottom"/>
          </w:tcPr>
          <w:p>
            <w:pPr>
              <w:spacing w:after="0"/>
              <w:rPr>
                <w:sz w:val="24"/>
                <w:szCs w:val="24"/>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(1,589,382)</w:t>
            </w:r>
          </w:p>
        </w:tc>
        <w:tc>
          <w:tcPr>
            <w:tcW w:w="4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(3,181,452)</w:t>
            </w:r>
          </w:p>
        </w:tc>
      </w:tr>
      <w:tr>
        <w:trPr>
          <w:trHeight w:val="663"/>
        </w:trPr>
        <w:tc>
          <w:tcPr>
            <w:tcW w:w="400" w:type="dxa"/>
            <w:vAlign w:val="bottom"/>
          </w:tcPr>
          <w:p>
            <w:pPr>
              <w:spacing w:after="0"/>
              <w:rPr>
                <w:sz w:val="24"/>
                <w:szCs w:val="24"/>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(4,274,340)</w:t>
            </w:r>
          </w:p>
        </w:tc>
        <w:tc>
          <w:tcPr>
            <w:tcW w:w="4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(3,890,417)</w:t>
            </w:r>
          </w:p>
        </w:tc>
      </w:tr>
      <w:tr>
        <w:trPr>
          <w:trHeight w:val="20"/>
        </w:trPr>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(4,274,340)</w:t>
            </w:r>
          </w:p>
        </w:tc>
        <w:tc>
          <w:tcPr>
            <w:tcW w:w="4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(3,890,417)</w:t>
            </w:r>
          </w:p>
        </w:tc>
      </w:tr>
      <w:tr>
        <w:trPr>
          <w:trHeight w:val="20"/>
        </w:trPr>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8"/>
        </w:trPr>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1,695,128</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(2,744,203)</w:t>
            </w:r>
          </w:p>
        </w:tc>
      </w:tr>
      <w:tr>
        <w:trPr>
          <w:trHeight w:val="447"/>
        </w:trPr>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6,330,004</w:t>
            </w:r>
          </w:p>
        </w:tc>
        <w:tc>
          <w:tcPr>
            <w:tcW w:w="5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4,564,790</w:t>
            </w:r>
          </w:p>
        </w:tc>
        <w:tc>
          <w:tcPr>
            <w:tcW w:w="40" w:type="dxa"/>
            <w:vAlign w:val="bottom"/>
          </w:tcPr>
          <w:p>
            <w:pPr>
              <w:spacing w:after="0"/>
              <w:rPr>
                <w:sz w:val="24"/>
                <w:szCs w:val="24"/>
                <w:color w:val="auto"/>
              </w:rPr>
            </w:pPr>
          </w:p>
        </w:tc>
      </w:tr>
      <w:tr>
        <w:trPr>
          <w:trHeight w:val="439"/>
        </w:trPr>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8,025,132</w:t>
            </w:r>
          </w:p>
        </w:tc>
        <w:tc>
          <w:tcPr>
            <w:tcW w:w="540" w:type="dxa"/>
            <w:vAlign w:val="bottom"/>
          </w:tcPr>
          <w:p>
            <w:pPr>
              <w:spacing w:after="0"/>
              <w:rPr>
                <w:sz w:val="24"/>
                <w:szCs w:val="24"/>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1,820,587</w:t>
            </w:r>
          </w:p>
        </w:tc>
        <w:tc>
          <w:tcPr>
            <w:tcW w:w="40" w:type="dxa"/>
            <w:vAlign w:val="bottom"/>
          </w:tcPr>
          <w:p>
            <w:pPr>
              <w:spacing w:after="0"/>
              <w:rPr>
                <w:sz w:val="24"/>
                <w:szCs w:val="24"/>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-6045200</wp:posOffset>
            </wp:positionV>
            <wp:extent cx="25298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6380" w:space="720"/>
            <w:col w:w="4260"/>
          </w:cols>
          <w:pgMar w:left="240" w:top="194" w:right="299" w:bottom="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18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24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4,446,781</w:t>
            </w:r>
          </w:p>
        </w:tc>
        <w:tc>
          <w:tcPr>
            <w:tcW w:w="8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4,140,626</w:t>
            </w:r>
          </w:p>
        </w:tc>
      </w:tr>
      <w:tr>
        <w:trPr>
          <w:trHeight w:val="406"/>
        </w:trPr>
        <w:tc>
          <w:tcPr>
            <w:tcW w:w="5180" w:type="dxa"/>
            <w:vAlign w:val="bottom"/>
          </w:tcPr>
          <w:p>
            <w:pPr>
              <w:ind w:left="260"/>
              <w:spacing w:after="0"/>
              <w:rPr>
                <w:sz w:val="20"/>
                <w:szCs w:val="20"/>
                <w:color w:val="auto"/>
              </w:rPr>
            </w:pPr>
            <w:r>
              <w:rPr>
                <w:rFonts w:ascii="Arial" w:cs="Arial" w:eastAsia="Arial" w:hAnsi="Arial"/>
                <w:sz w:val="18"/>
                <w:szCs w:val="18"/>
                <w:color w:val="auto"/>
              </w:rPr>
              <w:t>Noncash investing activities-</w:t>
            </w:r>
          </w:p>
        </w:tc>
        <w:tc>
          <w:tcPr>
            <w:tcW w:w="2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5180" w:type="dxa"/>
            <w:vAlign w:val="bottom"/>
            <w:shd w:val="clear" w:color="auto" w:fill="D6F3E8"/>
          </w:tcPr>
          <w:p>
            <w:pPr>
              <w:ind w:left="400"/>
              <w:spacing w:after="0"/>
              <w:rPr>
                <w:sz w:val="20"/>
                <w:szCs w:val="20"/>
                <w:color w:val="auto"/>
              </w:rPr>
            </w:pPr>
            <w:r>
              <w:rPr>
                <w:rFonts w:ascii="Arial" w:cs="Arial" w:eastAsia="Arial" w:hAnsi="Arial"/>
                <w:sz w:val="18"/>
                <w:szCs w:val="18"/>
                <w:color w:val="auto"/>
              </w:rPr>
              <w:t>Capital expenditures in accounts payable</w:t>
            </w:r>
          </w:p>
        </w:tc>
        <w:tc>
          <w:tcPr>
            <w:tcW w:w="2460" w:type="dxa"/>
            <w:vAlign w:val="bottom"/>
            <w:shd w:val="clear" w:color="auto" w:fill="D6F3E8"/>
          </w:tcPr>
          <w:p>
            <w:pPr>
              <w:jc w:val="right"/>
              <w:ind w:right="372"/>
              <w:spacing w:after="0"/>
              <w:rPr>
                <w:sz w:val="20"/>
                <w:szCs w:val="20"/>
                <w:color w:val="auto"/>
              </w:rPr>
            </w:pPr>
            <w:r>
              <w:rPr>
                <w:rFonts w:ascii="Arial" w:cs="Arial" w:eastAsia="Arial" w:hAnsi="Arial"/>
                <w:sz w:val="18"/>
                <w:szCs w:val="18"/>
                <w:color w:val="auto"/>
              </w:rPr>
              <w:t>$</w:t>
            </w:r>
          </w:p>
        </w:tc>
        <w:tc>
          <w:tcPr>
            <w:tcW w:w="146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rPr>
              <w:t>238,335</w:t>
            </w:r>
          </w:p>
        </w:tc>
        <w:tc>
          <w:tcPr>
            <w:tcW w:w="820" w:type="dxa"/>
            <w:vAlign w:val="bottom"/>
            <w:shd w:val="clear" w:color="auto" w:fill="D6F3E8"/>
          </w:tcPr>
          <w:p>
            <w:pPr>
              <w:jc w:val="right"/>
              <w:ind w:right="3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558,803</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54" w:lineRule="exact"/>
        <w:rPr>
          <w:sz w:val="20"/>
          <w:szCs w:val="20"/>
          <w:color w:val="auto"/>
        </w:rPr>
      </w:pPr>
    </w:p>
    <w:p>
      <w:pPr>
        <w:ind w:left="340" w:hanging="332"/>
        <w:spacing w:after="0" w:line="29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April 2, 2006,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74" w:lineRule="exact"/>
        <w:rPr>
          <w:sz w:val="20"/>
          <w:szCs w:val="20"/>
          <w:color w:val="auto"/>
        </w:rPr>
      </w:pPr>
    </w:p>
    <w:p>
      <w:pPr>
        <w:ind w:left="380" w:right="100"/>
        <w:spacing w:after="0" w:line="268" w:lineRule="auto"/>
        <w:rPr>
          <w:sz w:val="20"/>
          <w:szCs w:val="20"/>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April 2, 2006 filed with the Commission on June 16, 2006.</w:t>
      </w:r>
    </w:p>
    <w:p>
      <w:pPr>
        <w:sectPr>
          <w:pgSz w:w="11900" w:h="16838" w:orient="portrait"/>
          <w:cols w:equalWidth="0" w:num="1">
            <w:col w:w="11360"/>
          </w:cols>
          <w:pgMar w:left="240" w:top="194" w:right="299" w:bottom="0" w:gutter="0" w:footer="0" w:header="0"/>
          <w:type w:val="continuous"/>
        </w:sectPr>
      </w:pPr>
    </w:p>
    <w:bookmarkStart w:id="4" w:name="page5"/>
    <w:bookmarkEnd w:id="4"/>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results of operations for the period ended December 31, 2006 are not necessarily indicative of the results that may be expected for the full year.</w:t>
      </w:r>
    </w:p>
    <w:p>
      <w:pPr>
        <w:spacing w:after="0" w:line="248" w:lineRule="exact"/>
        <w:rPr>
          <w:rFonts w:ascii="Arial" w:cs="Arial" w:eastAsia="Arial" w:hAnsi="Arial"/>
          <w:sz w:val="16"/>
          <w:szCs w:val="16"/>
          <w:color w:val="auto"/>
        </w:rPr>
      </w:pPr>
    </w:p>
    <w:p>
      <w:pPr>
        <w:ind w:left="340" w:right="60" w:hanging="332"/>
        <w:spacing w:after="0" w:line="26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$3,932,000 and $3,859,000 at December 31, 2006 and April 2, 2006, respectively. Inventory consists principally of finished goods.</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Comprehensive income and its components, net of tax, were as follows:</w:t>
      </w:r>
    </w:p>
    <w:p>
      <w:pPr>
        <w:spacing w:after="0" w:line="38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314,273</w:t>
            </w:r>
          </w:p>
        </w:tc>
        <w:tc>
          <w:tcPr>
            <w:tcW w:w="5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1,827,264</w:t>
            </w:r>
          </w:p>
        </w:tc>
        <w:tc>
          <w:tcPr>
            <w:tcW w:w="220" w:type="dxa"/>
            <w:vAlign w:val="bottom"/>
            <w:shd w:val="clear" w:color="auto" w:fill="D6F3E8"/>
          </w:tcPr>
          <w:p>
            <w:pPr>
              <w:spacing w:after="0"/>
              <w:rPr>
                <w:sz w:val="22"/>
                <w:szCs w:val="22"/>
                <w:color w:val="auto"/>
              </w:rPr>
            </w:pP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6,260,368</w:t>
            </w:r>
          </w:p>
        </w:tc>
        <w:tc>
          <w:tcPr>
            <w:tcW w:w="70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4"/>
              </w:rPr>
              <w:t>7,577,669</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Available-for-sale investments unrealized gain/(loss)</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(5,898)</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89,791</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78,624</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vMerge w:val="continue"/>
            <w:shd w:val="clear" w:color="auto" w:fill="D6F3E8"/>
          </w:tcPr>
          <w:p>
            <w:pPr>
              <w:spacing w:after="0"/>
              <w:rPr>
                <w:sz w:val="21"/>
                <w:szCs w:val="21"/>
                <w:color w:val="auto"/>
              </w:rPr>
            </w:pPr>
          </w:p>
        </w:tc>
        <w:tc>
          <w:tcPr>
            <w:tcW w:w="9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324,427</w:t>
            </w:r>
          </w:p>
        </w:tc>
        <w:tc>
          <w:tcPr>
            <w:tcW w:w="5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1,821,366</w:t>
            </w:r>
          </w:p>
        </w:tc>
        <w:tc>
          <w:tcPr>
            <w:tcW w:w="220" w:type="dxa"/>
            <w:vAlign w:val="bottom"/>
            <w:shd w:val="clear" w:color="auto" w:fill="D6F3E8"/>
          </w:tcPr>
          <w:p>
            <w:pPr>
              <w:spacing w:after="0"/>
              <w:rPr>
                <w:sz w:val="21"/>
                <w:szCs w:val="21"/>
                <w:color w:val="auto"/>
              </w:rPr>
            </w:pP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6,350,159</w:t>
            </w:r>
          </w:p>
        </w:tc>
        <w:tc>
          <w:tcPr>
            <w:tcW w:w="70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4"/>
              </w:rPr>
              <w:t>7,656,293</w:t>
            </w:r>
          </w:p>
        </w:tc>
        <w:tc>
          <w:tcPr>
            <w:tcW w:w="24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hanging="332"/>
        <w:spacing w:after="0" w:line="289"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June 2006, the Financial Accounting Standards Board (FASB) issued FASB Interpretation (FIN) No. 48, “Accounting for Uncertainty in Income Taxes - an interpretation of FASB Statement No. 109.” FIN No. 48 clarifies the accounting for uncertain tax positions in accordance with Statement of Financial Accounting Standards (SFAS) No. 109, “Accounting for Income Taxes.” The Company will be required to recognize in its financial statements the largest tax benefit of a tax position that is “more-likely-than-not” to be sustained on audit based solely on the technical merits of the position as of the reporting date. The term “more-likely-than-not” means a likelihood of more than 50 percent. FIN No. 48 also provides guidance on new disclosure requirements, reporting and accrual of interest and penalties, accounting in interim periods and transition. Only tax positions that meet the “more-likely-than-not” threshold at that date may be recognized. The cumulative effect of initially applying FIN No. 48 will be recognized as a change in accounting principle. The Company has begun an evaluation of the impact of applying this interpretation as of April 2, 2007, which will be the effective date of the interpretation for the Company.</w:t>
      </w:r>
    </w:p>
    <w:p>
      <w:pPr>
        <w:spacing w:after="0" w:line="172" w:lineRule="exact"/>
        <w:rPr>
          <w:sz w:val="20"/>
          <w:szCs w:val="20"/>
          <w:color w:val="auto"/>
        </w:rPr>
      </w:pPr>
    </w:p>
    <w:p>
      <w:pPr>
        <w:ind w:left="380" w:right="20"/>
        <w:spacing w:after="0" w:line="298" w:lineRule="auto"/>
        <w:rPr>
          <w:sz w:val="20"/>
          <w:szCs w:val="20"/>
          <w:color w:val="auto"/>
        </w:rPr>
      </w:pPr>
      <w:r>
        <w:rPr>
          <w:rFonts w:ascii="Arial" w:cs="Arial" w:eastAsia="Arial" w:hAnsi="Arial"/>
          <w:sz w:val="16"/>
          <w:szCs w:val="16"/>
          <w:color w:val="auto"/>
        </w:rPr>
        <w:t>In September 2006, the FASB issued SFAS No. 158, “Employers’ Accounting for Defined Benefit Pension and Other Postretirement Plans.” SFAS No. 158 requires the recognition of the funded status of a defined benefit plan in the statement of financial position, requires that changes in the funded status be recognized through comprehensive income and expands disclosures. SFAS No. 158 is effective for the Company for the fiscal year ended April 1, 2007. The Company does not expect a material impact as a result of adopting SFAS No. 158 on its financial statements.</w:t>
      </w:r>
    </w:p>
    <w:p>
      <w:pPr>
        <w:spacing w:after="0" w:line="167"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In September 2006, the FASB issued SFAS No. 157, “Fair Value Measurements.” This statement establishes a consistent framework for measuring fair value and expands disclosures on fair value measurements. SFAS No. 157 is effective for the Company starting in fiscal 2009. The Company has not determined the impact, if any, the adoption of this statement will have on its financial statements.</w:t>
      </w:r>
    </w:p>
    <w:p>
      <w:pPr>
        <w:spacing w:after="0" w:line="194" w:lineRule="exact"/>
        <w:rPr>
          <w:sz w:val="20"/>
          <w:szCs w:val="20"/>
          <w:color w:val="auto"/>
        </w:rPr>
      </w:pPr>
    </w:p>
    <w:p>
      <w:pPr>
        <w:ind w:left="380" w:right="20"/>
        <w:spacing w:after="0" w:line="291" w:lineRule="auto"/>
        <w:rPr>
          <w:sz w:val="20"/>
          <w:szCs w:val="20"/>
          <w:color w:val="auto"/>
        </w:rPr>
      </w:pPr>
      <w:r>
        <w:rPr>
          <w:rFonts w:ascii="Arial" w:cs="Arial" w:eastAsia="Arial" w:hAnsi="Arial"/>
          <w:sz w:val="16"/>
          <w:szCs w:val="16"/>
          <w:color w:val="auto"/>
        </w:rPr>
        <w:t xml:space="preserve">In September 2006, the Commission issued Staff Accounting Bulletin No. 108, </w:t>
      </w:r>
      <w:r>
        <w:rPr>
          <w:rFonts w:ascii="Arial" w:cs="Arial" w:eastAsia="Arial" w:hAnsi="Arial"/>
          <w:sz w:val="16"/>
          <w:szCs w:val="16"/>
          <w:i w:val="1"/>
          <w:iCs w:val="1"/>
          <w:color w:val="auto"/>
        </w:rPr>
        <w:t>Considering the Effects of Prior Year Misstatements when Quantifying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Misstatements in Current Year Financial Statements </w:t>
      </w:r>
      <w:r>
        <w:rPr>
          <w:rFonts w:ascii="Arial" w:cs="Arial" w:eastAsia="Arial" w:hAnsi="Arial"/>
          <w:sz w:val="16"/>
          <w:szCs w:val="16"/>
          <w:color w:val="auto"/>
        </w:rPr>
        <w:t>(SAB 108), to address diversity in practice in quantifying financial statement misstatements. SAB 108</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that the Company quantify misstatements based on their impact on each of our consolidated financial statements and related disclosures. SAB 108 is effective as of the end of our 2007 fiscal year, allowing a one-time transitional cumulative effect adjustment to retained earnings as the beginning of the fiscal year for errors that were not previously deemed material, but are material under the guidance in SAB 108. The Company does not expect the impact of adopting SAB 108 to have a material impact on its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completed the acquisition of Universal Chemicals on May 26, 2000. As consideration for this acquisition the Company paid cash of</w:t>
      </w:r>
    </w:p>
    <w:p>
      <w:pPr>
        <w:spacing w:after="0" w:line="38" w:lineRule="exact"/>
        <w:rPr>
          <w:rFonts w:ascii="Arial" w:cs="Arial" w:eastAsia="Arial" w:hAnsi="Arial"/>
          <w:sz w:val="16"/>
          <w:szCs w:val="16"/>
          <w:color w:val="auto"/>
        </w:rPr>
      </w:pPr>
    </w:p>
    <w:p>
      <w:pPr>
        <w:ind w:left="340" w:right="40"/>
        <w:spacing w:after="0" w:line="286" w:lineRule="auto"/>
        <w:rPr>
          <w:rFonts w:ascii="Arial" w:cs="Arial" w:eastAsia="Arial" w:hAnsi="Arial"/>
          <w:sz w:val="16"/>
          <w:szCs w:val="16"/>
          <w:color w:val="auto"/>
        </w:rPr>
      </w:pPr>
      <w:r>
        <w:rPr>
          <w:rFonts w:ascii="Arial" w:cs="Arial" w:eastAsia="Arial" w:hAnsi="Arial"/>
          <w:sz w:val="16"/>
          <w:szCs w:val="16"/>
          <w:color w:val="auto"/>
        </w:rPr>
        <w:t>$2,700,000 and issued 75,358 shares of unregistered common stock valued at $600,000 to Universal Chemicals’ shareholders. The stock issued was not subject to any contingencies at the time of the acquisition. In the fourth quarter of fiscal 2004, the Company paid $3.0 million to resolve a personal injury lawsuit encaptioned Chavarria et al v. Hawkins, Inc., Panorama Compounding Pharmacy, and Valley Drug and Compounding, et al that arose from the alleged mislabeling of certain inventory the Company purchased in connection with its acquisition of St. Mary’s Chemicals, Inc. (d/b/a Universal Chemicals) in May 2000. The lawsuit alleged that the inventory was purchased in conjunction with the acquisition, however, subsequent information confirmed that the inventory was purchased from Universal Chemicals prior to the acquisition and was not related to assets purchased in the acquisition and accordingly was determined not to be an adjustment to the purchase price for Universal Chemicals.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178" w:lineRule="exact"/>
        <w:rPr>
          <w:sz w:val="20"/>
          <w:szCs w:val="20"/>
          <w:color w:val="auto"/>
        </w:rPr>
      </w:pPr>
    </w:p>
    <w:p>
      <w:pPr>
        <w:ind w:left="380"/>
        <w:spacing w:after="0" w:line="287" w:lineRule="auto"/>
        <w:rPr>
          <w:sz w:val="20"/>
          <w:szCs w:val="20"/>
          <w:color w:val="auto"/>
        </w:rPr>
      </w:pPr>
      <w:r>
        <w:rPr>
          <w:rFonts w:ascii="Arial" w:cs="Arial" w:eastAsia="Arial" w:hAnsi="Arial"/>
          <w:sz w:val="16"/>
          <w:szCs w:val="16"/>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required the defendants to surrender to the Company 75,358 shares of the Company’s common stock, which they received as consideration for the May 2000 acquisition. The 75,358 shares represent a partial reimbursement for the $3.0 million settlement paid by the Company in fiscal 2004. Both the original $3.0 million settlement paid by the Company and the settlement received from the Universal Chemicals shareholders were recorded within the litigation settlement line of the Statements of Income. The agreement also terminated the non-competition provisions of the Company’s agreements with the defendants, relieving the Company of the obligation to pay $500,000 to the defendants over the next five years as consideration for these provisions. The settlement agreement called for the parties to execute mutual releases and a stipulation of dismissal. Litigation settlement income of $1,015,826 was recorded in the Pharmaceutical segment during the quarter ended September 30, 2005 as the Company received the 75,358 shares and the executed final releases and stipulations.</w:t>
      </w:r>
    </w:p>
    <w:p>
      <w:pPr>
        <w:spacing w:after="0" w:line="177" w:lineRule="exact"/>
        <w:rPr>
          <w:sz w:val="20"/>
          <w:szCs w:val="20"/>
          <w:color w:val="auto"/>
        </w:rPr>
      </w:pPr>
    </w:p>
    <w:p>
      <w:pPr>
        <w:ind w:left="380" w:right="40"/>
        <w:spacing w:after="0" w:line="259" w:lineRule="auto"/>
        <w:rPr>
          <w:sz w:val="20"/>
          <w:szCs w:val="20"/>
          <w:color w:val="auto"/>
        </w:rPr>
      </w:pPr>
      <w:r>
        <w:rPr>
          <w:rFonts w:ascii="Arial" w:cs="Arial" w:eastAsia="Arial" w:hAnsi="Arial"/>
          <w:sz w:val="18"/>
          <w:szCs w:val="18"/>
          <w:color w:val="auto"/>
        </w:rPr>
        <w:t>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ectPr>
          <w:pgSz w:w="11900" w:h="16838" w:orient="portrait"/>
          <w:cols w:equalWidth="0" w:num="1">
            <w:col w:w="11420"/>
          </w:cols>
          <w:pgMar w:left="240" w:top="131" w:right="239" w:bottom="9" w:gutter="0" w:footer="0" w:header="0"/>
        </w:sectPr>
      </w:pPr>
    </w:p>
    <w:bookmarkStart w:id="5" w:name="page6"/>
    <w:bookmarkEnd w:id="5"/>
    <w:p>
      <w:pPr>
        <w:ind w:left="380" w:right="60"/>
        <w:spacing w:after="0" w:line="286" w:lineRule="auto"/>
        <w:rPr>
          <w:sz w:val="20"/>
          <w:szCs w:val="20"/>
          <w:color w:val="auto"/>
        </w:rPr>
      </w:pPr>
      <w:r>
        <w:rPr>
          <w:rFonts w:ascii="Arial" w:cs="Arial" w:eastAsia="Arial" w:hAnsi="Arial"/>
          <w:sz w:val="16"/>
          <w:szCs w:val="16"/>
          <w:color w:val="auto"/>
        </w:rPr>
        <w:t>The Company has two leases of land, and at the end of the lease term (currently 2018 if the leases are not renewed), the Company has a specified amount of time to remove the equipment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No. 143, “Accounting for Asset Retirement Obligations,” and FASB Interpretation 47, “Accounting for Conditional Asset Retirement Obligations- an interpretation of FASB Statement No. 143,” the Company has not recorded an asset retirement obligation as of December 31, 2006.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181" w:lineRule="exact"/>
        <w:rPr>
          <w:sz w:val="20"/>
          <w:szCs w:val="20"/>
          <w:color w:val="auto"/>
        </w:rPr>
      </w:pPr>
    </w:p>
    <w:p>
      <w:pPr>
        <w:ind w:left="34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15, 2006, the Company issued 45,257 shares of restricted stock to certain employees of the Company. The restricted stock awards are recorded as compensation cost over the requisite vesting period, which is one year of service, based on the market value on the date of grant. The grant date fair value on December 15, 2006 was $14.09. As of December 31, 2006, there was approximately $611,000 of total unrecognized compensation cost related to nonvested share-based compensation.</w:t>
      </w:r>
    </w:p>
    <w:p>
      <w:pPr>
        <w:spacing w:after="0" w:line="197" w:lineRule="exact"/>
        <w:rPr>
          <w:rFonts w:ascii="Arial" w:cs="Arial" w:eastAsia="Arial" w:hAnsi="Arial"/>
          <w:sz w:val="18"/>
          <w:szCs w:val="18"/>
          <w:color w:val="auto"/>
        </w:rPr>
      </w:pPr>
    </w:p>
    <w:p>
      <w:pPr>
        <w:ind w:left="340" w:right="80" w:hanging="332"/>
        <w:spacing w:after="0" w:line="30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February 2007, the Company’s three notes receivable were paid in full. The outstanding balance of $1,963,260 was included within prepaid expenses and other current assets at December 31, 2006. Due to differences between the amount realized on the repayment and the carrying value of the notes receivable the Company will record interest income of approximately $300,000 during the fourth quarter of fiscal 2007.</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60" w:hanging="332"/>
        <w:spacing w:after="0" w:line="290"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three reportable segments: Industrial, Water Treatment and Pharmaceutical. Reportable segments are defined by product and type of customer. Segments are responsible for the sales, marketing and development of their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The segments do not have separate accounting, administration, customer service or purchasing functions. There are no intersegment sales and no operating segments have been aggregated. Sales are primarily within the United States and all assets are located within the United States.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Water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454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Industrial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Treatment</w:t>
            </w:r>
          </w:p>
        </w:tc>
        <w:tc>
          <w:tcPr>
            <w:tcW w:w="1780" w:type="dxa"/>
            <w:vAlign w:val="bottom"/>
            <w:gridSpan w:val="4"/>
          </w:tcPr>
          <w:p>
            <w:pPr>
              <w:ind w:left="260"/>
              <w:spacing w:after="0"/>
              <w:rPr>
                <w:sz w:val="20"/>
                <w:szCs w:val="20"/>
                <w:color w:val="auto"/>
              </w:rPr>
            </w:pPr>
            <w:r>
              <w:rPr>
                <w:rFonts w:ascii="Arial" w:cs="Arial" w:eastAsia="Arial" w:hAnsi="Arial"/>
                <w:sz w:val="14"/>
                <w:szCs w:val="14"/>
                <w:b w:val="1"/>
                <w:bCs w:val="1"/>
                <w:color w:val="auto"/>
              </w:rPr>
              <w:t>Pharmaceutical*</w:t>
            </w: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r>
      <w:tr>
        <w:trPr>
          <w:trHeight w:val="210"/>
        </w:trPr>
        <w:tc>
          <w:tcPr>
            <w:tcW w:w="4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Three Months Ended December 31, 2006:</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4540" w:type="dxa"/>
            <w:vAlign w:val="bottom"/>
            <w:shd w:val="clear" w:color="auto" w:fill="D6F3E8"/>
          </w:tcPr>
          <w:p>
            <w:pPr>
              <w:ind w:left="200"/>
              <w:spacing w:after="0"/>
              <w:rPr>
                <w:sz w:val="20"/>
                <w:szCs w:val="20"/>
                <w:color w:val="auto"/>
              </w:rPr>
            </w:pPr>
            <w:r>
              <w:rPr>
                <w:rFonts w:ascii="Arial" w:cs="Arial" w:eastAsia="Arial" w:hAnsi="Arial"/>
                <w:sz w:val="18"/>
                <w:szCs w:val="18"/>
                <w:color w:val="auto"/>
              </w:rPr>
              <w:t>Sales</w:t>
            </w:r>
          </w:p>
        </w:tc>
        <w:tc>
          <w:tcPr>
            <w:tcW w:w="6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0"/>
              </w:rPr>
              <w:t>23,302,772</w:t>
            </w:r>
          </w:p>
        </w:tc>
        <w:tc>
          <w:tcPr>
            <w:tcW w:w="300" w:type="dxa"/>
            <w:vAlign w:val="bottom"/>
            <w:shd w:val="clear" w:color="auto" w:fill="D6F3E8"/>
          </w:tcPr>
          <w:p>
            <w:pPr>
              <w:spacing w:after="0"/>
              <w:rPr>
                <w:sz w:val="22"/>
                <w:szCs w:val="22"/>
                <w:color w:val="auto"/>
              </w:rPr>
            </w:pPr>
          </w:p>
        </w:tc>
        <w:tc>
          <w:tcPr>
            <w:tcW w:w="3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w w:val="88"/>
              </w:rPr>
              <w:t>11,919,846</w:t>
            </w:r>
          </w:p>
        </w:tc>
        <w:tc>
          <w:tcPr>
            <w:tcW w:w="44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540"/>
              <w:spacing w:after="0"/>
              <w:rPr>
                <w:sz w:val="20"/>
                <w:szCs w:val="20"/>
                <w:color w:val="auto"/>
              </w:rPr>
            </w:pPr>
            <w:r>
              <w:rPr>
                <w:rFonts w:ascii="Arial" w:cs="Arial" w:eastAsia="Arial" w:hAnsi="Arial"/>
                <w:sz w:val="18"/>
                <w:szCs w:val="18"/>
                <w:color w:val="auto"/>
                <w:w w:val="97"/>
              </w:rPr>
              <w:t>1,816,563</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37,039,181</w:t>
            </w:r>
          </w:p>
        </w:tc>
        <w:tc>
          <w:tcPr>
            <w:tcW w:w="220" w:type="dxa"/>
            <w:vAlign w:val="bottom"/>
            <w:shd w:val="clear" w:color="auto" w:fill="D6F3E8"/>
          </w:tcPr>
          <w:p>
            <w:pPr>
              <w:spacing w:after="0"/>
              <w:rPr>
                <w:sz w:val="22"/>
                <w:szCs w:val="22"/>
                <w:color w:val="auto"/>
              </w:rPr>
            </w:pPr>
          </w:p>
        </w:tc>
      </w:tr>
      <w:tr>
        <w:trPr>
          <w:trHeight w:val="256"/>
        </w:trPr>
        <w:tc>
          <w:tcPr>
            <w:tcW w:w="454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3,511,523</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3,029,118</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450,565</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6,991,206</w:t>
            </w:r>
          </w:p>
        </w:tc>
        <w:tc>
          <w:tcPr>
            <w:tcW w:w="220" w:type="dxa"/>
            <w:vAlign w:val="bottom"/>
          </w:tcPr>
          <w:p>
            <w:pPr>
              <w:spacing w:after="0"/>
              <w:rPr>
                <w:sz w:val="22"/>
                <w:szCs w:val="22"/>
                <w:color w:val="auto"/>
              </w:rPr>
            </w:pPr>
          </w:p>
        </w:tc>
      </w:tr>
      <w:tr>
        <w:trPr>
          <w:trHeight w:val="258"/>
        </w:trPr>
        <w:tc>
          <w:tcPr>
            <w:tcW w:w="4540" w:type="dxa"/>
            <w:vAlign w:val="bottom"/>
            <w:shd w:val="clear" w:color="auto" w:fill="D6F3E8"/>
          </w:tcPr>
          <w:p>
            <w:pPr>
              <w:ind w:left="200"/>
              <w:spacing w:after="0"/>
              <w:rPr>
                <w:sz w:val="20"/>
                <w:szCs w:val="20"/>
                <w:color w:val="auto"/>
              </w:rPr>
            </w:pPr>
            <w:r>
              <w:rPr>
                <w:rFonts w:ascii="Arial" w:cs="Arial" w:eastAsia="Arial" w:hAnsi="Arial"/>
                <w:sz w:val="18"/>
                <w:szCs w:val="18"/>
                <w:color w:val="auto"/>
              </w:rPr>
              <w:t>(Loss) income from operations</w:t>
            </w:r>
          </w:p>
        </w:tc>
        <w:tc>
          <w:tcPr>
            <w:tcW w:w="6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(386,850)</w:t>
            </w:r>
          </w:p>
        </w:tc>
        <w:tc>
          <w:tcPr>
            <w:tcW w:w="3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892,610</w:t>
            </w:r>
          </w:p>
        </w:tc>
        <w:tc>
          <w:tcPr>
            <w:tcW w:w="44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480"/>
              <w:spacing w:after="0"/>
              <w:rPr>
                <w:sz w:val="20"/>
                <w:szCs w:val="20"/>
                <w:color w:val="auto"/>
              </w:rPr>
            </w:pPr>
            <w:r>
              <w:rPr>
                <w:rFonts w:ascii="Arial" w:cs="Arial" w:eastAsia="Arial" w:hAnsi="Arial"/>
                <w:sz w:val="18"/>
                <w:szCs w:val="18"/>
                <w:color w:val="auto"/>
              </w:rPr>
              <w:t>(231,171)</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274,589</w:t>
            </w:r>
          </w:p>
        </w:tc>
        <w:tc>
          <w:tcPr>
            <w:tcW w:w="220" w:type="dxa"/>
            <w:vAlign w:val="bottom"/>
            <w:shd w:val="clear" w:color="auto" w:fill="D6F3E8"/>
          </w:tcPr>
          <w:p>
            <w:pPr>
              <w:spacing w:after="0"/>
              <w:rPr>
                <w:sz w:val="22"/>
                <w:szCs w:val="22"/>
                <w:color w:val="auto"/>
              </w:rPr>
            </w:pPr>
          </w:p>
        </w:tc>
      </w:tr>
      <w:tr>
        <w:trPr>
          <w:trHeight w:val="397"/>
        </w:trPr>
        <w:tc>
          <w:tcPr>
            <w:tcW w:w="4540" w:type="dxa"/>
            <w:vAlign w:val="bottom"/>
          </w:tcPr>
          <w:p>
            <w:pPr>
              <w:spacing w:after="0"/>
              <w:rPr>
                <w:sz w:val="20"/>
                <w:szCs w:val="20"/>
                <w:color w:val="auto"/>
              </w:rPr>
            </w:pPr>
            <w:r>
              <w:rPr>
                <w:rFonts w:ascii="Arial" w:cs="Arial" w:eastAsia="Arial" w:hAnsi="Arial"/>
                <w:sz w:val="18"/>
                <w:szCs w:val="18"/>
                <w:color w:val="auto"/>
              </w:rPr>
              <w:t>Three Months Ended December 31, 2005:</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4540" w:type="dxa"/>
            <w:vAlign w:val="bottom"/>
          </w:tcPr>
          <w:p>
            <w:pPr>
              <w:ind w:left="200"/>
              <w:spacing w:after="0"/>
              <w:rPr>
                <w:sz w:val="20"/>
                <w:szCs w:val="20"/>
                <w:color w:val="auto"/>
              </w:rPr>
            </w:pPr>
            <w:r>
              <w:rPr>
                <w:rFonts w:ascii="Arial" w:cs="Arial" w:eastAsia="Arial" w:hAnsi="Arial"/>
                <w:sz w:val="18"/>
                <w:szCs w:val="18"/>
                <w:color w:val="auto"/>
              </w:rPr>
              <w:t>Sales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21,404,822</w:t>
            </w:r>
          </w:p>
        </w:tc>
        <w:tc>
          <w:tcPr>
            <w:tcW w:w="30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10,445,868</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2,502,302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34,352,992</w:t>
            </w:r>
          </w:p>
        </w:tc>
        <w:tc>
          <w:tcPr>
            <w:tcW w:w="220" w:type="dxa"/>
            <w:vAlign w:val="bottom"/>
          </w:tcPr>
          <w:p>
            <w:pPr>
              <w:spacing w:after="0"/>
              <w:rPr>
                <w:sz w:val="22"/>
                <w:szCs w:val="22"/>
                <w:color w:val="auto"/>
              </w:rPr>
            </w:pPr>
          </w:p>
        </w:tc>
      </w:tr>
      <w:tr>
        <w:trPr>
          <w:trHeight w:val="258"/>
        </w:trPr>
        <w:tc>
          <w:tcPr>
            <w:tcW w:w="4540" w:type="dxa"/>
            <w:vAlign w:val="bottom"/>
            <w:shd w:val="clear" w:color="auto" w:fill="D6F3E8"/>
          </w:tcPr>
          <w:p>
            <w:pPr>
              <w:ind w:left="200"/>
              <w:spacing w:after="0"/>
              <w:rPr>
                <w:sz w:val="20"/>
                <w:szCs w:val="20"/>
                <w:color w:val="auto"/>
              </w:rPr>
            </w:pPr>
            <w:r>
              <w:rPr>
                <w:rFonts w:ascii="Arial" w:cs="Arial" w:eastAsia="Arial" w:hAnsi="Arial"/>
                <w:sz w:val="18"/>
                <w:szCs w:val="18"/>
                <w:color w:val="auto"/>
              </w:rPr>
              <w:t>Gross margin</w:t>
            </w:r>
          </w:p>
        </w:tc>
        <w:tc>
          <w:tcPr>
            <w:tcW w:w="5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3,549,205</w:t>
            </w:r>
          </w:p>
        </w:tc>
        <w:tc>
          <w:tcPr>
            <w:tcW w:w="30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w w:val="99"/>
              </w:rPr>
              <w:t>2,878,413</w:t>
            </w:r>
          </w:p>
        </w:tc>
        <w:tc>
          <w:tcPr>
            <w:tcW w:w="26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340" w:type="dxa"/>
            <w:vAlign w:val="bottom"/>
            <w:gridSpan w:val="2"/>
            <w:shd w:val="clear" w:color="auto" w:fill="D6F3E8"/>
          </w:tcPr>
          <w:p>
            <w:pPr>
              <w:jc w:val="right"/>
              <w:ind w:right="540"/>
              <w:spacing w:after="0"/>
              <w:rPr>
                <w:sz w:val="20"/>
                <w:szCs w:val="20"/>
                <w:color w:val="auto"/>
              </w:rPr>
            </w:pPr>
            <w:r>
              <w:rPr>
                <w:rFonts w:ascii="Arial" w:cs="Arial" w:eastAsia="Arial" w:hAnsi="Arial"/>
                <w:sz w:val="18"/>
                <w:szCs w:val="18"/>
                <w:color w:val="auto"/>
              </w:rPr>
              <w:t>791,997</w:t>
            </w:r>
          </w:p>
        </w:tc>
        <w:tc>
          <w:tcPr>
            <w:tcW w:w="10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7,219,615</w:t>
            </w:r>
          </w:p>
        </w:tc>
        <w:tc>
          <w:tcPr>
            <w:tcW w:w="220" w:type="dxa"/>
            <w:vAlign w:val="bottom"/>
            <w:shd w:val="clear" w:color="auto" w:fill="D6F3E8"/>
          </w:tcPr>
          <w:p>
            <w:pPr>
              <w:spacing w:after="0"/>
              <w:rPr>
                <w:sz w:val="22"/>
                <w:szCs w:val="22"/>
                <w:color w:val="auto"/>
              </w:rPr>
            </w:pPr>
          </w:p>
        </w:tc>
      </w:tr>
      <w:tr>
        <w:trPr>
          <w:trHeight w:val="255"/>
        </w:trPr>
        <w:tc>
          <w:tcPr>
            <w:tcW w:w="454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676,388</w:t>
            </w:r>
          </w:p>
        </w:tc>
        <w:tc>
          <w:tcPr>
            <w:tcW w:w="30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1,564,477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269,811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2,510,676</w:t>
            </w:r>
          </w:p>
        </w:tc>
        <w:tc>
          <w:tcPr>
            <w:tcW w:w="220" w:type="dxa"/>
            <w:vAlign w:val="bottom"/>
          </w:tcPr>
          <w:p>
            <w:pPr>
              <w:spacing w:after="0"/>
              <w:rPr>
                <w:sz w:val="22"/>
                <w:szCs w:val="22"/>
                <w:color w:val="auto"/>
              </w:rPr>
            </w:pPr>
          </w:p>
        </w:tc>
      </w:tr>
      <w:tr>
        <w:trPr>
          <w:trHeight w:val="406"/>
        </w:trPr>
        <w:tc>
          <w:tcPr>
            <w:tcW w:w="4540" w:type="dxa"/>
            <w:vAlign w:val="bottom"/>
          </w:tcPr>
          <w:p>
            <w:pPr>
              <w:spacing w:after="0"/>
              <w:rPr>
                <w:sz w:val="20"/>
                <w:szCs w:val="20"/>
                <w:color w:val="auto"/>
              </w:rPr>
            </w:pPr>
            <w:r>
              <w:rPr>
                <w:rFonts w:ascii="Arial" w:cs="Arial" w:eastAsia="Arial" w:hAnsi="Arial"/>
                <w:sz w:val="18"/>
                <w:szCs w:val="18"/>
                <w:color w:val="auto"/>
              </w:rPr>
              <w:t>Nine Months Ended December 31, 2006:</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8"/>
        </w:trPr>
        <w:tc>
          <w:tcPr>
            <w:tcW w:w="4540" w:type="dxa"/>
            <w:vAlign w:val="bottom"/>
            <w:shd w:val="clear" w:color="auto" w:fill="D6F3E8"/>
          </w:tcPr>
          <w:p>
            <w:pPr>
              <w:ind w:left="200"/>
              <w:spacing w:after="0"/>
              <w:rPr>
                <w:sz w:val="20"/>
                <w:szCs w:val="20"/>
                <w:color w:val="auto"/>
              </w:rPr>
            </w:pPr>
            <w:r>
              <w:rPr>
                <w:rFonts w:ascii="Arial" w:cs="Arial" w:eastAsia="Arial" w:hAnsi="Arial"/>
                <w:sz w:val="18"/>
                <w:szCs w:val="18"/>
                <w:color w:val="auto"/>
              </w:rPr>
              <w:t>Sales</w:t>
            </w:r>
          </w:p>
        </w:tc>
        <w:tc>
          <w:tcPr>
            <w:tcW w:w="6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0"/>
              </w:rPr>
              <w:t>69,729,962</w:t>
            </w:r>
          </w:p>
        </w:tc>
        <w:tc>
          <w:tcPr>
            <w:tcW w:w="300" w:type="dxa"/>
            <w:vAlign w:val="bottom"/>
            <w:shd w:val="clear" w:color="auto" w:fill="D6F3E8"/>
          </w:tcPr>
          <w:p>
            <w:pPr>
              <w:spacing w:after="0"/>
              <w:rPr>
                <w:sz w:val="22"/>
                <w:szCs w:val="22"/>
                <w:color w:val="auto"/>
              </w:rPr>
            </w:pPr>
          </w:p>
        </w:tc>
        <w:tc>
          <w:tcPr>
            <w:tcW w:w="3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w w:val="88"/>
              </w:rPr>
              <w:t>44,307,093</w:t>
            </w:r>
          </w:p>
        </w:tc>
        <w:tc>
          <w:tcPr>
            <w:tcW w:w="44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540"/>
              <w:spacing w:after="0"/>
              <w:rPr>
                <w:sz w:val="20"/>
                <w:szCs w:val="20"/>
                <w:color w:val="auto"/>
              </w:rPr>
            </w:pPr>
            <w:r>
              <w:rPr>
                <w:rFonts w:ascii="Arial" w:cs="Arial" w:eastAsia="Arial" w:hAnsi="Arial"/>
                <w:sz w:val="18"/>
                <w:szCs w:val="18"/>
                <w:color w:val="auto"/>
                <w:w w:val="97"/>
              </w:rPr>
              <w:t>6,662,951</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5"/>
              </w:rPr>
              <w:t>120,700,006</w:t>
            </w:r>
          </w:p>
        </w:tc>
        <w:tc>
          <w:tcPr>
            <w:tcW w:w="220" w:type="dxa"/>
            <w:vAlign w:val="bottom"/>
            <w:shd w:val="clear" w:color="auto" w:fill="D6F3E8"/>
          </w:tcPr>
          <w:p>
            <w:pPr>
              <w:spacing w:after="0"/>
              <w:rPr>
                <w:sz w:val="22"/>
                <w:szCs w:val="22"/>
                <w:color w:val="auto"/>
              </w:rPr>
            </w:pPr>
          </w:p>
        </w:tc>
      </w:tr>
      <w:tr>
        <w:trPr>
          <w:trHeight w:val="256"/>
        </w:trPr>
        <w:tc>
          <w:tcPr>
            <w:tcW w:w="454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13,596,293</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13,444,349</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1,950,296</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28,990,938</w:t>
            </w:r>
          </w:p>
        </w:tc>
        <w:tc>
          <w:tcPr>
            <w:tcW w:w="220" w:type="dxa"/>
            <w:vAlign w:val="bottom"/>
          </w:tcPr>
          <w:p>
            <w:pPr>
              <w:spacing w:after="0"/>
              <w:rPr>
                <w:sz w:val="22"/>
                <w:szCs w:val="22"/>
                <w:color w:val="auto"/>
              </w:rPr>
            </w:pPr>
          </w:p>
        </w:tc>
      </w:tr>
      <w:tr>
        <w:trPr>
          <w:trHeight w:val="258"/>
        </w:trPr>
        <w:tc>
          <w:tcPr>
            <w:tcW w:w="4540" w:type="dxa"/>
            <w:vAlign w:val="bottom"/>
            <w:shd w:val="clear" w:color="auto" w:fill="D6F3E8"/>
          </w:tcPr>
          <w:p>
            <w:pPr>
              <w:ind w:left="200"/>
              <w:spacing w:after="0"/>
              <w:rPr>
                <w:sz w:val="20"/>
                <w:szCs w:val="20"/>
                <w:color w:val="auto"/>
              </w:rPr>
            </w:pPr>
            <w:r>
              <w:rPr>
                <w:rFonts w:ascii="Arial" w:cs="Arial" w:eastAsia="Arial" w:hAnsi="Arial"/>
                <w:sz w:val="18"/>
                <w:szCs w:val="18"/>
                <w:color w:val="auto"/>
              </w:rPr>
              <w:t>Income (loss) from operations</w:t>
            </w:r>
          </w:p>
        </w:tc>
        <w:tc>
          <w:tcPr>
            <w:tcW w:w="6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2,095,805</w:t>
            </w:r>
          </w:p>
        </w:tc>
        <w:tc>
          <w:tcPr>
            <w:tcW w:w="300" w:type="dxa"/>
            <w:vAlign w:val="bottom"/>
            <w:shd w:val="clear" w:color="auto" w:fill="D6F3E8"/>
          </w:tcPr>
          <w:p>
            <w:pPr>
              <w:spacing w:after="0"/>
              <w:rPr>
                <w:sz w:val="22"/>
                <w:szCs w:val="22"/>
                <w:color w:val="auto"/>
              </w:rPr>
            </w:pPr>
          </w:p>
        </w:tc>
        <w:tc>
          <w:tcPr>
            <w:tcW w:w="3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w w:val="99"/>
              </w:rPr>
              <w:t>7,141,413</w:t>
            </w:r>
          </w:p>
        </w:tc>
        <w:tc>
          <w:tcPr>
            <w:tcW w:w="44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480"/>
              <w:spacing w:after="0"/>
              <w:rPr>
                <w:sz w:val="20"/>
                <w:szCs w:val="20"/>
                <w:color w:val="auto"/>
              </w:rPr>
            </w:pPr>
            <w:r>
              <w:rPr>
                <w:rFonts w:ascii="Arial" w:cs="Arial" w:eastAsia="Arial" w:hAnsi="Arial"/>
                <w:sz w:val="18"/>
                <w:szCs w:val="18"/>
                <w:color w:val="auto"/>
              </w:rPr>
              <w:t>(82,038)</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9,155,180</w:t>
            </w:r>
          </w:p>
        </w:tc>
        <w:tc>
          <w:tcPr>
            <w:tcW w:w="220" w:type="dxa"/>
            <w:vAlign w:val="bottom"/>
            <w:shd w:val="clear" w:color="auto" w:fill="D6F3E8"/>
          </w:tcPr>
          <w:p>
            <w:pPr>
              <w:spacing w:after="0"/>
              <w:rPr>
                <w:sz w:val="22"/>
                <w:szCs w:val="22"/>
                <w:color w:val="auto"/>
              </w:rPr>
            </w:pPr>
          </w:p>
        </w:tc>
      </w:tr>
      <w:tr>
        <w:trPr>
          <w:trHeight w:val="397"/>
        </w:trPr>
        <w:tc>
          <w:tcPr>
            <w:tcW w:w="4540" w:type="dxa"/>
            <w:vAlign w:val="bottom"/>
          </w:tcPr>
          <w:p>
            <w:pPr>
              <w:spacing w:after="0"/>
              <w:rPr>
                <w:sz w:val="20"/>
                <w:szCs w:val="20"/>
                <w:color w:val="auto"/>
              </w:rPr>
            </w:pPr>
            <w:r>
              <w:rPr>
                <w:rFonts w:ascii="Arial" w:cs="Arial" w:eastAsia="Arial" w:hAnsi="Arial"/>
                <w:sz w:val="18"/>
                <w:szCs w:val="18"/>
                <w:color w:val="auto"/>
              </w:rPr>
              <w:t>Nine Months Ended December 31, 2005:</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4540" w:type="dxa"/>
            <w:vAlign w:val="bottom"/>
          </w:tcPr>
          <w:p>
            <w:pPr>
              <w:ind w:left="200"/>
              <w:spacing w:after="0"/>
              <w:rPr>
                <w:sz w:val="20"/>
                <w:szCs w:val="20"/>
                <w:color w:val="auto"/>
              </w:rPr>
            </w:pPr>
            <w:r>
              <w:rPr>
                <w:rFonts w:ascii="Arial" w:cs="Arial" w:eastAsia="Arial" w:hAnsi="Arial"/>
                <w:sz w:val="18"/>
                <w:szCs w:val="18"/>
                <w:color w:val="auto"/>
              </w:rPr>
              <w:t>Sales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61,091,702</w:t>
            </w:r>
          </w:p>
        </w:tc>
        <w:tc>
          <w:tcPr>
            <w:tcW w:w="30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38,190,960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7,568,099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106,850,761</w:t>
            </w:r>
          </w:p>
        </w:tc>
        <w:tc>
          <w:tcPr>
            <w:tcW w:w="220" w:type="dxa"/>
            <w:vAlign w:val="bottom"/>
          </w:tcPr>
          <w:p>
            <w:pPr>
              <w:spacing w:after="0"/>
              <w:rPr>
                <w:sz w:val="22"/>
                <w:szCs w:val="22"/>
                <w:color w:val="auto"/>
              </w:rPr>
            </w:pPr>
          </w:p>
        </w:tc>
      </w:tr>
      <w:tr>
        <w:trPr>
          <w:trHeight w:val="258"/>
        </w:trPr>
        <w:tc>
          <w:tcPr>
            <w:tcW w:w="4540" w:type="dxa"/>
            <w:vAlign w:val="bottom"/>
            <w:shd w:val="clear" w:color="auto" w:fill="D6F3E8"/>
          </w:tcPr>
          <w:p>
            <w:pPr>
              <w:ind w:left="200"/>
              <w:spacing w:after="0"/>
              <w:rPr>
                <w:sz w:val="20"/>
                <w:szCs w:val="20"/>
                <w:color w:val="auto"/>
              </w:rPr>
            </w:pPr>
            <w:r>
              <w:rPr>
                <w:rFonts w:ascii="Arial" w:cs="Arial" w:eastAsia="Arial" w:hAnsi="Arial"/>
                <w:sz w:val="18"/>
                <w:szCs w:val="18"/>
                <w:color w:val="auto"/>
              </w:rPr>
              <w:t>Gross margin</w:t>
            </w:r>
          </w:p>
        </w:tc>
        <w:tc>
          <w:tcPr>
            <w:tcW w:w="5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0"/>
              </w:rPr>
              <w:t>11,531,113</w:t>
            </w:r>
          </w:p>
        </w:tc>
        <w:tc>
          <w:tcPr>
            <w:tcW w:w="300" w:type="dxa"/>
            <w:vAlign w:val="bottom"/>
            <w:shd w:val="clear" w:color="auto" w:fill="D6F3E8"/>
          </w:tcPr>
          <w:p>
            <w:pPr>
              <w:spacing w:after="0"/>
              <w:rPr>
                <w:sz w:val="22"/>
                <w:szCs w:val="22"/>
                <w:color w:val="auto"/>
              </w:rPr>
            </w:pPr>
          </w:p>
        </w:tc>
        <w:tc>
          <w:tcPr>
            <w:tcW w:w="24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w w:val="88"/>
              </w:rPr>
              <w:t>12,078,678</w:t>
            </w:r>
          </w:p>
        </w:tc>
        <w:tc>
          <w:tcPr>
            <w:tcW w:w="26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340" w:type="dxa"/>
            <w:vAlign w:val="bottom"/>
            <w:gridSpan w:val="2"/>
            <w:shd w:val="clear" w:color="auto" w:fill="D6F3E8"/>
          </w:tcPr>
          <w:p>
            <w:pPr>
              <w:jc w:val="right"/>
              <w:ind w:right="540"/>
              <w:spacing w:after="0"/>
              <w:rPr>
                <w:sz w:val="20"/>
                <w:szCs w:val="20"/>
                <w:color w:val="auto"/>
              </w:rPr>
            </w:pPr>
            <w:r>
              <w:rPr>
                <w:rFonts w:ascii="Arial" w:cs="Arial" w:eastAsia="Arial" w:hAnsi="Arial"/>
                <w:sz w:val="18"/>
                <w:szCs w:val="18"/>
                <w:color w:val="auto"/>
                <w:w w:val="97"/>
              </w:rPr>
              <w:t>2,290,435</w:t>
            </w:r>
          </w:p>
        </w:tc>
        <w:tc>
          <w:tcPr>
            <w:tcW w:w="10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25,900,226</w:t>
            </w:r>
          </w:p>
        </w:tc>
        <w:tc>
          <w:tcPr>
            <w:tcW w:w="220" w:type="dxa"/>
            <w:vAlign w:val="bottom"/>
            <w:shd w:val="clear" w:color="auto" w:fill="D6F3E8"/>
          </w:tcPr>
          <w:p>
            <w:pPr>
              <w:spacing w:after="0"/>
              <w:rPr>
                <w:sz w:val="22"/>
                <w:szCs w:val="22"/>
                <w:color w:val="auto"/>
              </w:rPr>
            </w:pPr>
          </w:p>
        </w:tc>
      </w:tr>
      <w:tr>
        <w:trPr>
          <w:trHeight w:val="255"/>
        </w:trPr>
        <w:tc>
          <w:tcPr>
            <w:tcW w:w="454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2,540,271</w:t>
            </w:r>
          </w:p>
        </w:tc>
        <w:tc>
          <w:tcPr>
            <w:tcW w:w="30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7,207,187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1,371,345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11,118,803</w:t>
            </w:r>
          </w:p>
        </w:tc>
      </w:tr>
    </w:tbl>
    <w:p>
      <w:pPr>
        <w:spacing w:after="0" w:line="2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The Pharmaceutical segment recorded $1,015,826 in pretax gain from the litigation settlement during the three months ended September 30, 2005.</w:t>
      </w:r>
    </w:p>
    <w:p>
      <w:pPr>
        <w:spacing w:after="0" w:line="343" w:lineRule="exact"/>
        <w:rPr>
          <w:sz w:val="20"/>
          <w:szCs w:val="20"/>
          <w:color w:val="auto"/>
        </w:rPr>
      </w:pPr>
    </w:p>
    <w:p>
      <w:pPr>
        <w:ind w:left="1040" w:right="1040" w:hanging="1025"/>
        <w:spacing w:after="0" w:line="251" w:lineRule="auto"/>
        <w:tabs>
          <w:tab w:leader="none" w:pos="1020" w:val="left"/>
        </w:tabs>
        <w:rPr>
          <w:sz w:val="20"/>
          <w:szCs w:val="20"/>
          <w:color w:val="auto"/>
        </w:rPr>
      </w:pPr>
      <w:r>
        <w:rPr>
          <w:rFonts w:ascii="Arial" w:cs="Arial" w:eastAsia="Arial" w:hAnsi="Arial"/>
          <w:sz w:val="22"/>
          <w:szCs w:val="22"/>
          <w:color w:val="auto"/>
        </w:rPr>
        <w:t>ITEM 2.</w:t>
        <w:tab/>
        <w:t>MANAGEMENT’S DISCUSSION AND ANALYSIS OF FINANCIAL CONDITION AND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information contained in this Quarterly Report on Form 10-Q for the period ended December 31, 2006 contains statements that we believe to be “forward-looking statements” within the meaning of the Private Securities Litigation Reform Act of 1995, and within the meaning of Section 27A of the Securities Act of 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in Item 1A “Risk Factors” and other factors disclosed throughout this Quarterly Report on Form 10-Q and the Company’s other filings with the Securities and Exchange Commission. Consequently, we cannot guarantee any forward-looking statements and undertake no</w:t>
      </w:r>
    </w:p>
    <w:p>
      <w:pPr>
        <w:sectPr>
          <w:pgSz w:w="11900" w:h="16838" w:orient="portrait"/>
          <w:cols w:equalWidth="0" w:num="1">
            <w:col w:w="11400"/>
          </w:cols>
          <w:pgMar w:left="240" w:top="131" w:right="259" w:bottom="0" w:gutter="0" w:footer="0" w:header="0"/>
        </w:sectPr>
      </w:pPr>
    </w:p>
    <w:bookmarkStart w:id="6" w:name="page7"/>
    <w:bookmarkEnd w:id="6"/>
    <w:p>
      <w:pPr>
        <w:ind w:right="140"/>
        <w:spacing w:after="0" w:line="298" w:lineRule="auto"/>
        <w:rPr>
          <w:sz w:val="20"/>
          <w:szCs w:val="20"/>
          <w:color w:val="auto"/>
        </w:rPr>
      </w:pPr>
      <w:r>
        <w:rPr>
          <w:rFonts w:ascii="Arial" w:cs="Arial" w:eastAsia="Arial" w:hAnsi="Arial"/>
          <w:sz w:val="16"/>
          <w:szCs w:val="16"/>
          <w:color w:val="auto"/>
        </w:rPr>
        <w:t>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Quarterly Report on Form 10-Q or any other public statement.</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periods indicated (in thousands, except percentages):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8"/>
              </w:rPr>
              <w:t>THREE MONTHS ENDED</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96"/>
              </w:rPr>
              <w:t>NINE MONTHS ENDED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20" w:type="dxa"/>
            <w:vAlign w:val="bottom"/>
            <w:tcBorders>
              <w:bottom w:val="single" w:sz="8" w:color="D6F3E8"/>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3"/>
              </w:rPr>
              <w:t>DECEMBER 31, 2006</w:t>
            </w: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D6F3E8"/>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4"/>
                <w:szCs w:val="14"/>
                <w:b w:val="1"/>
                <w:bCs w:val="1"/>
                <w:color w:val="auto"/>
                <w:w w:val="93"/>
              </w:rPr>
              <w:t>DECEMBER 31, 2006</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D6F3E8"/>
          </w:tcPr>
          <w:p>
            <w:pPr>
              <w:jc w:val="right"/>
              <w:ind w:right="540"/>
              <w:spacing w:after="0"/>
              <w:rPr>
                <w:sz w:val="20"/>
                <w:szCs w:val="20"/>
                <w:color w:val="auto"/>
              </w:rPr>
            </w:pPr>
            <w:r>
              <w:rPr>
                <w:rFonts w:ascii="Arial" w:cs="Arial" w:eastAsia="Arial" w:hAnsi="Arial"/>
                <w:sz w:val="18"/>
                <w:szCs w:val="18"/>
                <w:color w:val="auto"/>
              </w:rPr>
              <w:t>37,039</w:t>
            </w:r>
          </w:p>
        </w:tc>
        <w:tc>
          <w:tcPr>
            <w:tcW w:w="600" w:type="dxa"/>
            <w:vAlign w:val="bottom"/>
            <w:shd w:val="clear" w:color="auto" w:fill="D6F3E8"/>
          </w:tcPr>
          <w:p>
            <w:pPr>
              <w:spacing w:after="0"/>
              <w:rPr>
                <w:sz w:val="21"/>
                <w:szCs w:val="21"/>
                <w:color w:val="auto"/>
              </w:rPr>
            </w:pPr>
          </w:p>
        </w:tc>
        <w:tc>
          <w:tcPr>
            <w:tcW w:w="108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120,700</w:t>
            </w:r>
          </w:p>
        </w:tc>
        <w:tc>
          <w:tcPr>
            <w:tcW w:w="560" w:type="dxa"/>
            <w:vAlign w:val="bottom"/>
            <w:shd w:val="clear" w:color="auto" w:fill="D6F3E8"/>
          </w:tcPr>
          <w:p>
            <w:pPr>
              <w:spacing w:after="0"/>
              <w:rPr>
                <w:sz w:val="21"/>
                <w:szCs w:val="21"/>
                <w:color w:val="auto"/>
              </w:rPr>
            </w:pPr>
          </w:p>
        </w:tc>
        <w:tc>
          <w:tcPr>
            <w:tcW w:w="56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9"/>
        </w:trPr>
        <w:tc>
          <w:tcPr>
            <w:tcW w:w="472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30,048</w:t>
            </w: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81.1</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91,709</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
        </w:trPr>
        <w:tc>
          <w:tcPr>
            <w:tcW w:w="472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D6F3E8"/>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20" w:type="dxa"/>
            <w:vAlign w:val="bottom"/>
            <w:vMerge w:val="continue"/>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6,991</w:t>
            </w:r>
          </w:p>
        </w:tc>
        <w:tc>
          <w:tcPr>
            <w:tcW w:w="540" w:type="dxa"/>
            <w:vAlign w:val="bottom"/>
            <w:shd w:val="clear" w:color="auto" w:fill="D6F3E8"/>
          </w:tcPr>
          <w:p>
            <w:pPr>
              <w:spacing w:after="0"/>
              <w:rPr>
                <w:sz w:val="22"/>
                <w:szCs w:val="22"/>
                <w:color w:val="auto"/>
              </w:rPr>
            </w:pPr>
          </w:p>
        </w:tc>
        <w:tc>
          <w:tcPr>
            <w:tcW w:w="6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D6F3E8"/>
          </w:tcPr>
          <w:p>
            <w:pPr>
              <w:spacing w:after="0"/>
              <w:rPr>
                <w:sz w:val="22"/>
                <w:szCs w:val="22"/>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28,991</w:t>
            </w:r>
          </w:p>
        </w:tc>
        <w:tc>
          <w:tcPr>
            <w:tcW w:w="560" w:type="dxa"/>
            <w:vAlign w:val="bottom"/>
            <w:shd w:val="clear" w:color="auto" w:fill="D6F3E8"/>
          </w:tcPr>
          <w:p>
            <w:pPr>
              <w:spacing w:after="0"/>
              <w:rPr>
                <w:sz w:val="22"/>
                <w:szCs w:val="22"/>
                <w:color w:val="auto"/>
              </w:rPr>
            </w:pPr>
          </w:p>
        </w:tc>
        <w:tc>
          <w:tcPr>
            <w:tcW w:w="560" w:type="dxa"/>
            <w:vAlign w:val="bottom"/>
            <w:shd w:val="clear" w:color="auto" w:fill="D6F3E8"/>
          </w:tcPr>
          <w:p>
            <w:pPr>
              <w:spacing w:after="0"/>
              <w:rPr>
                <w:sz w:val="22"/>
                <w:szCs w:val="22"/>
                <w:color w:val="auto"/>
              </w:rPr>
            </w:pPr>
          </w:p>
        </w:tc>
        <w:tc>
          <w:tcPr>
            <w:tcW w:w="7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9"/>
        </w:trPr>
        <w:tc>
          <w:tcPr>
            <w:tcW w:w="4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6,717</w:t>
            </w: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19,836</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
        </w:trPr>
        <w:tc>
          <w:tcPr>
            <w:tcW w:w="472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D6F3E8"/>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20" w:type="dxa"/>
            <w:vAlign w:val="bottom"/>
            <w:vMerge w:val="continue"/>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275</w:t>
            </w:r>
          </w:p>
        </w:tc>
        <w:tc>
          <w:tcPr>
            <w:tcW w:w="540" w:type="dxa"/>
            <w:vAlign w:val="bottom"/>
            <w:shd w:val="clear" w:color="auto" w:fill="D6F3E8"/>
          </w:tcPr>
          <w:p>
            <w:pPr>
              <w:spacing w:after="0"/>
              <w:rPr>
                <w:sz w:val="22"/>
                <w:szCs w:val="22"/>
                <w:color w:val="auto"/>
              </w:rPr>
            </w:pPr>
          </w:p>
        </w:tc>
        <w:tc>
          <w:tcPr>
            <w:tcW w:w="6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D6F3E8"/>
          </w:tcPr>
          <w:p>
            <w:pPr>
              <w:spacing w:after="0"/>
              <w:rPr>
                <w:sz w:val="22"/>
                <w:szCs w:val="22"/>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9,155</w:t>
            </w:r>
          </w:p>
        </w:tc>
        <w:tc>
          <w:tcPr>
            <w:tcW w:w="560" w:type="dxa"/>
            <w:vAlign w:val="bottom"/>
            <w:shd w:val="clear" w:color="auto" w:fill="D6F3E8"/>
          </w:tcPr>
          <w:p>
            <w:pPr>
              <w:spacing w:after="0"/>
              <w:rPr>
                <w:sz w:val="22"/>
                <w:szCs w:val="22"/>
                <w:color w:val="auto"/>
              </w:rPr>
            </w:pPr>
          </w:p>
        </w:tc>
        <w:tc>
          <w:tcPr>
            <w:tcW w:w="560" w:type="dxa"/>
            <w:vAlign w:val="bottom"/>
            <w:shd w:val="clear" w:color="auto" w:fill="D6F3E8"/>
          </w:tcPr>
          <w:p>
            <w:pPr>
              <w:spacing w:after="0"/>
              <w:rPr>
                <w:sz w:val="22"/>
                <w:szCs w:val="22"/>
                <w:color w:val="auto"/>
              </w:rPr>
            </w:pPr>
          </w:p>
        </w:tc>
        <w:tc>
          <w:tcPr>
            <w:tcW w:w="7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9"/>
        </w:trPr>
        <w:tc>
          <w:tcPr>
            <w:tcW w:w="4720" w:type="dxa"/>
            <w:vAlign w:val="bottom"/>
          </w:tcPr>
          <w:p>
            <w:pPr>
              <w:spacing w:after="0"/>
              <w:rPr>
                <w:sz w:val="20"/>
                <w:szCs w:val="20"/>
                <w:color w:val="auto"/>
              </w:rPr>
            </w:pPr>
            <w:r>
              <w:rPr>
                <w:rFonts w:ascii="Arial" w:cs="Arial" w:eastAsia="Arial" w:hAnsi="Arial"/>
                <w:sz w:val="18"/>
                <w:szCs w:val="18"/>
                <w:color w:val="auto"/>
              </w:rPr>
              <w:t>Investment income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w:t>
            </w: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1,008</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472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D6F3E8"/>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20" w:type="dxa"/>
            <w:vAlign w:val="bottom"/>
            <w:vMerge w:val="continue"/>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634</w:t>
            </w:r>
          </w:p>
        </w:tc>
        <w:tc>
          <w:tcPr>
            <w:tcW w:w="540" w:type="dxa"/>
            <w:vAlign w:val="bottom"/>
            <w:shd w:val="clear" w:color="auto" w:fill="D6F3E8"/>
          </w:tcPr>
          <w:p>
            <w:pPr>
              <w:spacing w:after="0"/>
              <w:rPr>
                <w:sz w:val="22"/>
                <w:szCs w:val="22"/>
                <w:color w:val="auto"/>
              </w:rPr>
            </w:pPr>
          </w:p>
        </w:tc>
        <w:tc>
          <w:tcPr>
            <w:tcW w:w="6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D6F3E8"/>
          </w:tcPr>
          <w:p>
            <w:pPr>
              <w:spacing w:after="0"/>
              <w:rPr>
                <w:sz w:val="22"/>
                <w:szCs w:val="22"/>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10,163</w:t>
            </w:r>
          </w:p>
        </w:tc>
        <w:tc>
          <w:tcPr>
            <w:tcW w:w="560" w:type="dxa"/>
            <w:vAlign w:val="bottom"/>
            <w:shd w:val="clear" w:color="auto" w:fill="D6F3E8"/>
          </w:tcPr>
          <w:p>
            <w:pPr>
              <w:spacing w:after="0"/>
              <w:rPr>
                <w:sz w:val="22"/>
                <w:szCs w:val="22"/>
                <w:color w:val="auto"/>
              </w:rPr>
            </w:pPr>
          </w:p>
        </w:tc>
        <w:tc>
          <w:tcPr>
            <w:tcW w:w="560" w:type="dxa"/>
            <w:vAlign w:val="bottom"/>
            <w:shd w:val="clear" w:color="auto" w:fill="D6F3E8"/>
          </w:tcPr>
          <w:p>
            <w:pPr>
              <w:spacing w:after="0"/>
              <w:rPr>
                <w:sz w:val="22"/>
                <w:szCs w:val="22"/>
                <w:color w:val="auto"/>
              </w:rPr>
            </w:pPr>
          </w:p>
        </w:tc>
        <w:tc>
          <w:tcPr>
            <w:tcW w:w="7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9"/>
        </w:trPr>
        <w:tc>
          <w:tcPr>
            <w:tcW w:w="4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w:t>
            </w: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3,903</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472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D6F3E8"/>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vMerge w:val="continue"/>
            <w:shd w:val="clear" w:color="auto" w:fill="D6F3E8"/>
          </w:tcPr>
          <w:p>
            <w:pPr>
              <w:spacing w:after="0"/>
              <w:rPr>
                <w:sz w:val="21"/>
                <w:szCs w:val="21"/>
                <w:color w:val="auto"/>
              </w:rPr>
            </w:pP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314</w:t>
            </w:r>
          </w:p>
        </w:tc>
        <w:tc>
          <w:tcPr>
            <w:tcW w:w="540" w:type="dxa"/>
            <w:vAlign w:val="bottom"/>
            <w:shd w:val="clear" w:color="auto" w:fill="D6F3E8"/>
          </w:tcPr>
          <w:p>
            <w:pPr>
              <w:spacing w:after="0"/>
              <w:rPr>
                <w:sz w:val="21"/>
                <w:szCs w:val="21"/>
                <w:color w:val="auto"/>
              </w:rPr>
            </w:pPr>
          </w:p>
        </w:tc>
        <w:tc>
          <w:tcPr>
            <w:tcW w:w="600" w:type="dxa"/>
            <w:vAlign w:val="bottom"/>
            <w:shd w:val="clear" w:color="auto" w:fill="D6F3E8"/>
          </w:tcPr>
          <w:p>
            <w:pPr>
              <w:spacing w:after="0"/>
              <w:rPr>
                <w:sz w:val="21"/>
                <w:szCs w:val="21"/>
                <w:color w:val="auto"/>
              </w:rPr>
            </w:pPr>
          </w:p>
        </w:tc>
        <w:tc>
          <w:tcPr>
            <w:tcW w:w="108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6,260</w:t>
            </w:r>
          </w:p>
        </w:tc>
        <w:tc>
          <w:tcPr>
            <w:tcW w:w="560" w:type="dxa"/>
            <w:vAlign w:val="bottom"/>
            <w:shd w:val="clear" w:color="auto" w:fill="D6F3E8"/>
          </w:tcPr>
          <w:p>
            <w:pPr>
              <w:spacing w:after="0"/>
              <w:rPr>
                <w:sz w:val="21"/>
                <w:szCs w:val="21"/>
                <w:color w:val="auto"/>
              </w:rPr>
            </w:pPr>
          </w:p>
        </w:tc>
        <w:tc>
          <w:tcPr>
            <w:tcW w:w="56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720" w:type="dxa"/>
            <w:vAlign w:val="bottom"/>
            <w:tcBorders>
              <w:top w:val="single" w:sz="8" w:color="D6F3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D6F3E8"/>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D6F3E8"/>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4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8"/>
              </w:rPr>
              <w:t>THREE MONTHS ENDED</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96"/>
              </w:rPr>
              <w:t>NINE MONTHS ENDED</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720" w:type="dxa"/>
            <w:vAlign w:val="bottom"/>
            <w:tcBorders>
              <w:bottom w:val="single" w:sz="8" w:color="D6F3E8"/>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3"/>
              </w:rPr>
              <w:t>DECEMBER 31, 2005</w:t>
            </w: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D6F3E8"/>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4"/>
                <w:szCs w:val="14"/>
                <w:b w:val="1"/>
                <w:bCs w:val="1"/>
                <w:color w:val="auto"/>
                <w:w w:val="93"/>
              </w:rPr>
              <w:t>DECEMBER 31, 2005</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D6F3E8"/>
          </w:tcPr>
          <w:p>
            <w:pPr>
              <w:jc w:val="right"/>
              <w:ind w:right="540"/>
              <w:spacing w:after="0"/>
              <w:rPr>
                <w:sz w:val="20"/>
                <w:szCs w:val="20"/>
                <w:color w:val="auto"/>
              </w:rPr>
            </w:pPr>
            <w:r>
              <w:rPr>
                <w:rFonts w:ascii="Arial" w:cs="Arial" w:eastAsia="Arial" w:hAnsi="Arial"/>
                <w:sz w:val="18"/>
                <w:szCs w:val="18"/>
                <w:color w:val="auto"/>
              </w:rPr>
              <w:t>34,353</w:t>
            </w:r>
          </w:p>
        </w:tc>
        <w:tc>
          <w:tcPr>
            <w:tcW w:w="600" w:type="dxa"/>
            <w:vAlign w:val="bottom"/>
            <w:shd w:val="clear" w:color="auto" w:fill="D6F3E8"/>
          </w:tcPr>
          <w:p>
            <w:pPr>
              <w:spacing w:after="0"/>
              <w:rPr>
                <w:sz w:val="21"/>
                <w:szCs w:val="21"/>
                <w:color w:val="auto"/>
              </w:rPr>
            </w:pPr>
          </w:p>
        </w:tc>
        <w:tc>
          <w:tcPr>
            <w:tcW w:w="108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106,851</w:t>
            </w:r>
          </w:p>
        </w:tc>
        <w:tc>
          <w:tcPr>
            <w:tcW w:w="560" w:type="dxa"/>
            <w:vAlign w:val="bottom"/>
            <w:shd w:val="clear" w:color="auto" w:fill="D6F3E8"/>
          </w:tcPr>
          <w:p>
            <w:pPr>
              <w:spacing w:after="0"/>
              <w:rPr>
                <w:sz w:val="21"/>
                <w:szCs w:val="21"/>
                <w:color w:val="auto"/>
              </w:rPr>
            </w:pPr>
          </w:p>
        </w:tc>
        <w:tc>
          <w:tcPr>
            <w:tcW w:w="56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9"/>
        </w:trPr>
        <w:tc>
          <w:tcPr>
            <w:tcW w:w="472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27,133</w:t>
            </w: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79.0</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80,951</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
        </w:trPr>
        <w:tc>
          <w:tcPr>
            <w:tcW w:w="472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D6F3E8"/>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20" w:type="dxa"/>
            <w:vAlign w:val="bottom"/>
            <w:vMerge w:val="continue"/>
            <w:shd w:val="clear" w:color="auto" w:fill="D6F3E8"/>
          </w:tcPr>
          <w:p>
            <w:pPr>
              <w:spacing w:after="0"/>
              <w:rPr>
                <w:sz w:val="22"/>
                <w:szCs w:val="22"/>
                <w:color w:val="auto"/>
              </w:rPr>
            </w:pPr>
          </w:p>
        </w:tc>
        <w:tc>
          <w:tcPr>
            <w:tcW w:w="36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7,220</w:t>
            </w:r>
          </w:p>
        </w:tc>
        <w:tc>
          <w:tcPr>
            <w:tcW w:w="540" w:type="dxa"/>
            <w:vAlign w:val="bottom"/>
            <w:shd w:val="clear" w:color="auto" w:fill="D6F3E8"/>
          </w:tcPr>
          <w:p>
            <w:pPr>
              <w:spacing w:after="0"/>
              <w:rPr>
                <w:sz w:val="22"/>
                <w:szCs w:val="22"/>
                <w:color w:val="auto"/>
              </w:rPr>
            </w:pPr>
          </w:p>
        </w:tc>
        <w:tc>
          <w:tcPr>
            <w:tcW w:w="6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21.0</w:t>
            </w:r>
          </w:p>
        </w:tc>
        <w:tc>
          <w:tcPr>
            <w:tcW w:w="380" w:type="dxa"/>
            <w:vAlign w:val="bottom"/>
            <w:shd w:val="clear" w:color="auto" w:fill="D6F3E8"/>
          </w:tcPr>
          <w:p>
            <w:pPr>
              <w:spacing w:after="0"/>
              <w:rPr>
                <w:sz w:val="22"/>
                <w:szCs w:val="22"/>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25,900</w:t>
            </w:r>
          </w:p>
        </w:tc>
        <w:tc>
          <w:tcPr>
            <w:tcW w:w="560" w:type="dxa"/>
            <w:vAlign w:val="bottom"/>
            <w:shd w:val="clear" w:color="auto" w:fill="D6F3E8"/>
          </w:tcPr>
          <w:p>
            <w:pPr>
              <w:spacing w:after="0"/>
              <w:rPr>
                <w:sz w:val="22"/>
                <w:szCs w:val="22"/>
                <w:color w:val="auto"/>
              </w:rPr>
            </w:pPr>
          </w:p>
        </w:tc>
        <w:tc>
          <w:tcPr>
            <w:tcW w:w="560" w:type="dxa"/>
            <w:vAlign w:val="bottom"/>
            <w:shd w:val="clear" w:color="auto" w:fill="D6F3E8"/>
          </w:tcPr>
          <w:p>
            <w:pPr>
              <w:spacing w:after="0"/>
              <w:rPr>
                <w:sz w:val="22"/>
                <w:szCs w:val="22"/>
                <w:color w:val="auto"/>
              </w:rPr>
            </w:pPr>
          </w:p>
        </w:tc>
        <w:tc>
          <w:tcPr>
            <w:tcW w:w="7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9"/>
        </w:trPr>
        <w:tc>
          <w:tcPr>
            <w:tcW w:w="4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4,709</w:t>
            </w:r>
          </w:p>
        </w:tc>
        <w:tc>
          <w:tcPr>
            <w:tcW w:w="600" w:type="dxa"/>
            <w:vAlign w:val="bottom"/>
          </w:tcPr>
          <w:p>
            <w:pPr>
              <w:spacing w:after="0"/>
              <w:rPr>
                <w:sz w:val="21"/>
                <w:szCs w:val="2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15,797</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64"/>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Litigation settlement</w:t>
            </w:r>
          </w:p>
        </w:tc>
        <w:tc>
          <w:tcPr>
            <w:tcW w:w="36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D6F3E8"/>
          </w:tcPr>
          <w:p>
            <w:pPr>
              <w:spacing w:after="0"/>
              <w:rPr>
                <w:sz w:val="22"/>
                <w:szCs w:val="22"/>
                <w:color w:val="auto"/>
              </w:rPr>
            </w:pPr>
          </w:p>
        </w:tc>
        <w:tc>
          <w:tcPr>
            <w:tcW w:w="6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0.0</w:t>
            </w:r>
          </w:p>
        </w:tc>
        <w:tc>
          <w:tcPr>
            <w:tcW w:w="38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500"/>
              <w:spacing w:after="0"/>
              <w:rPr>
                <w:sz w:val="20"/>
                <w:szCs w:val="20"/>
                <w:color w:val="auto"/>
              </w:rPr>
            </w:pPr>
            <w:r>
              <w:rPr>
                <w:rFonts w:ascii="Arial" w:cs="Arial" w:eastAsia="Arial" w:hAnsi="Arial"/>
                <w:sz w:val="18"/>
                <w:szCs w:val="18"/>
                <w:color w:val="auto"/>
              </w:rPr>
              <w:t>(1,016)</w:t>
            </w:r>
          </w:p>
        </w:tc>
        <w:tc>
          <w:tcPr>
            <w:tcW w:w="560" w:type="dxa"/>
            <w:vAlign w:val="bottom"/>
            <w:shd w:val="clear" w:color="auto" w:fill="D6F3E8"/>
          </w:tcPr>
          <w:p>
            <w:pPr>
              <w:spacing w:after="0"/>
              <w:rPr>
                <w:sz w:val="22"/>
                <w:szCs w:val="22"/>
                <w:color w:val="auto"/>
              </w:rPr>
            </w:pPr>
          </w:p>
        </w:tc>
        <w:tc>
          <w:tcPr>
            <w:tcW w:w="7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7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2,511</w:t>
            </w: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21"/>
                <w:szCs w:val="21"/>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11,119</w:t>
            </w:r>
          </w:p>
        </w:tc>
        <w:tc>
          <w:tcPr>
            <w:tcW w:w="5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64"/>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Investment income</w:t>
            </w:r>
          </w:p>
        </w:tc>
        <w:tc>
          <w:tcPr>
            <w:tcW w:w="36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242</w:t>
            </w:r>
          </w:p>
        </w:tc>
        <w:tc>
          <w:tcPr>
            <w:tcW w:w="540" w:type="dxa"/>
            <w:vAlign w:val="bottom"/>
            <w:shd w:val="clear" w:color="auto" w:fill="D6F3E8"/>
          </w:tcPr>
          <w:p>
            <w:pPr>
              <w:spacing w:after="0"/>
              <w:rPr>
                <w:sz w:val="22"/>
                <w:szCs w:val="22"/>
                <w:color w:val="auto"/>
              </w:rPr>
            </w:pPr>
          </w:p>
        </w:tc>
        <w:tc>
          <w:tcPr>
            <w:tcW w:w="6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D6F3E8"/>
          </w:tcPr>
          <w:p>
            <w:pPr>
              <w:spacing w:after="0"/>
              <w:rPr>
                <w:sz w:val="22"/>
                <w:szCs w:val="22"/>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619</w:t>
            </w:r>
          </w:p>
        </w:tc>
        <w:tc>
          <w:tcPr>
            <w:tcW w:w="560" w:type="dxa"/>
            <w:vAlign w:val="bottom"/>
            <w:shd w:val="clear" w:color="auto" w:fill="D6F3E8"/>
          </w:tcPr>
          <w:p>
            <w:pPr>
              <w:spacing w:after="0"/>
              <w:rPr>
                <w:sz w:val="22"/>
                <w:szCs w:val="22"/>
                <w:color w:val="auto"/>
              </w:rPr>
            </w:pPr>
          </w:p>
        </w:tc>
        <w:tc>
          <w:tcPr>
            <w:tcW w:w="560" w:type="dxa"/>
            <w:vAlign w:val="bottom"/>
            <w:shd w:val="clear" w:color="auto" w:fill="D6F3E8"/>
          </w:tcPr>
          <w:p>
            <w:pPr>
              <w:spacing w:after="0"/>
              <w:rPr>
                <w:sz w:val="22"/>
                <w:szCs w:val="22"/>
                <w:color w:val="auto"/>
              </w:rPr>
            </w:pPr>
          </w:p>
        </w:tc>
        <w:tc>
          <w:tcPr>
            <w:tcW w:w="7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7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2,753</w:t>
            </w: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1"/>
                <w:szCs w:val="21"/>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11,738</w:t>
            </w:r>
          </w:p>
        </w:tc>
        <w:tc>
          <w:tcPr>
            <w:tcW w:w="5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4"/>
        </w:trPr>
        <w:tc>
          <w:tcPr>
            <w:tcW w:w="4720" w:type="dxa"/>
            <w:vAlign w:val="bottom"/>
            <w:shd w:val="clear" w:color="auto" w:fill="D6F3E8"/>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926</w:t>
            </w:r>
          </w:p>
        </w:tc>
        <w:tc>
          <w:tcPr>
            <w:tcW w:w="540" w:type="dxa"/>
            <w:vAlign w:val="bottom"/>
            <w:shd w:val="clear" w:color="auto" w:fill="D6F3E8"/>
          </w:tcPr>
          <w:p>
            <w:pPr>
              <w:spacing w:after="0"/>
              <w:rPr>
                <w:sz w:val="22"/>
                <w:szCs w:val="22"/>
                <w:color w:val="auto"/>
              </w:rPr>
            </w:pPr>
          </w:p>
        </w:tc>
        <w:tc>
          <w:tcPr>
            <w:tcW w:w="6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D6F3E8"/>
          </w:tcPr>
          <w:p>
            <w:pPr>
              <w:spacing w:after="0"/>
              <w:rPr>
                <w:sz w:val="22"/>
                <w:szCs w:val="22"/>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4,161</w:t>
            </w:r>
          </w:p>
        </w:tc>
        <w:tc>
          <w:tcPr>
            <w:tcW w:w="560" w:type="dxa"/>
            <w:vAlign w:val="bottom"/>
            <w:shd w:val="clear" w:color="auto" w:fill="D6F3E8"/>
          </w:tcPr>
          <w:p>
            <w:pPr>
              <w:spacing w:after="0"/>
              <w:rPr>
                <w:sz w:val="22"/>
                <w:szCs w:val="22"/>
                <w:color w:val="auto"/>
              </w:rPr>
            </w:pPr>
          </w:p>
        </w:tc>
        <w:tc>
          <w:tcPr>
            <w:tcW w:w="560" w:type="dxa"/>
            <w:vAlign w:val="bottom"/>
            <w:shd w:val="clear" w:color="auto" w:fill="D6F3E8"/>
          </w:tcPr>
          <w:p>
            <w:pPr>
              <w:spacing w:after="0"/>
              <w:rPr>
                <w:sz w:val="22"/>
                <w:szCs w:val="22"/>
                <w:color w:val="auto"/>
              </w:rPr>
            </w:pPr>
          </w:p>
        </w:tc>
        <w:tc>
          <w:tcPr>
            <w:tcW w:w="7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20" w:type="dxa"/>
            <w:vAlign w:val="bottom"/>
            <w:vMerge w:val="continue"/>
          </w:tcPr>
          <w:p>
            <w:pPr>
              <w:spacing w:after="0"/>
              <w:rPr>
                <w:sz w:val="21"/>
                <w:szCs w:val="21"/>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1,827</w:t>
            </w: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7,578</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7037070</wp:posOffset>
            </wp:positionH>
            <wp:positionV relativeFrom="paragraph">
              <wp:posOffset>-2203450</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-2203450</wp:posOffset>
            </wp:positionV>
            <wp:extent cx="351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Sales increased $2,686,189, or 7.8%, in the three months ended December 31, 2006, and $13,849,245, or 13.0%, in the nine months ended December 31, 2006 as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same periods a year ago. Sales of bulk chemicals, including caustic soda, for the three and nine months ended December 31, 2006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33% and 35% of total sales, respectively, and were approximately 35% and 36% for the same respective periods in the previous year. Industrial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segment sales increased by $1,897,950 or 8.9% in the three months ended December 31, 2006 and increased by $8,638,260 or 14.1% in the nine-month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2006 as compared to the same respective periods in 2005. The sales increase for the three and nine-months ended December 31, 2006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same periods in the prior year was primarily a result of increased sales volumes within existing product lines. Caustic soda volumes sold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December 31, 2006 were comparable to the prior year period. Water Treatment segment sales increased by $1,473,978 or 14.1%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$6,116,133 or 16.0% respectively, in the three and nine-month periods ended December 31, 2006 as compared to the same respective periods in 2005. During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three and nine-month periods ended December 31, 2006, the Water Treatment segment sales increases were attributable to selling price increases connected with</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material cost increases and successful expansion of existing product lines to new and existing customers. Pharmaceutical sales declined by 27.4% to $1,816,563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December 31, 2006 and declined by 12.0% to $6,662,951 for the nine months ended December 31, 2006, as compared to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periods in fiscal 2006. The decrease in sales was due primarily to restrictions placed on the Company’s ability to sell certain products by the Minneapolis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 of the Food and Drug Administration (the “FDA”) and, to a lesser extent, competitive pressures. The FDA matter is described in more detail below.</w:t>
      </w:r>
    </w:p>
    <w:p>
      <w:pPr>
        <w:spacing w:after="0" w:line="2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2006, the Company received a warning letter from the FDA. The Company responded to this letter and subsequently received a letter from the FDA in November 2006 requesting that the Company cease shipments of certain products until it resolved certain issues with the FDA with respect to the validation of packaging configurations and expiration dating for those products. The Company is working to resolve this matter as promptly as possible and suspended shipment of the affected products to customers until</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31" w:right="259" w:bottom="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ectPr>
          <w:pgSz w:w="11900" w:h="16838" w:orient="portrait"/>
          <w:cols w:equalWidth="0" w:num="1">
            <w:col w:w="11400"/>
          </w:cols>
          <w:pgMar w:left="240" w:top="131" w:right="259" w:bottom="74" w:gutter="0" w:footer="0" w:header="0"/>
          <w:type w:val="continuous"/>
        </w:sectPr>
      </w:pPr>
    </w:p>
    <w:bookmarkStart w:id="7" w:name="page8"/>
    <w:bookmarkEnd w:id="7"/>
    <w:p>
      <w:pPr>
        <w:ind w:right="60"/>
        <w:spacing w:after="0" w:line="291" w:lineRule="auto"/>
        <w:rPr>
          <w:sz w:val="20"/>
          <w:szCs w:val="20"/>
          <w:color w:val="auto"/>
        </w:rPr>
      </w:pPr>
      <w:r>
        <w:rPr>
          <w:rFonts w:ascii="Arial" w:cs="Arial" w:eastAsia="Arial" w:hAnsi="Arial"/>
          <w:sz w:val="16"/>
          <w:szCs w:val="16"/>
          <w:color w:val="auto"/>
        </w:rPr>
        <w:t>the matter is resolved. The FDA has also requested that the Company cease shipments of certain other pharmaceutical products until this matter is resolved and the Company is complying with this request. The Company has received clearance from the FDA to sell some of the products initially affected, however sales for the fourth quarter of fiscal 2007 are expected to decrease in comparison to the prior year and to be relatively consistent with the third quarter of fiscal 2007. The Company currently has approximately $100,000 of Pharmaceutical products in inventory that it is not permitted to sell as a result of this matter. At this time, the Company is unable to determine the impact of the FDA letter on future results of operations for the Pharmaceutical segment, however the Company does not expect a material impact to the Company’s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Gross margin, as a percentage of sales, for the three and nine months ended December 31, 2006 was 18.9% and 24.0%, respectively, compared to 21.0% and</w:t>
      </w:r>
    </w:p>
    <w:p>
      <w:pPr>
        <w:spacing w:after="0" w:line="38"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24.2%, respectively, for the comparable periods of 2005. For the Industrial segment, gross margin, as a percentage of sales, was 15.1% for the three months ended December 31, 2006 compared to 16.6% in the prior year and 19.5% for the nine months ended December 31, 2006 compared to 18.9% for the comparable period in 2005. The decrease for the three months ended December 31, 2006 was primarily attributable to the LIFO method of valuing inventory, which negatively impacted the gross margin as a result of changes in the cost of caustic soda and inventory levels, and to a lesser extent a change in product mix. Gross margin, as a percentage of sales, for the Water Treatment segment was 25.4% for the three months ended December 31, 2006 compared to 27.6% in the comparable period of 2005 and 30.3% for the nine-month period ended December 31, 2006 compared to 31.6% for the comparable period of 2005. The decreases were primarily attributable to the LIFO method of valuing inventory, which negatively impacted the gross margin as a result of changes in material costs and inventory levels and changes in product mix. For both the Industrial and Water Treatment segments, the Company attempts to maintain relatively constant dollar margins as the cost of caustic soda and other raw material costs increase or decrease. The product costs are normally subject to fluctuations, which are expected to continue in future periods. By maintaining relatively stable dollar margins, the gross margin percentage will decrease when the cost of the product is increasing and will increase when the cost of the product is decreasing. Gross margin, as a percentage of sales, for the Pharmaceutical segment was 24.8% for the three months ended December 31, 2006 compared to 31.7% in the comparable period of fiscal 2005 and was 29.3% for the nine months ended December 31, 2006 compared to</w:t>
      </w:r>
    </w:p>
    <w:p>
      <w:pPr>
        <w:spacing w:after="0" w:line="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30.3% for the same period a year ago. The decreases were primarily attributable to the decrease in sales associated with the FDA matter as discussed above as sales were not at a level sufficient to cover fixed costs.</w:t>
      </w:r>
    </w:p>
    <w:p>
      <w:pPr>
        <w:spacing w:after="0" w:line="19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Selling, general and administrative expenses increased $2,007,678, or 42.6% and $4,038,509, or 25.6%, for the three and nine-months ended December 31, 2006, respectively. A significant portion of the increase was due to costs associated with the Company’s implementation of an Enterprise Resource Planning (ERP) system, including consultants and contractors, depreciation, and employee overtime. Consulting and contractor fees were approximately $670,000 during the three months ended December 31, 2006, which is expected to remain relatively consistent for the three months ended April 1, 2007 and are expected to gradually decrease in fiscal 2008. To a lesser extent, increased staff to support sales growth also contributed to the increase in selling, general and administrative expenses. Excluding the costs associated with the implementation of the ERP, employee compensation and benefits comprise the majority of the selling, general and administrative expenditures.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Investment income increased $388,822 for the nine months ended December 31, 2006, compared to the same period in the prior year. The increase was primarily due to a loss of $211,859 recognized during the quarter ended September 30, 2005 and a loss of $30,595 recognized during the quarter ended December 31, 2005 related to a decline in the market value of an investment that was deemed other than temporary, and a higher rate of return on the Company’s cash equivalents and marketable securities during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The effective income tax rate was 50.4% and 38.4% for the three and nine months ended December 31, 2006, respectively compared to 33.6% and 35.4% for the three and nine months ended December 31, 2005, respectively. The significant increase for the three months ended December 31, 2006 was due to an increase in the estimated effective rate for fiscal 2007 from 37.6% to 38.4% due to changes in the estimated benefit for the deduction of qualified production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the nine-month period ended December 31, 2006, cash provided by operations was $7,558,850 compared to $4,327,666 for the same period in the prior year. Fluctuations in inventory and accounts payable were principally responsible for the increase in cash provided by operating activities. Due to the nature of our operations, which includes purchases of large quantities of bulk chemicals, timing of purchases can result in significant changes in operating cash flow. Cash used in investing activities decreased by $1,592,070, primarily due to a $1,526,673 decrease in capital expenditures during fiscal 2007 as compared to fiscal 2006. Capital expenditures during the nine months ended December 31, 2006 consisted primarily of facility improvement projects and ERP-related additions. Capital expenditures for the remainder of this fiscal year are expected to be relatively comparable with the three previous years and are expected to relate primarily to facilities improvement projects.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6"/>
        <w:spacing w:after="0" w:line="286" w:lineRule="auto"/>
        <w:rPr>
          <w:sz w:val="20"/>
          <w:szCs w:val="20"/>
          <w:color w:val="auto"/>
        </w:rPr>
      </w:pPr>
      <w:r>
        <w:rPr>
          <w:rFonts w:ascii="Arial" w:cs="Arial" w:eastAsia="Arial" w:hAnsi="Arial"/>
          <w:sz w:val="16"/>
          <w:szCs w:val="16"/>
          <w:color w:val="auto"/>
        </w:rPr>
        <w:t>Cash, cash equivalents and investments (excluding held-to-maturity investments of $371,581 at December 31, 2006 and $365,000 at April 2, 2006) decreased slightly from $25,790,392 as of April 2, 2006 to $25,483,255 as of December 31, 2006. Cash equivalents consist of money market accounts and certificates of deposit with an original maturity of three months or less. Investments available-for-sale consists of investment contracts with high-rated, stable insurance companies; marketable securities consisting of corporate and municipal bonds; U.S. Government agency securities and a mutual fund carried at fair value. The Company’s investment objectives in order of importance are the preservation of principal, maintenance of liquidity and rate of return. The fixed income portfolio consists primarily of investment grade securities to minimize credit risk, and they generally mature within 10 years. The Company invests in a mutual fund with characteristics similar to its fixed income portfolio to enhance its investment portfolio diversification. The Company monitors the maturities of its investments to ensure that funding is available for anticipated cash needs. At December 31, 2006 and April 2, 2006, respectively, $3,294,110 and $5,293,341 of available-for-sale investments were classified as non-current assets as they were determined to be temporarily impaired and have maturity dates of one year or longer. These investments were not determined to be other-than-temporarily impaired as the Company has the intent and ability to hold these investments for a period of time sufficient to allow a recovery of fair value. Expected future cash flows from operations, cash equivalents and investments included within current assets are expected to fund the Company’s short-term working capital needs.</w:t>
      </w:r>
    </w:p>
    <w:p>
      <w:pPr>
        <w:sectPr>
          <w:pgSz w:w="11900" w:h="16838" w:orient="portrait"/>
          <w:cols w:equalWidth="0" w:num="1">
            <w:col w:w="11420"/>
          </w:cols>
          <w:pgMar w:left="240" w:top="131" w:right="239" w:bottom="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At December 31, 2006, the Company had an investment portfolio of fixed income securities valued at $6,754,048, a mutual fund investment valued at</w:t>
      </w:r>
    </w:p>
    <w:p>
      <w:pPr>
        <w:spacing w:after="0" w:line="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$7,541,785, and $11,559,003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 that the Company is invested in, like all mutual funds, may increase or decrease due to market volatility. The Company recorded losses of $30,595 and $242,454 during the nine months ended December 31, 2006 and 2005, respectively, due to declines in market value that were deemed other than temporary. The mutual fund held by the Company as of December 31, 2006 is a short-term bond fund that invests primarily in U.S. Government securities.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December 31, 2006 puts it in a position to obtain debt financing on favorable terms.</w:t>
      </w:r>
    </w:p>
    <w:p>
      <w:pPr>
        <w:spacing w:after="0" w:line="16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Management periodically reviews opportunities to enhance the value of the Company through strategic acquisitions, other capital investments and strategic divestitures; and at this time, no material commitments for such investments or divestitures exist. Until appropriate investment opportunities are identified, the Company will invest excess cash in conservative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April 2, 2006. The accounting policies used in preparing the Company’s interim fiscal 2007 financial statements are the same as those described in the Company’s Annual Report.</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title passes to our customers, which occurs primarily when product has been shipped, if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that the customer has agreed to purchase the products, performance has occurred, the price and terms of sale are fixed, and collection of the receivable is reasonably assured.</w:t>
      </w:r>
    </w:p>
    <w:p>
      <w:pPr>
        <w:spacing w:after="0" w:line="19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Statement of Financial Accounting Standard (SFAS) No. 115, “Accounting for Certain Investments in Debt and Equity Securities,”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Commission (SEC) Staff Accounting Bulletin (SAB) 59, “Accounting for Noncurrent Marketable Equity Securities,” and FASB Staff Position (FSP) FAS No. 115-1 and FAS No. 124-1, “The Meaning of Other-Than-Temporary Impairment and Its Application to Certain Investments”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7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 Accounts receivable are reduced by an allowance for amounts that may become uncollectible in the future. Substantially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allowance for doubtful accounts on a quarterly basis. There can be no assurance that our estimates will match actual amounts ultimately written off.</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usage and sales and, if necessary, writes down the value of inventory deemed obsolete or excess to market. Though management considers these reserves adequate and proper, changes in sales volumes due to unexpected economic or competitive conditions are among the factors that could materially affect the adequacy of this reserve.</w:t>
      </w:r>
    </w:p>
    <w:p>
      <w:pPr>
        <w:spacing w:after="0" w:line="19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LIFO Reserve – </w:t>
      </w:r>
      <w:r>
        <w:rPr>
          <w:rFonts w:ascii="Arial" w:cs="Arial" w:eastAsia="Arial" w:hAnsi="Arial"/>
          <w:sz w:val="16"/>
          <w:szCs w:val="16"/>
          <w:color w:val="auto"/>
        </w:rPr>
        <w:t>Inventories are primarily valued with cost being determined using the last-in, first-out (LIFO) method. We may incur significant fluctuations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our gross margins due primarily to changes in the cost of a single, large-volume component of inventory. The price of this inventory component may vary depending on the balance between supply and demand. Management reviews the LIFO reserve on a quarterly basis.</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We evaluate the carrying value of long-lived assets, including intangible assets subject to amortization and property,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when events and changes in circumstances warrant such a review, such as prolonged industry downturn or significant reductions in projected future cash flows.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w:t>
      </w:r>
    </w:p>
    <w:p>
      <w:pPr>
        <w:spacing w:after="0" w:line="20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i w:val="1"/>
          <w:iCs w:val="1"/>
          <w:color w:val="auto"/>
        </w:rPr>
        <w:t xml:space="preserve">Self Insurance </w:t>
      </w:r>
      <w:r>
        <w:rPr>
          <w:rFonts w:ascii="Arial" w:cs="Arial" w:eastAsia="Arial" w:hAnsi="Arial"/>
          <w:sz w:val="16"/>
          <w:szCs w:val="16"/>
          <w:color w:val="auto"/>
        </w:rPr>
        <w:t>– The Company is self insured for employee medical benefits and third party insurance is carried for what is believed to be the major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exposures that would exceed the Company’s self-insured retentions. The Company has established a liability for potential uninsured claims. The Company considers factors such as known outstanding claims, historical experience, and other relevant factors in setting the liability. These reserves are</w:t>
      </w:r>
    </w:p>
    <w:p>
      <w:pPr>
        <w:sectPr>
          <w:pgSz w:w="11900" w:h="16838" w:orient="portrait"/>
          <w:cols w:equalWidth="0" w:num="1">
            <w:col w:w="11420"/>
          </w:cols>
          <w:pgMar w:left="240" w:top="131" w:right="239" w:bottom="0" w:gutter="0" w:footer="0" w:header="0"/>
        </w:sectPr>
      </w:pPr>
    </w:p>
    <w:bookmarkStart w:id="9" w:name="page10"/>
    <w:bookmarkEnd w:id="9"/>
    <w:p>
      <w:pPr>
        <w:ind w:right="120"/>
        <w:spacing w:after="0" w:line="268" w:lineRule="auto"/>
        <w:rPr>
          <w:sz w:val="20"/>
          <w:szCs w:val="20"/>
          <w:color w:val="auto"/>
        </w:rPr>
      </w:pPr>
      <w:r>
        <w:rPr>
          <w:rFonts w:ascii="Arial" w:cs="Arial" w:eastAsia="Arial" w:hAnsi="Arial"/>
          <w:sz w:val="18"/>
          <w:szCs w:val="18"/>
          <w:color w:val="auto"/>
        </w:rPr>
        <w:t>monitored and adjusted when warranted by changing circumstances. Though management considers these balances adequate, a substantial change in the number and/or severity of claims could result in materially different amounts for this item.</w:t>
      </w:r>
    </w:p>
    <w:p>
      <w:pPr>
        <w:spacing w:after="0" w:line="18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the preparation of the Company’s financial statements, management calculates income taxes. This includes estimating the current tax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ITEM 3.  QUANTITATIVE AND QUALITATIVE DISCLOSURES ABOUT MARKET RISK</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December 31, 2006, the Company had an investment portfolio of fixed income securities of $6,754,048, a mutual fund investment valued at $7,541,785, investment contracts of $3,533,871 and cash and cash equivalents of $8,025,132.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 like all mutual funds, may increase or decrease due to market volatility. The mutual fund consists primarily of U.S. Government securities. The investment contracts are variable rate contracts with high-rated, stable insurance companies that reset on a quarterly basis. A hypothetical 1% change in rates would impact investment income by approximately $35,000, based upon the amount of variable rate investment contracts held at December 31, 2006. The Company adjusts the carrying value of its investments down if an impairment occurs that is other than temporary.</w:t>
      </w:r>
    </w:p>
    <w:p>
      <w:pPr>
        <w:spacing w:after="0" w:line="17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generally attempt to pass changes in material prices to our customers; however, there are no assurances that we will be able to pass on the increases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ITEM 4.  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December 31, 2006 pursuant to Rule 13a-15(b) of the Securities Exchange Act of 1934 (the “Exchange Act”). Based upon their evaluation, our Chief Executive Officer and our Chief Financial Officer concluded that our disclosure controls and procedures were not effective for the purposes for which they were designed as of the end of such quarter because implementation and transitional issues encountered with implementation of our new Enterprise Resource Planning (“ERP”) system, discussed in more detail below, resulted in our inability to file this report within the filing period specified in the SEC’s rules and forms.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31"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color w:val="auto"/>
        </w:rPr>
        <w:t>We implemented the new ERP system in October 2006. ERP systems are highly complex and as a result of the implementation there were significant changes in our internal controls, processes and procedures during the quarter ended December 31, 2006. These changes primarily affect recording and reporting of revenues, inventory and expenditures. We also encountered implementation and transitional issues with the new ERP system, including significant issues related to business segment reporting. To address these issues, we modified ongoing processes and controls during the implementation period. These modifications included putting in place a number of manual controls and procedures as management could not test or rely on certain of the internal controls that are part of the ERP system.</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Management is in the process of planning and implementing actions to replace the majority of these manual controls and procedures with automated controls in subsequent quarters. We were unable to timely file this report as significant additional resources and efforts were required in order to prepare our condensed financial statements as of and for the quarter ended December 31, 2006.</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Other than as described above, there was no change during the quarter in our internal control over financial reporting that has materially affected, or is reasonably likely to materially affect, our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ITEM 1A.  RISK FACTORS</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have been no material changes to the Company’s risk factors from those disclosed in the Company’s Annual Report on Form 10-K for the fiscal year ended April 2, 2006, as updated by the Company’s Quarterly Reports on Form 10-Q filed since that date.</w:t>
      </w:r>
    </w:p>
    <w:p>
      <w:pPr>
        <w:sectPr>
          <w:pgSz w:w="11900" w:h="16838" w:orient="portrait"/>
          <w:cols w:equalWidth="0" w:num="1">
            <w:col w:w="11420"/>
          </w:cols>
          <w:pgMar w:left="240" w:top="131" w:right="239" w:bottom="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ITEM 6.  EXHIBITS</w:t>
      </w:r>
    </w:p>
    <w:p>
      <w:pPr>
        <w:sectPr>
          <w:pgSz w:w="11900" w:h="16838" w:orient="portrait"/>
          <w:cols w:equalWidth="0" w:num="1">
            <w:col w:w="11420"/>
          </w:cols>
          <w:pgMar w:left="240" w:top="131" w:right="239" w:bottom="0" w:gutter="0" w:footer="0" w:header="0"/>
          <w:type w:val="continuous"/>
        </w:sectPr>
      </w:pPr>
    </w:p>
    <w:bookmarkStart w:id="10" w:name="page11"/>
    <w:bookmarkEnd w:id="10"/>
    <w:p>
      <w:pPr>
        <w:spacing w:after="0" w:line="349" w:lineRule="auto"/>
        <w:framePr w:w="1320" w:h="602" w:wrap="auto" w:vAnchor="page" w:hAnchor="page" w:x="6160" w:y="11071"/>
        <w:rPr>
          <w:rFonts w:ascii="Arial" w:cs="Arial" w:eastAsia="Arial" w:hAnsi="Arial"/>
          <w:sz w:val="18"/>
          <w:szCs w:val="18"/>
          <w:color w:val="auto"/>
        </w:rPr>
      </w:pPr>
      <w:r>
        <w:rPr>
          <w:rFonts w:ascii="Arial" w:cs="Arial" w:eastAsia="Arial" w:hAnsi="Arial"/>
          <w:sz w:val="18"/>
          <w:szCs w:val="18"/>
          <w:color w:val="auto"/>
        </w:rPr>
        <w:t>HAWKINS, INC. By:</w:t>
      </w:r>
    </w:p>
    <w:p>
      <w:pPr>
        <w:jc w:val="center"/>
        <w:ind w:right="-439"/>
        <w:spacing w:after="0"/>
        <w:rPr>
          <w:sz w:val="20"/>
          <w:szCs w:val="20"/>
          <w:color w:val="auto"/>
        </w:rPr>
      </w:pPr>
      <w:r>
        <w:rPr>
          <w:rFonts w:ascii="Arial" w:cs="Arial" w:eastAsia="Arial" w:hAnsi="Arial"/>
          <w:sz w:val="22"/>
          <w:szCs w:val="22"/>
          <w:color w:val="auto"/>
        </w:rPr>
        <w:t>Exhibit Index</w:t>
      </w:r>
    </w:p>
    <w:p>
      <w:pPr>
        <w:spacing w:after="0" w:line="372" w:lineRule="exact"/>
        <w:rPr>
          <w:rFonts w:ascii="Arial" w:cs="Arial" w:eastAsia="Arial" w:hAnsi="Arial"/>
          <w:sz w:val="18"/>
          <w:szCs w:val="18"/>
          <w:color w:val="auto"/>
        </w:rPr>
      </w:pPr>
    </w:p>
    <w:tbl>
      <w:tblPr>
        <w:tblLayout w:type="fixed"/>
        <w:tblInd w:w="520" w:type="dxa"/>
        <w:tblCellMar>
          <w:top w:w="0" w:type="dxa"/>
          <w:left w:w="0" w:type="dxa"/>
          <w:bottom w:w="0" w:type="dxa"/>
          <w:right w:w="0" w:type="dxa"/>
        </w:tblCellMar>
      </w:tblPr>
      <w:tr>
        <w:trPr>
          <w:trHeight w:val="207"/>
        </w:trPr>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Exhibit</w:t>
            </w:r>
          </w:p>
        </w:tc>
        <w:tc>
          <w:tcPr>
            <w:tcW w:w="10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140" w:type="dxa"/>
            <w:vAlign w:val="bottom"/>
            <w:gridSpan w:val="3"/>
          </w:tcPr>
          <w:p>
            <w:pPr>
              <w:jc w:val="center"/>
              <w:ind w:left="172"/>
              <w:spacing w:after="0"/>
              <w:rPr>
                <w:sz w:val="20"/>
                <w:szCs w:val="20"/>
                <w:color w:val="auto"/>
              </w:rPr>
            </w:pPr>
            <w:r>
              <w:rPr>
                <w:rFonts w:ascii="Arial" w:cs="Arial" w:eastAsia="Arial" w:hAnsi="Arial"/>
                <w:sz w:val="18"/>
                <w:szCs w:val="18"/>
                <w:color w:val="auto"/>
                <w:w w:val="93"/>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0"/>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w w:val="91"/>
              </w:rPr>
              <w:t>Amended and Second Restated Articles of Incorporation as amended through February 27, 2001. (1)</w:t>
            </w:r>
          </w:p>
        </w:tc>
        <w:tc>
          <w:tcPr>
            <w:tcW w:w="2140" w:type="dxa"/>
            <w:vAlign w:val="bottom"/>
            <w:gridSpan w:val="3"/>
          </w:tcPr>
          <w:p>
            <w:pPr>
              <w:jc w:val="center"/>
              <w:ind w:left="172"/>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140" w:type="dxa"/>
            <w:vAlign w:val="bottom"/>
            <w:gridSpan w:val="3"/>
          </w:tcPr>
          <w:p>
            <w:pPr>
              <w:jc w:val="center"/>
              <w:ind w:left="172"/>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140" w:type="dxa"/>
            <w:vAlign w:val="bottom"/>
            <w:gridSpan w:val="3"/>
          </w:tcPr>
          <w:p>
            <w:pPr>
              <w:jc w:val="center"/>
              <w:ind w:left="17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744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140" w:type="dxa"/>
            <w:vAlign w:val="bottom"/>
            <w:gridSpan w:val="3"/>
          </w:tcPr>
          <w:p>
            <w:pPr>
              <w:jc w:val="center"/>
              <w:ind w:left="17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40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140" w:type="dxa"/>
            <w:vAlign w:val="bottom"/>
            <w:gridSpan w:val="3"/>
          </w:tcPr>
          <w:p>
            <w:pPr>
              <w:jc w:val="center"/>
              <w:ind w:left="17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40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140" w:type="dxa"/>
            <w:vAlign w:val="bottom"/>
            <w:gridSpan w:val="3"/>
          </w:tcPr>
          <w:p>
            <w:pPr>
              <w:jc w:val="center"/>
              <w:ind w:left="172"/>
              <w:spacing w:after="0"/>
              <w:rPr>
                <w:sz w:val="20"/>
                <w:szCs w:val="20"/>
                <w:color w:val="auto"/>
              </w:rPr>
            </w:pPr>
            <w:r>
              <w:rPr>
                <w:rFonts w:ascii="Arial" w:cs="Arial" w:eastAsia="Arial" w:hAnsi="Arial"/>
                <w:sz w:val="18"/>
                <w:szCs w:val="18"/>
                <w:color w:val="auto"/>
                <w:w w:val="93"/>
              </w:rPr>
              <w:t>Filed Electronically</w:t>
            </w:r>
          </w:p>
        </w:tc>
      </w:tr>
    </w:tbl>
    <w:p>
      <w:pPr>
        <w:spacing w:after="0" w:line="200" w:lineRule="exact"/>
        <w:rPr>
          <w:rFonts w:ascii="Arial" w:cs="Arial" w:eastAsia="Arial" w:hAnsi="Arial"/>
          <w:sz w:val="18"/>
          <w:szCs w:val="18"/>
          <w:color w:val="auto"/>
        </w:rPr>
      </w:pPr>
    </w:p>
    <w:p>
      <w:pPr>
        <w:spacing w:after="0" w:line="293" w:lineRule="exact"/>
        <w:rPr>
          <w:rFonts w:ascii="Arial" w:cs="Arial" w:eastAsia="Arial" w:hAnsi="Arial"/>
          <w:sz w:val="18"/>
          <w:szCs w:val="18"/>
          <w:color w:val="auto"/>
        </w:rPr>
      </w:pPr>
    </w:p>
    <w:p>
      <w:pPr>
        <w:ind w:left="920" w:hanging="345"/>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Annual Report on Form 10-K for the year ended September 30, 2001.</w:t>
      </w:r>
    </w:p>
    <w:p>
      <w:pPr>
        <w:spacing w:after="0" w:line="207" w:lineRule="exact"/>
        <w:rPr>
          <w:rFonts w:ascii="Arial" w:cs="Arial" w:eastAsia="Arial" w:hAnsi="Arial"/>
          <w:sz w:val="16"/>
          <w:szCs w:val="16"/>
          <w:color w:val="auto"/>
        </w:rPr>
      </w:pPr>
    </w:p>
    <w:p>
      <w:pPr>
        <w:ind w:left="920" w:hanging="345"/>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jc w:val="center"/>
        <w:ind w:right="-439"/>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jc w:val="center"/>
        <w:ind w:right="-439"/>
        <w:spacing w:after="0"/>
        <w:rPr>
          <w:sz w:val="20"/>
          <w:szCs w:val="20"/>
          <w:color w:val="auto"/>
        </w:rPr>
      </w:pPr>
      <w:r>
        <w:rPr>
          <w:rFonts w:ascii="Arial" w:cs="Arial" w:eastAsia="Arial" w:hAnsi="Arial"/>
          <w:sz w:val="22"/>
          <w:szCs w:val="22"/>
          <w:b w:val="1"/>
          <w:bCs w:val="1"/>
          <w:color w:val="auto"/>
        </w:rPr>
        <w:t>SIGNATURES</w:t>
      </w:r>
    </w:p>
    <w:p>
      <w:pPr>
        <w:spacing w:after="0" w:line="185" w:lineRule="exact"/>
        <w:rPr>
          <w:rFonts w:ascii="Arial" w:cs="Arial" w:eastAsia="Arial" w:hAnsi="Arial"/>
          <w:sz w:val="18"/>
          <w:szCs w:val="18"/>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7920"/>
        <w:spacing w:after="0"/>
        <w:rPr>
          <w:sz w:val="20"/>
          <w:szCs w:val="20"/>
          <w:color w:val="auto"/>
        </w:rPr>
      </w:pPr>
      <w:r>
        <w:rPr>
          <w:rFonts w:ascii="Arial" w:cs="Arial" w:eastAsia="Arial" w:hAnsi="Arial"/>
          <w:sz w:val="18"/>
          <w:szCs w:val="18"/>
          <w:color w:val="auto"/>
        </w:rPr>
        <w:t>/s/  Marvin E. Dee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4035425</wp:posOffset>
            </wp:positionH>
            <wp:positionV relativeFrom="paragraph">
              <wp:posOffset>10795</wp:posOffset>
            </wp:positionV>
            <wp:extent cx="28555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46" w:lineRule="exact"/>
        <w:rPr>
          <w:rFonts w:ascii="Arial" w:cs="Arial" w:eastAsia="Arial" w:hAnsi="Arial"/>
          <w:sz w:val="18"/>
          <w:szCs w:val="18"/>
          <w:color w:val="auto"/>
        </w:rPr>
      </w:pPr>
    </w:p>
    <w:p>
      <w:pPr>
        <w:jc w:val="center"/>
        <w:ind w:left="5780"/>
        <w:spacing w:after="0"/>
        <w:rPr>
          <w:sz w:val="20"/>
          <w:szCs w:val="20"/>
          <w:color w:val="auto"/>
        </w:rPr>
      </w:pPr>
      <w:r>
        <w:rPr>
          <w:rFonts w:ascii="Arial" w:cs="Arial" w:eastAsia="Arial" w:hAnsi="Arial"/>
          <w:sz w:val="18"/>
          <w:szCs w:val="18"/>
          <w:color w:val="auto"/>
        </w:rPr>
        <w:t>Marvin E. Dee</w:t>
      </w:r>
    </w:p>
    <w:p>
      <w:pPr>
        <w:spacing w:after="0" w:line="225" w:lineRule="exact"/>
        <w:rPr>
          <w:rFonts w:ascii="Arial" w:cs="Arial" w:eastAsia="Arial" w:hAnsi="Arial"/>
          <w:sz w:val="18"/>
          <w:szCs w:val="18"/>
          <w:color w:val="auto"/>
        </w:rPr>
      </w:pPr>
    </w:p>
    <w:p>
      <w:pPr>
        <w:jc w:val="center"/>
        <w:ind w:left="5780"/>
        <w:spacing w:after="0"/>
        <w:rPr>
          <w:sz w:val="20"/>
          <w:szCs w:val="20"/>
          <w:color w:val="auto"/>
        </w:rPr>
      </w:pPr>
      <w:r>
        <w:rPr>
          <w:rFonts w:ascii="Arial" w:cs="Arial" w:eastAsia="Arial" w:hAnsi="Arial"/>
          <w:sz w:val="16"/>
          <w:szCs w:val="16"/>
          <w:color w:val="auto"/>
        </w:rPr>
        <w:t>Vice President, Chief Financial Officer, Secretary and Treasurer</w:t>
      </w:r>
    </w:p>
    <w:p>
      <w:pPr>
        <w:spacing w:after="0" w:line="38" w:lineRule="exact"/>
        <w:rPr>
          <w:rFonts w:ascii="Arial" w:cs="Arial" w:eastAsia="Arial" w:hAnsi="Arial"/>
          <w:sz w:val="18"/>
          <w:szCs w:val="18"/>
          <w:color w:val="auto"/>
        </w:rPr>
      </w:pPr>
    </w:p>
    <w:p>
      <w:pPr>
        <w:jc w:val="center"/>
        <w:ind w:left="5780"/>
        <w:spacing w:after="0"/>
        <w:rPr>
          <w:sz w:val="20"/>
          <w:szCs w:val="20"/>
          <w:color w:val="auto"/>
        </w:rPr>
      </w:pPr>
      <w:r>
        <w:rPr>
          <w:rFonts w:ascii="Arial" w:cs="Arial" w:eastAsia="Arial" w:hAnsi="Arial"/>
          <w:sz w:val="16"/>
          <w:szCs w:val="16"/>
          <w:color w:val="auto"/>
        </w:rPr>
        <w:t>(On behalf of the Registrant and as principal financial officer)</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Dated:  May 7, 2007</w:t>
      </w:r>
    </w:p>
    <w:p>
      <w:pPr>
        <w:sectPr>
          <w:pgSz w:w="11900" w:h="16838" w:orient="portrait"/>
          <w:cols w:equalWidth="0" w:num="1">
            <w:col w:w="11000"/>
          </w:cols>
          <w:pgMar w:left="240" w:top="118" w:right="659" w:bottom="63"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jc w:val="center"/>
        <w:ind w:right="-4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00"/>
          </w:cols>
          <w:pgMar w:left="240" w:top="118" w:right="659" w:bottom="63"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Exhibit Index</w:t>
      </w:r>
    </w:p>
    <w:p>
      <w:pPr>
        <w:spacing w:after="0" w:line="37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6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0"/>
        </w:trPr>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w w:val="94"/>
              </w:rPr>
              <w:t>Amended and Second Restated Articles of Incorporation as amended through February 27, 2001. (1)</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774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5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70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5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670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93"/>
              </w:rPr>
              <w:t>Filed Electronically</w:t>
            </w:r>
          </w:p>
        </w:tc>
      </w:tr>
    </w:tbl>
    <w:p>
      <w:pPr>
        <w:spacing w:after="0" w:line="200" w:lineRule="exact"/>
        <w:rPr>
          <w:sz w:val="20"/>
          <w:szCs w:val="20"/>
          <w:color w:val="auto"/>
        </w:rPr>
      </w:pPr>
    </w:p>
    <w:p>
      <w:pPr>
        <w:spacing w:after="0" w:line="29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88" w:right="639" w:bottom="1440" w:gutter="0" w:footer="0" w:header="0"/>
        </w:sectPr>
      </w:pPr>
    </w:p>
    <w:bookmarkStart w:id="12" w:name="page13"/>
    <w:bookmarkEnd w:id="12"/>
    <w:p>
      <w:pPr>
        <w:ind w:left="10060"/>
        <w:spacing w:after="0"/>
        <w:rPr>
          <w:sz w:val="20"/>
          <w:szCs w:val="20"/>
          <w:color w:val="auto"/>
        </w:rPr>
      </w:pPr>
      <w:r>
        <w:rPr>
          <w:rFonts w:ascii="Arial" w:cs="Arial" w:eastAsia="Arial" w:hAnsi="Arial"/>
          <w:sz w:val="22"/>
          <w:szCs w:val="22"/>
          <w:b w:val="1"/>
          <w:bCs w:val="1"/>
          <w:color w:val="auto"/>
        </w:rPr>
        <w:t>EXHIBIT 31.1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880" w:hanging="33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left="920" w:hanging="345"/>
        <w:spacing w:after="0" w:line="259" w:lineRule="auto"/>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920" w:hanging="345"/>
        <w:spacing w:after="0" w:line="332" w:lineRule="auto"/>
        <w:tabs>
          <w:tab w:leader="none" w:pos="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920" w:hanging="345"/>
        <w:spacing w:after="0" w:line="259" w:lineRule="auto"/>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120" w:hanging="207"/>
        <w:spacing w:after="0" w:line="259" w:lineRule="auto"/>
        <w:tabs>
          <w:tab w:leader="none" w:pos="112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120" w:hanging="207"/>
        <w:spacing w:after="0" w:line="259" w:lineRule="auto"/>
        <w:tabs>
          <w:tab w:leader="none" w:pos="112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120" w:hanging="207"/>
        <w:spacing w:after="0" w:line="332" w:lineRule="auto"/>
        <w:tabs>
          <w:tab w:leader="none" w:pos="1120" w:val="left"/>
        </w:tabs>
        <w:numPr>
          <w:ilvl w:val="2"/>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120" w:hanging="207"/>
        <w:spacing w:after="0" w:line="259" w:lineRule="auto"/>
        <w:tabs>
          <w:tab w:leader="none" w:pos="1120" w:val="left"/>
        </w:tabs>
        <w:numPr>
          <w:ilvl w:val="2"/>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920" w:hanging="345"/>
        <w:spacing w:after="0" w:line="332" w:lineRule="auto"/>
        <w:tabs>
          <w:tab w:leader="none" w:pos="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120" w:right="20" w:hanging="207"/>
        <w:spacing w:after="0" w:line="332" w:lineRule="auto"/>
        <w:tabs>
          <w:tab w:leader="none" w:pos="1120" w:val="left"/>
        </w:tabs>
        <w:numPr>
          <w:ilvl w:val="2"/>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120" w:hanging="207"/>
        <w:spacing w:after="0" w:line="268" w:lineRule="auto"/>
        <w:tabs>
          <w:tab w:leader="none" w:pos="112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7, 2007</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10795</wp:posOffset>
            </wp:positionV>
            <wp:extent cx="22809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639445</wp:posOffset>
            </wp:positionV>
            <wp:extent cx="72504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3" w:name="page14"/>
    <w:bookmarkEnd w:id="13"/>
    <w:p>
      <w:pPr>
        <w:ind w:left="10060"/>
        <w:spacing w:after="0"/>
        <w:rPr>
          <w:sz w:val="20"/>
          <w:szCs w:val="20"/>
          <w:color w:val="auto"/>
        </w:rPr>
      </w:pPr>
      <w:r>
        <w:rPr>
          <w:rFonts w:ascii="Arial" w:cs="Arial" w:eastAsia="Arial" w:hAnsi="Arial"/>
          <w:sz w:val="22"/>
          <w:szCs w:val="22"/>
          <w:b w:val="1"/>
          <w:bCs w:val="1"/>
          <w:color w:val="auto"/>
        </w:rPr>
        <w:t>EXHIBIT 31.2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920" w:hanging="345"/>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left="920" w:hanging="345"/>
        <w:spacing w:after="0" w:line="259"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920" w:hanging="345"/>
        <w:spacing w:after="0" w:line="332"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920" w:hanging="345"/>
        <w:spacing w:after="0" w:line="259"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260" w:hanging="347"/>
        <w:spacing w:after="0" w:line="259"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260" w:hanging="347"/>
        <w:spacing w:after="0" w:line="259"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260" w:hanging="347"/>
        <w:spacing w:after="0" w:line="332" w:lineRule="auto"/>
        <w:tabs>
          <w:tab w:leader="none" w:pos="1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260" w:hanging="347"/>
        <w:spacing w:after="0" w:line="259"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920" w:hanging="345"/>
        <w:spacing w:after="0" w:line="332"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260" w:right="20" w:hanging="347"/>
        <w:spacing w:after="0" w:line="332" w:lineRule="auto"/>
        <w:tabs>
          <w:tab w:leader="none" w:pos="1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260" w:hanging="347"/>
        <w:spacing w:after="0" w:line="268"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7, 2007</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10795</wp:posOffset>
            </wp:positionV>
            <wp:extent cx="22809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32.1</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3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2006 as filed with the Securities and Exchange Commission on the date hereof (the “Report”), I, John R. Hawkins, Chief Executive Officer of the Company, certify, pursuant to 18 U.S.C. § 1350, as adopted pursuant to § 906 of the Sarbanes-Oxley Act of 2002, that:</w:t>
      </w:r>
    </w:p>
    <w:p>
      <w:pPr>
        <w:spacing w:after="0" w:line="59" w:lineRule="exact"/>
        <w:rPr>
          <w:sz w:val="20"/>
          <w:szCs w:val="20"/>
          <w:color w:val="auto"/>
        </w:rPr>
      </w:pPr>
    </w:p>
    <w:p>
      <w:pPr>
        <w:ind w:left="1180" w:hanging="618"/>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80" w:hanging="618"/>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097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2260600</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3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2006 as filed with the Securities and Exchange Commission on the date hereof (the “Report”), I, Marvin E. Dee, Chief Financial Officer of the Company, certify, pursuant to 18 U.S.C. § 1350, as adopted pursuant to § 906 of the Sarbanes-Oxley Act of 2002, that:</w:t>
      </w:r>
    </w:p>
    <w:p>
      <w:pPr>
        <w:spacing w:after="0" w:line="194" w:lineRule="exact"/>
        <w:rPr>
          <w:sz w:val="20"/>
          <w:szCs w:val="20"/>
          <w:color w:val="auto"/>
        </w:rPr>
      </w:pPr>
    </w:p>
    <w:p>
      <w:pPr>
        <w:ind w:left="1180" w:hanging="618"/>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80" w:hanging="618"/>
        <w:spacing w:after="0"/>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097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1814195</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5"/>
    </w:lvl>
  </w:abstractNum>
  <w:abstractNum w:abstractNumId="3">
    <w:nsid w:val="7545E146"/>
    <w:multiLevelType w:val="hybridMultilevel"/>
    <w:lvl w:ilvl="0">
      <w:lvlJc w:val="left"/>
      <w:lvlText w:val="%1."/>
      <w:numFmt w:val="decimal"/>
      <w:start w:val="6"/>
    </w:lvl>
  </w:abstractNum>
  <w:abstractNum w:abstractNumId="4">
    <w:nsid w:val="515F007C"/>
    <w:multiLevelType w:val="hybridMultilevel"/>
    <w:lvl w:ilvl="0">
      <w:lvlJc w:val="left"/>
      <w:lvlText w:val="%1."/>
      <w:numFmt w:val="decimal"/>
      <w:start w:val="7"/>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2019-12-13T01:51:04Z</dcterms:created>
  <dcterms:modified xsi:type="dcterms:W3CDTF">2019-12-13T01:51:04Z</dcterms:modified>
</cp:coreProperties>
</file>