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8"/>
          <w:szCs w:val="28"/>
          <w:b w:val="1"/>
          <w:bCs w:val="1"/>
          <w:color w:val="auto"/>
        </w:rPr>
        <w:t>UNITED STATES</w:t>
      </w:r>
    </w:p>
    <w:p>
      <w:pPr>
        <w:spacing w:after="0" w:line="35" w:lineRule="exact"/>
        <w:rPr>
          <w:sz w:val="24"/>
          <w:szCs w:val="24"/>
          <w:color w:val="auto"/>
        </w:rPr>
      </w:pPr>
    </w:p>
    <w:p>
      <w:pPr>
        <w:jc w:val="center"/>
        <w:ind w:right="-239"/>
        <w:spacing w:after="0"/>
        <w:rPr>
          <w:sz w:val="20"/>
          <w:szCs w:val="20"/>
          <w:color w:val="auto"/>
        </w:rPr>
      </w:pPr>
      <w:r>
        <w:rPr>
          <w:rFonts w:ascii="Arial" w:cs="Arial" w:eastAsia="Arial" w:hAnsi="Arial"/>
          <w:sz w:val="28"/>
          <w:szCs w:val="28"/>
          <w:b w:val="1"/>
          <w:bCs w:val="1"/>
          <w:color w:val="auto"/>
        </w:rPr>
        <w:t>SECURITIES AND EXCHANGE COMMISSION</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256" w:lineRule="exact"/>
        <w:rPr>
          <w:sz w:val="24"/>
          <w:szCs w:val="24"/>
          <w:color w:val="auto"/>
        </w:rPr>
      </w:pPr>
    </w:p>
    <w:p>
      <w:pPr>
        <w:jc w:val="center"/>
        <w:ind w:right="-239"/>
        <w:spacing w:after="0"/>
        <w:rPr>
          <w:sz w:val="20"/>
          <w:szCs w:val="20"/>
          <w:color w:val="auto"/>
        </w:rPr>
      </w:pPr>
      <w:r>
        <w:rPr>
          <w:rFonts w:ascii="Arial" w:cs="Arial" w:eastAsia="Arial" w:hAnsi="Arial"/>
          <w:sz w:val="28"/>
          <w:szCs w:val="28"/>
          <w:b w:val="1"/>
          <w:bCs w:val="1"/>
          <w:color w:val="auto"/>
        </w:rPr>
        <w:t>FORM 8-K</w:t>
      </w:r>
    </w:p>
    <w:p>
      <w:pPr>
        <w:spacing w:after="0" w:line="200" w:lineRule="exact"/>
        <w:rPr>
          <w:sz w:val="24"/>
          <w:szCs w:val="24"/>
          <w:color w:val="auto"/>
        </w:rPr>
      </w:pPr>
    </w:p>
    <w:p>
      <w:pPr>
        <w:spacing w:after="0" w:line="29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150" w:lineRule="exact"/>
        <w:rPr>
          <w:sz w:val="24"/>
          <w:szCs w:val="24"/>
          <w:color w:val="auto"/>
        </w:rPr>
      </w:pPr>
    </w:p>
    <w:p>
      <w:pPr>
        <w:jc w:val="center"/>
        <w:ind w:right="-239"/>
        <w:spacing w:after="0"/>
        <w:rPr>
          <w:sz w:val="20"/>
          <w:szCs w:val="20"/>
          <w:color w:val="auto"/>
        </w:rPr>
      </w:pPr>
      <w:r>
        <w:rPr>
          <w:rFonts w:ascii="Arial" w:cs="Arial" w:eastAsia="Arial" w:hAnsi="Arial"/>
          <w:sz w:val="19"/>
          <w:szCs w:val="19"/>
          <w:b w:val="1"/>
          <w:bCs w:val="1"/>
          <w:color w:val="auto"/>
        </w:rPr>
        <w:t>Pursuant to Section 13 or 15(d) of the</w:t>
      </w:r>
    </w:p>
    <w:p>
      <w:pPr>
        <w:spacing w:after="0" w:line="22" w:lineRule="exact"/>
        <w:rPr>
          <w:sz w:val="24"/>
          <w:szCs w:val="24"/>
          <w:color w:val="auto"/>
        </w:rPr>
      </w:pPr>
    </w:p>
    <w:p>
      <w:pPr>
        <w:jc w:val="center"/>
        <w:ind w:right="-239"/>
        <w:spacing w:after="0"/>
        <w:rPr>
          <w:sz w:val="20"/>
          <w:szCs w:val="20"/>
          <w:color w:val="auto"/>
        </w:rPr>
      </w:pPr>
      <w:r>
        <w:rPr>
          <w:rFonts w:ascii="Arial" w:cs="Arial" w:eastAsia="Arial" w:hAnsi="Arial"/>
          <w:sz w:val="19"/>
          <w:szCs w:val="19"/>
          <w:b w:val="1"/>
          <w:bCs w:val="1"/>
          <w:color w:val="auto"/>
        </w:rPr>
        <w:t>Securities Exchange Act of 1934</w:t>
      </w:r>
    </w:p>
    <w:p>
      <w:pPr>
        <w:spacing w:after="0" w:line="121" w:lineRule="exact"/>
        <w:rPr>
          <w:sz w:val="24"/>
          <w:szCs w:val="24"/>
          <w:color w:val="auto"/>
        </w:rPr>
      </w:pPr>
    </w:p>
    <w:p>
      <w:pPr>
        <w:jc w:val="center"/>
        <w:ind w:right="-239"/>
        <w:spacing w:after="0"/>
        <w:rPr>
          <w:sz w:val="20"/>
          <w:szCs w:val="20"/>
          <w:color w:val="auto"/>
        </w:rPr>
      </w:pPr>
      <w:r>
        <w:rPr>
          <w:rFonts w:ascii="Arial" w:cs="Arial" w:eastAsia="Arial" w:hAnsi="Arial"/>
          <w:sz w:val="19"/>
          <w:szCs w:val="19"/>
          <w:b w:val="1"/>
          <w:bCs w:val="1"/>
          <w:color w:val="auto"/>
        </w:rPr>
        <w:t>Date of Report (Date of earliest event reported) August 9, 2017</w:t>
      </w:r>
    </w:p>
    <w:p>
      <w:pPr>
        <w:spacing w:after="0" w:line="200" w:lineRule="exact"/>
        <w:rPr>
          <w:sz w:val="24"/>
          <w:szCs w:val="24"/>
          <w:color w:val="auto"/>
        </w:rPr>
      </w:pPr>
    </w:p>
    <w:p>
      <w:pPr>
        <w:spacing w:after="0" w:line="276" w:lineRule="exact"/>
        <w:rPr>
          <w:sz w:val="24"/>
          <w:szCs w:val="24"/>
          <w:color w:val="auto"/>
        </w:rPr>
      </w:pPr>
    </w:p>
    <w:p>
      <w:pPr>
        <w:jc w:val="center"/>
        <w:ind w:right="-239"/>
        <w:spacing w:after="0"/>
        <w:rPr>
          <w:sz w:val="20"/>
          <w:szCs w:val="20"/>
          <w:color w:val="auto"/>
        </w:rPr>
      </w:pPr>
      <w:r>
        <w:rPr>
          <w:rFonts w:ascii="Arial" w:cs="Arial" w:eastAsia="Arial" w:hAnsi="Arial"/>
          <w:sz w:val="37"/>
          <w:szCs w:val="37"/>
          <w:b w:val="1"/>
          <w:bCs w:val="1"/>
          <w:color w:val="auto"/>
        </w:rPr>
        <w:t>Hawkins, Inc.</w:t>
      </w:r>
    </w:p>
    <w:p>
      <w:pPr>
        <w:spacing w:after="0" w:line="42"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(Exact name of registrant as specified in its charter)</w:t>
      </w:r>
    </w:p>
    <w:p>
      <w:pPr>
        <w:sectPr>
          <w:pgSz w:w="11900" w:h="16838" w:orient="portrait"/>
          <w:cols w:equalWidth="0" w:num="1">
            <w:col w:w="11200"/>
          </w:cols>
          <w:pgMar w:left="240" w:top="648" w:right="459" w:bottom="1440" w:gutter="0" w:footer="0" w:header="0"/>
        </w:sectPr>
      </w:pPr>
    </w:p>
    <w:p>
      <w:pPr>
        <w:spacing w:after="0" w:line="297" w:lineRule="exact"/>
        <w:rPr>
          <w:sz w:val="24"/>
          <w:szCs w:val="24"/>
          <w:color w:val="auto"/>
        </w:rPr>
      </w:pPr>
    </w:p>
    <w:p>
      <w:pPr>
        <w:ind w:left="1260"/>
        <w:spacing w:after="0"/>
        <w:rPr>
          <w:sz w:val="20"/>
          <w:szCs w:val="20"/>
          <w:color w:val="auto"/>
        </w:rPr>
      </w:pPr>
      <w:r>
        <w:rPr>
          <w:rFonts w:ascii="Arial" w:cs="Arial" w:eastAsia="Arial" w:hAnsi="Arial"/>
          <w:sz w:val="13"/>
          <w:szCs w:val="13"/>
          <w:b w:val="1"/>
          <w:bCs w:val="1"/>
          <w:color w:val="auto"/>
        </w:rPr>
        <w:t>Minnesota</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0-7647</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41-0771293</w:t>
      </w:r>
    </w:p>
    <w:p>
      <w:pPr>
        <w:spacing w:after="0" w:line="79" w:lineRule="exact"/>
        <w:rPr>
          <w:sz w:val="24"/>
          <w:szCs w:val="24"/>
          <w:color w:val="auto"/>
        </w:rPr>
      </w:pPr>
    </w:p>
    <w:p>
      <w:pPr>
        <w:sectPr>
          <w:pgSz w:w="11900" w:h="16838" w:orient="portrait"/>
          <w:cols w:equalWidth="0" w:num="3">
            <w:col w:w="5640" w:space="720"/>
            <w:col w:w="2440" w:space="720"/>
            <w:col w:w="1680"/>
          </w:cols>
          <w:pgMar w:left="240" w:top="648" w:right="459" w:bottom="1440" w:gutter="0" w:footer="0" w:header="0"/>
          <w:type w:val="continuous"/>
        </w:sectPr>
      </w:pPr>
    </w:p>
    <w:p>
      <w:pPr>
        <w:ind w:left="980"/>
        <w:spacing w:after="0"/>
        <w:rPr>
          <w:sz w:val="20"/>
          <w:szCs w:val="20"/>
          <w:color w:val="auto"/>
        </w:rPr>
      </w:pPr>
      <w:r>
        <w:rPr>
          <w:rFonts w:ascii="Arial" w:cs="Arial" w:eastAsia="Arial" w:hAnsi="Arial"/>
          <w:sz w:val="11"/>
          <w:szCs w:val="11"/>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(IRS Employer Identification No.)</w:t>
      </w:r>
    </w:p>
    <w:p>
      <w:pPr>
        <w:spacing w:after="0" w:line="155" w:lineRule="exact"/>
        <w:rPr>
          <w:sz w:val="24"/>
          <w:szCs w:val="24"/>
          <w:color w:val="auto"/>
        </w:rPr>
      </w:pPr>
    </w:p>
    <w:p>
      <w:pPr>
        <w:sectPr>
          <w:pgSz w:w="11900" w:h="16838" w:orient="portrait"/>
          <w:cols w:equalWidth="0" w:num="3">
            <w:col w:w="5140" w:space="720"/>
            <w:col w:w="2420" w:space="720"/>
            <w:col w:w="2200"/>
          </w:cols>
          <w:pgMar w:left="240" w:top="648" w:right="459" w:bottom="1440" w:gutter="0" w:footer="0" w:header="0"/>
          <w:type w:val="continuous"/>
        </w:sectPr>
      </w:pPr>
    </w:p>
    <w:p>
      <w:pPr>
        <w:ind w:left="3600"/>
        <w:spacing w:after="0"/>
        <w:rPr>
          <w:sz w:val="20"/>
          <w:szCs w:val="20"/>
          <w:color w:val="auto"/>
        </w:rPr>
      </w:pPr>
      <w:r>
        <w:rPr>
          <w:rFonts w:ascii="Arial" w:cs="Arial" w:eastAsia="Arial" w:hAnsi="Arial"/>
          <w:sz w:val="13"/>
          <w:szCs w:val="13"/>
          <w:b w:val="1"/>
          <w:bCs w:val="1"/>
          <w:color w:val="auto"/>
        </w:rPr>
        <w:t>2381 Rosegate</w:t>
      </w:r>
    </w:p>
    <w:p>
      <w:pPr>
        <w:spacing w:after="0" w:line="52" w:lineRule="exact"/>
        <w:rPr>
          <w:sz w:val="24"/>
          <w:szCs w:val="24"/>
          <w:color w:val="auto"/>
        </w:rPr>
      </w:pPr>
    </w:p>
    <w:p>
      <w:pPr>
        <w:ind w:left="3620"/>
        <w:spacing w:after="0"/>
        <w:rPr>
          <w:sz w:val="20"/>
          <w:szCs w:val="20"/>
          <w:color w:val="auto"/>
        </w:rPr>
      </w:pPr>
      <w:r>
        <w:rPr>
          <w:rFonts w:ascii="Arial" w:cs="Arial" w:eastAsia="Arial" w:hAnsi="Arial"/>
          <w:sz w:val="14"/>
          <w:szCs w:val="14"/>
          <w:b w:val="1"/>
          <w:bCs w:val="1"/>
          <w:color w:val="auto"/>
        </w:rPr>
        <w:t>Roseville, MN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55113</w:t>
      </w:r>
    </w:p>
    <w:p>
      <w:pPr>
        <w:spacing w:after="0" w:line="79" w:lineRule="exact"/>
        <w:rPr>
          <w:sz w:val="24"/>
          <w:szCs w:val="24"/>
          <w:color w:val="auto"/>
        </w:rPr>
      </w:pPr>
    </w:p>
    <w:p>
      <w:pPr>
        <w:sectPr>
          <w:pgSz w:w="11900" w:h="16838" w:orient="portrait"/>
          <w:cols w:equalWidth="0" w:num="2">
            <w:col w:w="8980" w:space="720"/>
            <w:col w:w="1500"/>
          </w:cols>
          <w:pgMar w:left="240" w:top="648" w:right="459" w:bottom="1440" w:gutter="0" w:footer="0" w:header="0"/>
          <w:type w:val="continuous"/>
        </w:sectPr>
      </w:pPr>
    </w:p>
    <w:p>
      <w:pPr>
        <w:ind w:left="300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200" w:lineRule="exact"/>
        <w:rPr>
          <w:sz w:val="24"/>
          <w:szCs w:val="24"/>
          <w:color w:val="auto"/>
        </w:rPr>
      </w:pPr>
    </w:p>
    <w:p>
      <w:pPr>
        <w:sectPr>
          <w:pgSz w:w="11900" w:h="16838" w:orient="portrait"/>
          <w:cols w:equalWidth="0" w:num="2">
            <w:col w:w="8880" w:space="720"/>
            <w:col w:w="1600"/>
          </w:cols>
          <w:pgMar w:left="240" w:top="648" w:right="459" w:bottom="1440" w:gutter="0" w:footer="0" w:header="0"/>
          <w:type w:val="continuous"/>
        </w:sectPr>
      </w:pPr>
    </w:p>
    <w:p>
      <w:pPr>
        <w:spacing w:after="0" w:line="25"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Registrant’s Telephone Number, Including Area Code (612) 331-6910</w:t>
      </w:r>
    </w:p>
    <w:p>
      <w:pPr>
        <w:spacing w:after="0" w:line="200" w:lineRule="exact"/>
        <w:rPr>
          <w:sz w:val="24"/>
          <w:szCs w:val="24"/>
          <w:color w:val="auto"/>
        </w:rPr>
      </w:pPr>
    </w:p>
    <w:p>
      <w:pPr>
        <w:spacing w:after="0" w:line="307" w:lineRule="exact"/>
        <w:rPr>
          <w:sz w:val="24"/>
          <w:szCs w:val="24"/>
          <w:color w:val="auto"/>
        </w:rPr>
      </w:pPr>
    </w:p>
    <w:p>
      <w:pPr>
        <w:ind w:left="36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w:t>
      </w:r>
      <w:r>
        <w:rPr>
          <w:rFonts w:ascii="Arial" w:cs="Arial" w:eastAsia="Arial" w:hAnsi="Arial"/>
          <w:sz w:val="14"/>
          <w:szCs w:val="14"/>
          <w:i w:val="1"/>
          <w:iCs w:val="1"/>
          <w:color w:val="auto"/>
        </w:rPr>
        <w:t>see</w:t>
      </w:r>
    </w:p>
    <w:p>
      <w:pPr>
        <w:spacing w:after="0" w:line="35" w:lineRule="exact"/>
        <w:rPr>
          <w:sz w:val="24"/>
          <w:szCs w:val="24"/>
          <w:color w:val="auto"/>
        </w:rPr>
      </w:pPr>
    </w:p>
    <w:p>
      <w:pPr>
        <w:spacing w:after="0"/>
        <w:rPr>
          <w:sz w:val="20"/>
          <w:szCs w:val="20"/>
          <w:color w:val="auto"/>
        </w:rPr>
      </w:pPr>
      <w:r>
        <w:rPr>
          <w:rFonts w:ascii="Arial" w:cs="Arial" w:eastAsia="Arial" w:hAnsi="Arial"/>
          <w:sz w:val="15"/>
          <w:szCs w:val="15"/>
          <w:color w:val="auto"/>
        </w:rPr>
        <w:t>General Instruction A.2. below):</w:t>
      </w:r>
    </w:p>
    <w:p>
      <w:pPr>
        <w:spacing w:after="0" w:line="142" w:lineRule="exact"/>
        <w:rPr>
          <w:sz w:val="24"/>
          <w:szCs w:val="24"/>
          <w:color w:val="auto"/>
        </w:rPr>
      </w:pPr>
    </w:p>
    <w:p>
      <w:pPr>
        <w:ind w:left="340" w:hanging="324"/>
        <w:spacing w:after="0"/>
        <w:tabs>
          <w:tab w:leader="none" w:pos="3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64" w:lineRule="exact"/>
        <w:rPr>
          <w:rFonts w:ascii="MS PGothic" w:cs="MS PGothic" w:eastAsia="MS PGothic" w:hAnsi="MS PGothic"/>
          <w:sz w:val="15"/>
          <w:szCs w:val="15"/>
          <w:color w:val="auto"/>
        </w:rPr>
      </w:pPr>
    </w:p>
    <w:p>
      <w:pPr>
        <w:ind w:left="340" w:hanging="324"/>
        <w:spacing w:after="0"/>
        <w:tabs>
          <w:tab w:leader="none" w:pos="3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64" w:lineRule="exact"/>
        <w:rPr>
          <w:rFonts w:ascii="MS PGothic" w:cs="MS PGothic" w:eastAsia="MS PGothic" w:hAnsi="MS PGothic"/>
          <w:sz w:val="15"/>
          <w:szCs w:val="15"/>
          <w:color w:val="auto"/>
        </w:rPr>
      </w:pPr>
    </w:p>
    <w:p>
      <w:pPr>
        <w:ind w:left="340" w:hanging="324"/>
        <w:spacing w:after="0"/>
        <w:tabs>
          <w:tab w:leader="none" w:pos="3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64" w:lineRule="exact"/>
        <w:rPr>
          <w:rFonts w:ascii="MS PGothic" w:cs="MS PGothic" w:eastAsia="MS PGothic" w:hAnsi="MS PGothic"/>
          <w:sz w:val="15"/>
          <w:szCs w:val="15"/>
          <w:color w:val="auto"/>
        </w:rPr>
      </w:pPr>
    </w:p>
    <w:p>
      <w:pPr>
        <w:ind w:left="340" w:hanging="324"/>
        <w:spacing w:after="0"/>
        <w:tabs>
          <w:tab w:leader="none" w:pos="3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0" w:lineRule="exact"/>
        <w:rPr>
          <w:sz w:val="24"/>
          <w:szCs w:val="24"/>
          <w:color w:val="auto"/>
        </w:rPr>
      </w:pPr>
    </w:p>
    <w:p>
      <w:pPr>
        <w:spacing w:after="0" w:line="208" w:lineRule="exact"/>
        <w:rPr>
          <w:sz w:val="24"/>
          <w:szCs w:val="24"/>
          <w:color w:val="auto"/>
        </w:rPr>
      </w:pPr>
    </w:p>
    <w:p>
      <w:pPr>
        <w:spacing w:after="0" w:line="290"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(17 CFR 230.405) or Rule 12b-2 of the Exchange Act (17 CFR 240.12b 2).</w:t>
      </w:r>
    </w:p>
    <w:p>
      <w:pPr>
        <w:spacing w:after="0" w:line="11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47" w:lineRule="exact"/>
        <w:rPr>
          <w:sz w:val="24"/>
          <w:szCs w:val="24"/>
          <w:color w:val="auto"/>
        </w:rPr>
      </w:pPr>
    </w:p>
    <w:p>
      <w:pPr>
        <w:ind w:right="460"/>
        <w:spacing w:after="0" w:line="20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ectPr>
          <w:pgSz w:w="11900" w:h="16838" w:orient="portrait"/>
          <w:cols w:equalWidth="0" w:num="1">
            <w:col w:w="11200"/>
          </w:cols>
          <w:pgMar w:left="240" w:top="648" w:right="459" w:bottom="1440" w:gutter="0" w:footer="0" w:header="0"/>
          <w:type w:val="continuous"/>
        </w:sectPr>
      </w:pPr>
    </w:p>
    <w:bookmarkStart w:id="1" w:name="page2"/>
    <w:bookmarkEnd w:id="1"/>
    <w:p>
      <w:pPr>
        <w:spacing w:after="0"/>
        <w:tabs>
          <w:tab w:leader="none" w:pos="920" w:val="left"/>
        </w:tabs>
        <w:rPr>
          <w:sz w:val="20"/>
          <w:szCs w:val="20"/>
          <w:color w:val="auto"/>
        </w:rPr>
      </w:pPr>
      <w:r>
        <w:rPr>
          <w:rFonts w:ascii="Arial" w:cs="Arial" w:eastAsia="Arial" w:hAnsi="Arial"/>
          <w:sz w:val="19"/>
          <w:szCs w:val="19"/>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03" w:lineRule="exact"/>
        <w:rPr>
          <w:sz w:val="20"/>
          <w:szCs w:val="20"/>
          <w:color w:val="auto"/>
        </w:rPr>
      </w:pPr>
    </w:p>
    <w:p>
      <w:pPr>
        <w:ind w:right="280" w:firstLine="557"/>
        <w:spacing w:after="0" w:line="322" w:lineRule="auto"/>
        <w:rPr>
          <w:sz w:val="20"/>
          <w:szCs w:val="20"/>
          <w:color w:val="auto"/>
        </w:rPr>
      </w:pPr>
      <w:r>
        <w:rPr>
          <w:rFonts w:ascii="Arial" w:cs="Arial" w:eastAsia="Arial" w:hAnsi="Arial"/>
          <w:sz w:val="17"/>
          <w:szCs w:val="17"/>
          <w:color w:val="auto"/>
        </w:rPr>
        <w:t>At our annual meeting of shareholders held August 9, 2017, the following proposals, each as described in further detail in the definitive proxy statement filed by our company on June 30, 2017 (File No. 0-7647), were voted upon by our shareholders as set forth below:</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One - Election of Directors</w:t>
      </w:r>
    </w:p>
    <w:p>
      <w:pPr>
        <w:spacing w:after="0" w:line="192" w:lineRule="exact"/>
        <w:rPr>
          <w:sz w:val="20"/>
          <w:szCs w:val="20"/>
          <w:color w:val="auto"/>
        </w:rPr>
      </w:pPr>
    </w:p>
    <w:p>
      <w:pPr>
        <w:ind w:right="40" w:firstLine="557"/>
        <w:spacing w:after="0" w:line="263" w:lineRule="auto"/>
        <w:rPr>
          <w:sz w:val="20"/>
          <w:szCs w:val="20"/>
          <w:color w:val="auto"/>
        </w:rPr>
      </w:pPr>
      <w:r>
        <w:rPr>
          <w:rFonts w:ascii="Arial" w:cs="Arial" w:eastAsia="Arial" w:hAnsi="Arial"/>
          <w:sz w:val="19"/>
          <w:szCs w:val="19"/>
          <w:color w:val="auto"/>
        </w:rPr>
        <w:t>Our shareholders elected each of the nine nominees to serve as director for a term of one year, which term shall expire at the next annual meeting of shareholders, based on the following votes:</w:t>
      </w:r>
    </w:p>
    <w:p>
      <w:pPr>
        <w:spacing w:after="0" w:line="278" w:lineRule="exact"/>
        <w:rPr>
          <w:sz w:val="20"/>
          <w:szCs w:val="20"/>
          <w:color w:val="auto"/>
        </w:rPr>
      </w:pPr>
    </w:p>
    <w:tbl>
      <w:tblPr>
        <w:tblLayout w:type="fixed"/>
        <w:tblInd w:w="500" w:type="dxa"/>
        <w:tblCellMar>
          <w:top w:w="0" w:type="dxa"/>
          <w:left w:w="0" w:type="dxa"/>
          <w:bottom w:w="0" w:type="dxa"/>
          <w:right w:w="0" w:type="dxa"/>
        </w:tblCellMar>
      </w:tblPr>
      <w:tr>
        <w:trPr>
          <w:trHeight w:val="202"/>
        </w:trPr>
        <w:tc>
          <w:tcPr>
            <w:tcW w:w="3340" w:type="dxa"/>
            <w:vAlign w:val="bottom"/>
            <w:gridSpan w:val="2"/>
          </w:tcPr>
          <w:p>
            <w:pPr>
              <w:ind w:left="1020"/>
              <w:spacing w:after="0"/>
              <w:rPr>
                <w:sz w:val="20"/>
                <w:szCs w:val="20"/>
                <w:color w:val="auto"/>
              </w:rPr>
            </w:pPr>
            <w:r>
              <w:rPr>
                <w:rFonts w:ascii="Arial" w:cs="Arial" w:eastAsia="Arial" w:hAnsi="Arial"/>
                <w:sz w:val="15"/>
                <w:szCs w:val="15"/>
                <w:b w:val="1"/>
                <w:bCs w:val="1"/>
                <w:color w:val="auto"/>
              </w:rPr>
              <w:t>Director Nominee</w:t>
            </w:r>
          </w:p>
        </w:tc>
        <w:tc>
          <w:tcPr>
            <w:tcW w:w="2400" w:type="dxa"/>
            <w:vAlign w:val="bottom"/>
            <w:gridSpan w:val="2"/>
          </w:tcPr>
          <w:p>
            <w:pPr>
              <w:ind w:left="1020"/>
              <w:spacing w:after="0"/>
              <w:rPr>
                <w:sz w:val="20"/>
                <w:szCs w:val="20"/>
                <w:color w:val="auto"/>
              </w:rPr>
            </w:pPr>
            <w:r>
              <w:rPr>
                <w:rFonts w:ascii="Arial" w:cs="Arial" w:eastAsia="Arial" w:hAnsi="Arial"/>
                <w:sz w:val="15"/>
                <w:szCs w:val="15"/>
                <w:b w:val="1"/>
                <w:bCs w:val="1"/>
                <w:color w:val="auto"/>
              </w:rPr>
              <w:t>For</w:t>
            </w:r>
          </w:p>
        </w:tc>
        <w:tc>
          <w:tcPr>
            <w:tcW w:w="2420" w:type="dxa"/>
            <w:vAlign w:val="bottom"/>
            <w:gridSpan w:val="2"/>
          </w:tcPr>
          <w:p>
            <w:pPr>
              <w:ind w:left="900"/>
              <w:spacing w:after="0"/>
              <w:rPr>
                <w:sz w:val="20"/>
                <w:szCs w:val="20"/>
                <w:color w:val="auto"/>
              </w:rPr>
            </w:pPr>
            <w:r>
              <w:rPr>
                <w:rFonts w:ascii="Arial" w:cs="Arial" w:eastAsia="Arial" w:hAnsi="Arial"/>
                <w:sz w:val="15"/>
                <w:szCs w:val="15"/>
                <w:b w:val="1"/>
                <w:bCs w:val="1"/>
                <w:color w:val="auto"/>
              </w:rPr>
              <w:t>Against</w:t>
            </w:r>
          </w:p>
        </w:tc>
        <w:tc>
          <w:tcPr>
            <w:tcW w:w="2280" w:type="dxa"/>
            <w:vAlign w:val="bottom"/>
          </w:tcPr>
          <w:p>
            <w:pPr>
              <w:ind w:left="560"/>
              <w:spacing w:after="0"/>
              <w:rPr>
                <w:sz w:val="20"/>
                <w:szCs w:val="20"/>
                <w:color w:val="auto"/>
              </w:rPr>
            </w:pPr>
            <w:r>
              <w:rPr>
                <w:rFonts w:ascii="Arial" w:cs="Arial" w:eastAsia="Arial" w:hAnsi="Arial"/>
                <w:sz w:val="15"/>
                <w:szCs w:val="15"/>
                <w:b w:val="1"/>
                <w:bCs w:val="1"/>
                <w:color w:val="auto"/>
              </w:rPr>
              <w:t>Broker Non-Vote</w:t>
            </w:r>
          </w:p>
        </w:tc>
      </w:tr>
      <w:tr>
        <w:trPr>
          <w:trHeight w:val="24"/>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00"/>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John S. McKeon</w:t>
            </w: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7,732,481.551</w:t>
            </w:r>
          </w:p>
        </w:tc>
        <w:tc>
          <w:tcPr>
            <w:tcW w:w="100" w:type="dxa"/>
            <w:vAlign w:val="bottom"/>
          </w:tcPr>
          <w:p>
            <w:pPr>
              <w:spacing w:after="0"/>
              <w:rPr>
                <w:sz w:val="17"/>
                <w:szCs w:val="17"/>
                <w:color w:val="auto"/>
              </w:rPr>
            </w:pP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301,801.894</w:t>
            </w:r>
          </w:p>
        </w:tc>
        <w:tc>
          <w:tcPr>
            <w:tcW w:w="120" w:type="dxa"/>
            <w:vAlign w:val="bottom"/>
          </w:tcPr>
          <w:p>
            <w:pPr>
              <w:spacing w:after="0"/>
              <w:rPr>
                <w:sz w:val="17"/>
                <w:szCs w:val="17"/>
                <w:color w:val="auto"/>
              </w:rPr>
            </w:pPr>
          </w:p>
        </w:tc>
        <w:tc>
          <w:tcPr>
            <w:tcW w:w="2280" w:type="dxa"/>
            <w:vAlign w:val="bottom"/>
          </w:tcPr>
          <w:p>
            <w:pPr>
              <w:ind w:left="2020"/>
              <w:spacing w:after="0"/>
              <w:rPr>
                <w:sz w:val="20"/>
                <w:szCs w:val="20"/>
                <w:color w:val="auto"/>
              </w:rPr>
            </w:pPr>
            <w:r>
              <w:rPr>
                <w:rFonts w:ascii="Arial" w:cs="Arial" w:eastAsia="Arial" w:hAnsi="Arial"/>
                <w:sz w:val="15"/>
                <w:szCs w:val="15"/>
                <w:color w:val="auto"/>
              </w:rPr>
              <w:t>—</w:t>
            </w:r>
          </w:p>
        </w:tc>
      </w:tr>
      <w:tr>
        <w:trPr>
          <w:trHeight w:val="232"/>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Patrick H. Hawkins</w:t>
            </w: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7,702,233.551</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332,049.894</w:t>
            </w:r>
          </w:p>
        </w:tc>
        <w:tc>
          <w:tcPr>
            <w:tcW w:w="120" w:type="dxa"/>
            <w:vAlign w:val="bottom"/>
          </w:tcPr>
          <w:p>
            <w:pPr>
              <w:spacing w:after="0"/>
              <w:rPr>
                <w:sz w:val="20"/>
                <w:szCs w:val="20"/>
                <w:color w:val="auto"/>
              </w:rPr>
            </w:pPr>
          </w:p>
        </w:tc>
        <w:tc>
          <w:tcPr>
            <w:tcW w:w="2280" w:type="dxa"/>
            <w:vAlign w:val="bottom"/>
          </w:tcPr>
          <w:p>
            <w:pPr>
              <w:ind w:left="2020"/>
              <w:spacing w:after="0"/>
              <w:rPr>
                <w:sz w:val="20"/>
                <w:szCs w:val="20"/>
                <w:color w:val="auto"/>
              </w:rPr>
            </w:pPr>
            <w:r>
              <w:rPr>
                <w:rFonts w:ascii="Arial" w:cs="Arial" w:eastAsia="Arial" w:hAnsi="Arial"/>
                <w:sz w:val="15"/>
                <w:szCs w:val="15"/>
                <w:color w:val="auto"/>
              </w:rPr>
              <w:t>—</w:t>
            </w:r>
          </w:p>
        </w:tc>
      </w:tr>
      <w:tr>
        <w:trPr>
          <w:trHeight w:val="232"/>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James A. Faulconbridge</w:t>
            </w: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7,660,666.551</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373,616.894</w:t>
            </w:r>
          </w:p>
        </w:tc>
        <w:tc>
          <w:tcPr>
            <w:tcW w:w="120" w:type="dxa"/>
            <w:vAlign w:val="bottom"/>
          </w:tcPr>
          <w:p>
            <w:pPr>
              <w:spacing w:after="0"/>
              <w:rPr>
                <w:sz w:val="20"/>
                <w:szCs w:val="20"/>
                <w:color w:val="auto"/>
              </w:rPr>
            </w:pPr>
          </w:p>
        </w:tc>
        <w:tc>
          <w:tcPr>
            <w:tcW w:w="2280" w:type="dxa"/>
            <w:vAlign w:val="bottom"/>
          </w:tcPr>
          <w:p>
            <w:pPr>
              <w:ind w:left="2020"/>
              <w:spacing w:after="0"/>
              <w:rPr>
                <w:sz w:val="20"/>
                <w:szCs w:val="20"/>
                <w:color w:val="auto"/>
              </w:rPr>
            </w:pPr>
            <w:r>
              <w:rPr>
                <w:rFonts w:ascii="Arial" w:cs="Arial" w:eastAsia="Arial" w:hAnsi="Arial"/>
                <w:sz w:val="15"/>
                <w:szCs w:val="15"/>
                <w:color w:val="auto"/>
              </w:rPr>
              <w:t>—</w:t>
            </w:r>
          </w:p>
        </w:tc>
      </w:tr>
      <w:tr>
        <w:trPr>
          <w:trHeight w:val="232"/>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Duane M. Jergenson</w:t>
            </w: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7,709,078.551</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325,204.894</w:t>
            </w:r>
          </w:p>
        </w:tc>
        <w:tc>
          <w:tcPr>
            <w:tcW w:w="120" w:type="dxa"/>
            <w:vAlign w:val="bottom"/>
          </w:tcPr>
          <w:p>
            <w:pPr>
              <w:spacing w:after="0"/>
              <w:rPr>
                <w:sz w:val="20"/>
                <w:szCs w:val="20"/>
                <w:color w:val="auto"/>
              </w:rPr>
            </w:pPr>
          </w:p>
        </w:tc>
        <w:tc>
          <w:tcPr>
            <w:tcW w:w="2280" w:type="dxa"/>
            <w:vAlign w:val="bottom"/>
          </w:tcPr>
          <w:p>
            <w:pPr>
              <w:ind w:left="2020"/>
              <w:spacing w:after="0"/>
              <w:rPr>
                <w:sz w:val="20"/>
                <w:szCs w:val="20"/>
                <w:color w:val="auto"/>
              </w:rPr>
            </w:pPr>
            <w:r>
              <w:rPr>
                <w:rFonts w:ascii="Arial" w:cs="Arial" w:eastAsia="Arial" w:hAnsi="Arial"/>
                <w:sz w:val="15"/>
                <w:szCs w:val="15"/>
                <w:color w:val="auto"/>
              </w:rPr>
              <w:t>—</w:t>
            </w:r>
          </w:p>
        </w:tc>
      </w:tr>
      <w:tr>
        <w:trPr>
          <w:trHeight w:val="232"/>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Mary J. Schumacher</w:t>
            </w: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7,701,811.551</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332,471.894</w:t>
            </w:r>
          </w:p>
        </w:tc>
        <w:tc>
          <w:tcPr>
            <w:tcW w:w="120" w:type="dxa"/>
            <w:vAlign w:val="bottom"/>
          </w:tcPr>
          <w:p>
            <w:pPr>
              <w:spacing w:after="0"/>
              <w:rPr>
                <w:sz w:val="20"/>
                <w:szCs w:val="20"/>
                <w:color w:val="auto"/>
              </w:rPr>
            </w:pPr>
          </w:p>
        </w:tc>
        <w:tc>
          <w:tcPr>
            <w:tcW w:w="2280" w:type="dxa"/>
            <w:vAlign w:val="bottom"/>
          </w:tcPr>
          <w:p>
            <w:pPr>
              <w:ind w:left="2020"/>
              <w:spacing w:after="0"/>
              <w:rPr>
                <w:sz w:val="20"/>
                <w:szCs w:val="20"/>
                <w:color w:val="auto"/>
              </w:rPr>
            </w:pPr>
            <w:r>
              <w:rPr>
                <w:rFonts w:ascii="Arial" w:cs="Arial" w:eastAsia="Arial" w:hAnsi="Arial"/>
                <w:sz w:val="15"/>
                <w:szCs w:val="15"/>
                <w:color w:val="auto"/>
              </w:rPr>
              <w:t>—</w:t>
            </w:r>
          </w:p>
        </w:tc>
      </w:tr>
      <w:tr>
        <w:trPr>
          <w:trHeight w:val="232"/>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Daryl I. Skaar</w:t>
            </w: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7,599,974.551</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434,308.894</w:t>
            </w:r>
          </w:p>
        </w:tc>
        <w:tc>
          <w:tcPr>
            <w:tcW w:w="120" w:type="dxa"/>
            <w:vAlign w:val="bottom"/>
          </w:tcPr>
          <w:p>
            <w:pPr>
              <w:spacing w:after="0"/>
              <w:rPr>
                <w:sz w:val="20"/>
                <w:szCs w:val="20"/>
                <w:color w:val="auto"/>
              </w:rPr>
            </w:pPr>
          </w:p>
        </w:tc>
        <w:tc>
          <w:tcPr>
            <w:tcW w:w="2280" w:type="dxa"/>
            <w:vAlign w:val="bottom"/>
          </w:tcPr>
          <w:p>
            <w:pPr>
              <w:ind w:left="2020"/>
              <w:spacing w:after="0"/>
              <w:rPr>
                <w:sz w:val="20"/>
                <w:szCs w:val="20"/>
                <w:color w:val="auto"/>
              </w:rPr>
            </w:pPr>
            <w:r>
              <w:rPr>
                <w:rFonts w:ascii="Arial" w:cs="Arial" w:eastAsia="Arial" w:hAnsi="Arial"/>
                <w:sz w:val="15"/>
                <w:szCs w:val="15"/>
                <w:color w:val="auto"/>
              </w:rPr>
              <w:t>—</w:t>
            </w:r>
          </w:p>
        </w:tc>
      </w:tr>
      <w:tr>
        <w:trPr>
          <w:trHeight w:val="232"/>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Daniel J. Stauber</w:t>
            </w: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7,549,515.551</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484,767.894</w:t>
            </w:r>
          </w:p>
        </w:tc>
        <w:tc>
          <w:tcPr>
            <w:tcW w:w="120" w:type="dxa"/>
            <w:vAlign w:val="bottom"/>
          </w:tcPr>
          <w:p>
            <w:pPr>
              <w:spacing w:after="0"/>
              <w:rPr>
                <w:sz w:val="20"/>
                <w:szCs w:val="20"/>
                <w:color w:val="auto"/>
              </w:rPr>
            </w:pPr>
          </w:p>
        </w:tc>
        <w:tc>
          <w:tcPr>
            <w:tcW w:w="2280" w:type="dxa"/>
            <w:vAlign w:val="bottom"/>
          </w:tcPr>
          <w:p>
            <w:pPr>
              <w:ind w:left="2020"/>
              <w:spacing w:after="0"/>
              <w:rPr>
                <w:sz w:val="20"/>
                <w:szCs w:val="20"/>
                <w:color w:val="auto"/>
              </w:rPr>
            </w:pPr>
            <w:r>
              <w:rPr>
                <w:rFonts w:ascii="Arial" w:cs="Arial" w:eastAsia="Arial" w:hAnsi="Arial"/>
                <w:sz w:val="15"/>
                <w:szCs w:val="15"/>
                <w:color w:val="auto"/>
              </w:rPr>
              <w:t>—</w:t>
            </w:r>
          </w:p>
        </w:tc>
      </w:tr>
      <w:tr>
        <w:trPr>
          <w:trHeight w:val="232"/>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James T. Thompson</w:t>
            </w: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7,746,999.551</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287,283.894</w:t>
            </w:r>
          </w:p>
        </w:tc>
        <w:tc>
          <w:tcPr>
            <w:tcW w:w="120" w:type="dxa"/>
            <w:vAlign w:val="bottom"/>
          </w:tcPr>
          <w:p>
            <w:pPr>
              <w:spacing w:after="0"/>
              <w:rPr>
                <w:sz w:val="20"/>
                <w:szCs w:val="20"/>
                <w:color w:val="auto"/>
              </w:rPr>
            </w:pPr>
          </w:p>
        </w:tc>
        <w:tc>
          <w:tcPr>
            <w:tcW w:w="2280" w:type="dxa"/>
            <w:vAlign w:val="bottom"/>
          </w:tcPr>
          <w:p>
            <w:pPr>
              <w:ind w:left="2020"/>
              <w:spacing w:after="0"/>
              <w:rPr>
                <w:sz w:val="20"/>
                <w:szCs w:val="20"/>
                <w:color w:val="auto"/>
              </w:rPr>
            </w:pPr>
            <w:r>
              <w:rPr>
                <w:rFonts w:ascii="Arial" w:cs="Arial" w:eastAsia="Arial" w:hAnsi="Arial"/>
                <w:sz w:val="15"/>
                <w:szCs w:val="15"/>
                <w:color w:val="auto"/>
              </w:rPr>
              <w:t>—</w:t>
            </w:r>
          </w:p>
        </w:tc>
      </w:tr>
      <w:tr>
        <w:trPr>
          <w:trHeight w:val="232"/>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Jeffrey L. Wright</w:t>
            </w: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7,531,652.551</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502,630.894</w:t>
            </w:r>
          </w:p>
        </w:tc>
        <w:tc>
          <w:tcPr>
            <w:tcW w:w="120" w:type="dxa"/>
            <w:vAlign w:val="bottom"/>
          </w:tcPr>
          <w:p>
            <w:pPr>
              <w:spacing w:after="0"/>
              <w:rPr>
                <w:sz w:val="20"/>
                <w:szCs w:val="20"/>
                <w:color w:val="auto"/>
              </w:rPr>
            </w:pPr>
          </w:p>
        </w:tc>
        <w:tc>
          <w:tcPr>
            <w:tcW w:w="2280" w:type="dxa"/>
            <w:vAlign w:val="bottom"/>
          </w:tcPr>
          <w:p>
            <w:pPr>
              <w:ind w:left="2020"/>
              <w:spacing w:after="0"/>
              <w:rPr>
                <w:sz w:val="20"/>
                <w:szCs w:val="20"/>
                <w:color w:val="auto"/>
              </w:rPr>
            </w:pPr>
            <w:r>
              <w:rPr>
                <w:rFonts w:ascii="Arial" w:cs="Arial" w:eastAsia="Arial" w:hAnsi="Arial"/>
                <w:sz w:val="15"/>
                <w:szCs w:val="15"/>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Two - Non-Binding Advisory Vote on Executive Compensation</w:t>
      </w:r>
    </w:p>
    <w:p>
      <w:pPr>
        <w:spacing w:after="0" w:line="192" w:lineRule="exact"/>
        <w:rPr>
          <w:sz w:val="20"/>
          <w:szCs w:val="20"/>
          <w:color w:val="auto"/>
        </w:rPr>
      </w:pPr>
    </w:p>
    <w:p>
      <w:pPr>
        <w:jc w:val="both"/>
        <w:ind w:right="460" w:firstLine="557"/>
        <w:spacing w:after="0" w:line="263" w:lineRule="auto"/>
        <w:rPr>
          <w:sz w:val="20"/>
          <w:szCs w:val="20"/>
          <w:color w:val="auto"/>
        </w:rPr>
      </w:pPr>
      <w:r>
        <w:rPr>
          <w:rFonts w:ascii="Arial" w:cs="Arial" w:eastAsia="Arial" w:hAnsi="Arial"/>
          <w:sz w:val="19"/>
          <w:szCs w:val="19"/>
          <w:color w:val="auto"/>
        </w:rPr>
        <w:t>The shareholders approved, on an advisory basis, the compensation of the Company's executive officers as disclosed in the proxy statement distributed in connection with the annual meeting, based on the votes listed below:</w:t>
      </w:r>
    </w:p>
    <w:p>
      <w:pPr>
        <w:spacing w:after="0" w:line="278" w:lineRule="exact"/>
        <w:rPr>
          <w:sz w:val="20"/>
          <w:szCs w:val="20"/>
          <w:color w:val="auto"/>
        </w:rPr>
      </w:pPr>
    </w:p>
    <w:p>
      <w:pPr>
        <w:ind w:left="3900"/>
        <w:spacing w:after="0"/>
        <w:tabs>
          <w:tab w:leader="none" w:pos="5440" w:val="left"/>
          <w:tab w:leader="none" w:pos="7140" w:val="left"/>
        </w:tabs>
        <w:rPr>
          <w:sz w:val="20"/>
          <w:szCs w:val="20"/>
          <w:color w:val="auto"/>
        </w:rPr>
      </w:pPr>
      <w:r>
        <w:rPr>
          <w:rFonts w:ascii="Arial" w:cs="Arial" w:eastAsia="Arial" w:hAnsi="Arial"/>
          <w:sz w:val="15"/>
          <w:szCs w:val="15"/>
          <w:b w:val="1"/>
          <w:bCs w:val="1"/>
          <w:color w:val="auto"/>
        </w:rPr>
        <w:t>For</w:t>
      </w:r>
      <w:r>
        <w:rPr>
          <w:sz w:val="20"/>
          <w:szCs w:val="20"/>
          <w:color w:val="auto"/>
        </w:rPr>
        <w:tab/>
      </w:r>
      <w:r>
        <w:rPr>
          <w:rFonts w:ascii="Arial" w:cs="Arial" w:eastAsia="Arial" w:hAnsi="Arial"/>
          <w:sz w:val="15"/>
          <w:szCs w:val="15"/>
          <w:b w:val="1"/>
          <w:bCs w:val="1"/>
          <w:color w:val="auto"/>
        </w:rPr>
        <w:t>Against</w:t>
      </w:r>
      <w:r>
        <w:rPr>
          <w:sz w:val="20"/>
          <w:szCs w:val="20"/>
          <w:color w:val="auto"/>
        </w:rPr>
        <w:tab/>
      </w:r>
      <w:r>
        <w:rPr>
          <w:rFonts w:ascii="Arial" w:cs="Arial" w:eastAsia="Arial" w:hAnsi="Arial"/>
          <w:sz w:val="14"/>
          <w:szCs w:val="14"/>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33655</wp:posOffset>
            </wp:positionV>
            <wp:extent cx="31762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76270" cy="7620"/>
                    </a:xfrm>
                    <a:prstGeom prst="rect">
                      <a:avLst/>
                    </a:prstGeom>
                    <a:noFill/>
                  </pic:spPr>
                </pic:pic>
              </a:graphicData>
            </a:graphic>
          </wp:anchor>
        </w:drawing>
      </w:r>
    </w:p>
    <w:p>
      <w:pPr>
        <w:spacing w:after="0" w:line="57" w:lineRule="exact"/>
        <w:rPr>
          <w:sz w:val="20"/>
          <w:szCs w:val="20"/>
          <w:color w:val="auto"/>
        </w:rPr>
      </w:pPr>
    </w:p>
    <w:p>
      <w:pPr>
        <w:ind w:left="3560"/>
        <w:spacing w:after="0"/>
        <w:tabs>
          <w:tab w:leader="none" w:pos="5320" w:val="left"/>
          <w:tab w:leader="none" w:pos="7060" w:val="left"/>
        </w:tabs>
        <w:rPr>
          <w:sz w:val="20"/>
          <w:szCs w:val="20"/>
          <w:color w:val="auto"/>
        </w:rPr>
      </w:pPr>
      <w:r>
        <w:rPr>
          <w:rFonts w:ascii="Arial" w:cs="Arial" w:eastAsia="Arial" w:hAnsi="Arial"/>
          <w:sz w:val="15"/>
          <w:szCs w:val="15"/>
          <w:color w:val="auto"/>
        </w:rPr>
        <w:t>7,733,402.758</w:t>
      </w:r>
      <w:r>
        <w:rPr>
          <w:sz w:val="20"/>
          <w:szCs w:val="20"/>
          <w:color w:val="auto"/>
        </w:rPr>
        <w:tab/>
      </w:r>
      <w:r>
        <w:rPr>
          <w:rFonts w:ascii="Arial" w:cs="Arial" w:eastAsia="Arial" w:hAnsi="Arial"/>
          <w:sz w:val="15"/>
          <w:szCs w:val="15"/>
          <w:color w:val="auto"/>
        </w:rPr>
        <w:t>264,924.691</w:t>
      </w:r>
      <w:r>
        <w:rPr>
          <w:sz w:val="20"/>
          <w:szCs w:val="20"/>
          <w:color w:val="auto"/>
        </w:rPr>
        <w:tab/>
      </w:r>
      <w:r>
        <w:rPr>
          <w:rFonts w:ascii="Arial" w:cs="Arial" w:eastAsia="Arial" w:hAnsi="Arial"/>
          <w:sz w:val="13"/>
          <w:szCs w:val="13"/>
          <w:color w:val="auto"/>
        </w:rPr>
        <w:t>35,955.996</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Three - Non-Binding Advisory Vote to Recommend the Frequency of Votes to Approve Executive Compensation</w:t>
      </w:r>
    </w:p>
    <w:p>
      <w:pPr>
        <w:spacing w:after="0" w:line="192" w:lineRule="exact"/>
        <w:rPr>
          <w:sz w:val="20"/>
          <w:szCs w:val="20"/>
          <w:color w:val="auto"/>
        </w:rPr>
      </w:pPr>
    </w:p>
    <w:p>
      <w:pPr>
        <w:ind w:firstLine="557"/>
        <w:spacing w:after="0" w:line="263" w:lineRule="auto"/>
        <w:rPr>
          <w:sz w:val="20"/>
          <w:szCs w:val="20"/>
          <w:color w:val="auto"/>
        </w:rPr>
      </w:pPr>
      <w:r>
        <w:rPr>
          <w:rFonts w:ascii="Arial" w:cs="Arial" w:eastAsia="Arial" w:hAnsi="Arial"/>
          <w:sz w:val="19"/>
          <w:szCs w:val="19"/>
          <w:color w:val="auto"/>
        </w:rPr>
        <w:t>Based on the voting results, the Board of Directors has determined to include a shareholder vote on executive compensation in its proxy materials on an annual basis.</w:t>
      </w:r>
    </w:p>
    <w:p>
      <w:pPr>
        <w:spacing w:after="0" w:line="278" w:lineRule="exact"/>
        <w:rPr>
          <w:sz w:val="20"/>
          <w:szCs w:val="20"/>
          <w:color w:val="auto"/>
        </w:rPr>
      </w:pPr>
    </w:p>
    <w:tbl>
      <w:tblPr>
        <w:tblLayout w:type="fixed"/>
        <w:tblInd w:w="2380" w:type="dxa"/>
        <w:tblCellMar>
          <w:top w:w="0" w:type="dxa"/>
          <w:left w:w="0" w:type="dxa"/>
          <w:bottom w:w="0" w:type="dxa"/>
          <w:right w:w="0" w:type="dxa"/>
        </w:tblCellMar>
      </w:tblPr>
      <w:tr>
        <w:trPr>
          <w:trHeight w:val="202"/>
        </w:trPr>
        <w:tc>
          <w:tcPr>
            <w:tcW w:w="17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3"/>
              </w:rPr>
              <w:t>1 Year</w:t>
            </w:r>
          </w:p>
        </w:tc>
        <w:tc>
          <w:tcPr>
            <w:tcW w:w="16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2 Years</w:t>
            </w:r>
          </w:p>
        </w:tc>
        <w:tc>
          <w:tcPr>
            <w:tcW w:w="1680" w:type="dxa"/>
            <w:vAlign w:val="bottom"/>
            <w:gridSpan w:val="2"/>
          </w:tcPr>
          <w:p>
            <w:pPr>
              <w:ind w:left="540"/>
              <w:spacing w:after="0"/>
              <w:rPr>
                <w:sz w:val="20"/>
                <w:szCs w:val="20"/>
                <w:color w:val="auto"/>
              </w:rPr>
            </w:pPr>
            <w:r>
              <w:rPr>
                <w:rFonts w:ascii="Arial" w:cs="Arial" w:eastAsia="Arial" w:hAnsi="Arial"/>
                <w:sz w:val="15"/>
                <w:szCs w:val="15"/>
                <w:b w:val="1"/>
                <w:bCs w:val="1"/>
                <w:color w:val="auto"/>
              </w:rPr>
              <w:t>3 Years</w:t>
            </w:r>
          </w:p>
        </w:tc>
        <w:tc>
          <w:tcPr>
            <w:tcW w:w="1580" w:type="dxa"/>
            <w:vAlign w:val="bottom"/>
          </w:tcPr>
          <w:p>
            <w:pPr>
              <w:jc w:val="center"/>
              <w:spacing w:after="0"/>
              <w:rPr>
                <w:sz w:val="20"/>
                <w:szCs w:val="20"/>
                <w:color w:val="auto"/>
              </w:rPr>
            </w:pPr>
            <w:r>
              <w:rPr>
                <w:rFonts w:ascii="Arial" w:cs="Arial" w:eastAsia="Arial" w:hAnsi="Arial"/>
                <w:sz w:val="15"/>
                <w:szCs w:val="15"/>
                <w:b w:val="1"/>
                <w:bCs w:val="1"/>
                <w:color w:val="auto"/>
                <w:w w:val="94"/>
              </w:rPr>
              <w:t>Abstain</w:t>
            </w:r>
          </w:p>
        </w:tc>
      </w:tr>
      <w:tr>
        <w:trPr>
          <w:trHeight w:val="24"/>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0"/>
        </w:trPr>
        <w:tc>
          <w:tcPr>
            <w:tcW w:w="1640" w:type="dxa"/>
            <w:vAlign w:val="bottom"/>
          </w:tcPr>
          <w:p>
            <w:pPr>
              <w:jc w:val="right"/>
              <w:ind w:right="303"/>
              <w:spacing w:after="0"/>
              <w:rPr>
                <w:sz w:val="20"/>
                <w:szCs w:val="20"/>
                <w:color w:val="auto"/>
              </w:rPr>
            </w:pPr>
            <w:r>
              <w:rPr>
                <w:rFonts w:ascii="Arial" w:cs="Arial" w:eastAsia="Arial" w:hAnsi="Arial"/>
                <w:sz w:val="15"/>
                <w:szCs w:val="15"/>
                <w:color w:val="auto"/>
              </w:rPr>
              <w:t>6,371,930.236</w:t>
            </w:r>
          </w:p>
        </w:tc>
        <w:tc>
          <w:tcPr>
            <w:tcW w:w="100" w:type="dxa"/>
            <w:vAlign w:val="bottom"/>
          </w:tcPr>
          <w:p>
            <w:pPr>
              <w:spacing w:after="0"/>
              <w:rPr>
                <w:sz w:val="17"/>
                <w:szCs w:val="17"/>
                <w:color w:val="auto"/>
              </w:rPr>
            </w:pPr>
          </w:p>
        </w:tc>
        <w:tc>
          <w:tcPr>
            <w:tcW w:w="1580" w:type="dxa"/>
            <w:vAlign w:val="bottom"/>
          </w:tcPr>
          <w:p>
            <w:pPr>
              <w:jc w:val="right"/>
              <w:ind w:right="383"/>
              <w:spacing w:after="0"/>
              <w:rPr>
                <w:sz w:val="20"/>
                <w:szCs w:val="20"/>
                <w:color w:val="auto"/>
              </w:rPr>
            </w:pPr>
            <w:r>
              <w:rPr>
                <w:rFonts w:ascii="Arial" w:cs="Arial" w:eastAsia="Arial" w:hAnsi="Arial"/>
                <w:sz w:val="15"/>
                <w:szCs w:val="15"/>
                <w:color w:val="auto"/>
              </w:rPr>
              <w:t>34,116.000</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1,612,974.871</w:t>
            </w:r>
          </w:p>
        </w:tc>
        <w:tc>
          <w:tcPr>
            <w:tcW w:w="100" w:type="dxa"/>
            <w:vAlign w:val="bottom"/>
          </w:tcPr>
          <w:p>
            <w:pPr>
              <w:spacing w:after="0"/>
              <w:rPr>
                <w:sz w:val="17"/>
                <w:szCs w:val="17"/>
                <w:color w:val="auto"/>
              </w:rPr>
            </w:pPr>
          </w:p>
        </w:tc>
        <w:tc>
          <w:tcPr>
            <w:tcW w:w="1580" w:type="dxa"/>
            <w:vAlign w:val="bottom"/>
          </w:tcPr>
          <w:p>
            <w:pPr>
              <w:jc w:val="right"/>
              <w:ind w:right="363"/>
              <w:spacing w:after="0"/>
              <w:rPr>
                <w:sz w:val="20"/>
                <w:szCs w:val="20"/>
                <w:color w:val="auto"/>
              </w:rPr>
            </w:pPr>
            <w:r>
              <w:rPr>
                <w:rFonts w:ascii="Arial" w:cs="Arial" w:eastAsia="Arial" w:hAnsi="Arial"/>
                <w:sz w:val="15"/>
                <w:szCs w:val="15"/>
                <w:color w:val="auto"/>
              </w:rPr>
              <w:t>15,262.338</w:t>
            </w:r>
          </w:p>
        </w:tc>
      </w:tr>
    </w:tbl>
    <w:p>
      <w:pPr>
        <w:sectPr>
          <w:pgSz w:w="11900" w:h="16838" w:orient="portrait"/>
          <w:cols w:equalWidth="0" w:num="1">
            <w:col w:w="11380"/>
          </w:cols>
          <w:pgMar w:left="240" w:top="929"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color w:val="auto"/>
        </w:rPr>
        <w:t>SIGNATURES</w:t>
      </w:r>
    </w:p>
    <w:p>
      <w:pPr>
        <w:spacing w:after="0" w:line="188" w:lineRule="exact"/>
        <w:rPr>
          <w:sz w:val="20"/>
          <w:szCs w:val="20"/>
          <w:color w:val="auto"/>
        </w:rPr>
      </w:pPr>
    </w:p>
    <w:p>
      <w:pPr>
        <w:ind w:firstLine="557"/>
        <w:spacing w:after="0" w:line="263"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84" w:lineRule="exact"/>
        <w:rPr>
          <w:sz w:val="20"/>
          <w:szCs w:val="20"/>
          <w:color w:val="auto"/>
        </w:rPr>
      </w:pPr>
    </w:p>
    <w:p>
      <w:pPr>
        <w:ind w:left="6800"/>
        <w:spacing w:after="0"/>
        <w:rPr>
          <w:sz w:val="20"/>
          <w:szCs w:val="20"/>
          <w:color w:val="auto"/>
        </w:rPr>
      </w:pPr>
      <w:r>
        <w:rPr>
          <w:rFonts w:ascii="Arial" w:cs="Arial" w:eastAsia="Arial" w:hAnsi="Arial"/>
          <w:sz w:val="15"/>
          <w:szCs w:val="15"/>
          <w:color w:val="auto"/>
        </w:rPr>
        <w:t>HAWKINS, INC.</w:t>
      </w:r>
    </w:p>
    <w:p>
      <w:pPr>
        <w:spacing w:after="0" w:line="164" w:lineRule="exact"/>
        <w:rPr>
          <w:sz w:val="20"/>
          <w:szCs w:val="20"/>
          <w:color w:val="auto"/>
        </w:rPr>
      </w:pPr>
    </w:p>
    <w:p>
      <w:pPr>
        <w:ind w:left="3640"/>
        <w:spacing w:after="0"/>
        <w:tabs>
          <w:tab w:leader="none" w:pos="6780" w:val="left"/>
          <w:tab w:leader="none" w:pos="8720" w:val="left"/>
        </w:tabs>
        <w:rPr>
          <w:sz w:val="20"/>
          <w:szCs w:val="20"/>
          <w:color w:val="auto"/>
        </w:rPr>
      </w:pPr>
      <w:r>
        <w:rPr>
          <w:rFonts w:ascii="Arial" w:cs="Arial" w:eastAsia="Arial" w:hAnsi="Arial"/>
          <w:sz w:val="15"/>
          <w:szCs w:val="15"/>
          <w:color w:val="auto"/>
        </w:rPr>
        <w:t>Date: August 15, 2017</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29845</wp:posOffset>
            </wp:positionV>
            <wp:extent cx="27508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50820" cy="7620"/>
                    </a:xfrm>
                    <a:prstGeom prst="rect">
                      <a:avLst/>
                    </a:prstGeom>
                    <a:noFill/>
                  </pic:spPr>
                </pic:pic>
              </a:graphicData>
            </a:graphic>
          </wp:anchor>
        </w:drawing>
      </w:r>
    </w:p>
    <w:p>
      <w:pPr>
        <w:spacing w:after="0" w:line="51" w:lineRule="exact"/>
        <w:rPr>
          <w:sz w:val="20"/>
          <w:szCs w:val="20"/>
          <w:color w:val="auto"/>
        </w:rPr>
      </w:pPr>
    </w:p>
    <w:p>
      <w:pPr>
        <w:jc w:val="center"/>
        <w:ind w:left="7340"/>
        <w:spacing w:after="0"/>
        <w:rPr>
          <w:sz w:val="20"/>
          <w:szCs w:val="20"/>
          <w:color w:val="auto"/>
        </w:rPr>
      </w:pPr>
      <w:r>
        <w:rPr>
          <w:rFonts w:ascii="Arial" w:cs="Arial" w:eastAsia="Arial" w:hAnsi="Arial"/>
          <w:sz w:val="15"/>
          <w:szCs w:val="15"/>
          <w:color w:val="auto"/>
        </w:rPr>
        <w:t>Richard G. Erstad</w:t>
      </w:r>
    </w:p>
    <w:p>
      <w:pPr>
        <w:spacing w:after="0" w:line="60" w:lineRule="exact"/>
        <w:rPr>
          <w:sz w:val="20"/>
          <w:szCs w:val="20"/>
          <w:color w:val="auto"/>
        </w:rPr>
      </w:pPr>
    </w:p>
    <w:p>
      <w:pPr>
        <w:jc w:val="center"/>
        <w:ind w:left="7340"/>
        <w:spacing w:after="0"/>
        <w:rPr>
          <w:sz w:val="20"/>
          <w:szCs w:val="20"/>
          <w:color w:val="auto"/>
        </w:rPr>
      </w:pPr>
      <w:r>
        <w:rPr>
          <w:rFonts w:ascii="Arial" w:cs="Arial" w:eastAsia="Arial" w:hAnsi="Arial"/>
          <w:sz w:val="15"/>
          <w:szCs w:val="15"/>
          <w:color w:val="auto"/>
        </w:rPr>
        <w:t>Vice President, General Counsel and Secretary</w:t>
      </w:r>
    </w:p>
    <w:sectPr>
      <w:pgSz w:w="11900" w:h="16838" w:orient="portrait"/>
      <w:cols w:equalWidth="0" w:num="1">
        <w:col w:w="11440"/>
      </w:cols>
      <w:pgMar w:left="240" w:top="5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2019-12-05T03:58:39Z</dcterms:created>
  <dcterms:modified xsi:type="dcterms:W3CDTF">2019-12-05T03:58:39Z</dcterms:modified>
</cp:coreProperties>
</file>