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225425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93980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19"/>
        <w:spacing w:after="0"/>
        <w:tabs>
          <w:tab w:leader="none" w:pos="34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b w:val="1"/>
          <w:bCs w:val="1"/>
          <w:color w:val="auto"/>
        </w:rPr>
        <w:t>February 23,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6" w:lineRule="exact"/>
        <w:rPr>
          <w:sz w:val="24"/>
          <w:szCs w:val="24"/>
          <w:color w:val="auto"/>
        </w:rPr>
      </w:pPr>
    </w:p>
    <w:tbl>
      <w:tblPr>
        <w:tblLayout w:type="fixed"/>
        <w:tblInd w:w="480" w:type="dxa"/>
        <w:tblCellMar>
          <w:top w:w="0" w:type="dxa"/>
          <w:left w:w="0" w:type="dxa"/>
          <w:bottom w:w="0" w:type="dxa"/>
          <w:right w:w="0" w:type="dxa"/>
        </w:tblCellMar>
      </w:tblPr>
      <w:tr>
        <w:trPr>
          <w:trHeight w:val="256"/>
        </w:trPr>
        <w:tc>
          <w:tcPr>
            <w:tcW w:w="3620" w:type="dxa"/>
            <w:vAlign w:val="bottom"/>
          </w:tcPr>
          <w:p>
            <w:pPr>
              <w:jc w:val="center"/>
              <w:ind w:right="578"/>
              <w:spacing w:after="0"/>
              <w:rPr>
                <w:sz w:val="20"/>
                <w:szCs w:val="20"/>
                <w:color w:val="auto"/>
              </w:rPr>
            </w:pPr>
            <w:r>
              <w:rPr>
                <w:rFonts w:ascii="Arial" w:cs="Arial" w:eastAsia="Arial" w:hAnsi="Arial"/>
                <w:sz w:val="22"/>
                <w:szCs w:val="22"/>
                <w:b w:val="1"/>
                <w:bCs w:val="1"/>
                <w:color w:val="auto"/>
                <w:w w:val="90"/>
              </w:rPr>
              <w:t>Minnesota</w:t>
            </w:r>
          </w:p>
        </w:tc>
        <w:tc>
          <w:tcPr>
            <w:tcW w:w="3260" w:type="dxa"/>
            <w:vAlign w:val="bottom"/>
          </w:tcPr>
          <w:p>
            <w:pPr>
              <w:jc w:val="right"/>
              <w:ind w:right="1181"/>
              <w:spacing w:after="0"/>
              <w:rPr>
                <w:sz w:val="20"/>
                <w:szCs w:val="20"/>
                <w:color w:val="auto"/>
              </w:rPr>
            </w:pPr>
            <w:r>
              <w:rPr>
                <w:rFonts w:ascii="Arial" w:cs="Arial" w:eastAsia="Arial" w:hAnsi="Arial"/>
                <w:sz w:val="22"/>
                <w:szCs w:val="22"/>
                <w:b w:val="1"/>
                <w:bCs w:val="1"/>
                <w:color w:val="auto"/>
              </w:rPr>
              <w:t>0-7647</w:t>
            </w:r>
          </w:p>
        </w:tc>
        <w:tc>
          <w:tcPr>
            <w:tcW w:w="3420" w:type="dxa"/>
            <w:vAlign w:val="bottom"/>
          </w:tcPr>
          <w:p>
            <w:pPr>
              <w:jc w:val="right"/>
              <w:ind w:right="619"/>
              <w:spacing w:after="0"/>
              <w:rPr>
                <w:sz w:val="20"/>
                <w:szCs w:val="20"/>
                <w:color w:val="auto"/>
              </w:rPr>
            </w:pPr>
            <w:r>
              <w:rPr>
                <w:rFonts w:ascii="Arial" w:cs="Arial" w:eastAsia="Arial" w:hAnsi="Arial"/>
                <w:sz w:val="22"/>
                <w:szCs w:val="22"/>
                <w:b w:val="1"/>
                <w:bCs w:val="1"/>
                <w:color w:val="auto"/>
              </w:rPr>
              <w:t>41-0771293</w:t>
            </w:r>
          </w:p>
        </w:tc>
      </w:tr>
      <w:tr>
        <w:trPr>
          <w:trHeight w:val="230"/>
        </w:trPr>
        <w:tc>
          <w:tcPr>
            <w:tcW w:w="3620" w:type="dxa"/>
            <w:vAlign w:val="bottom"/>
          </w:tcPr>
          <w:p>
            <w:pPr>
              <w:jc w:val="center"/>
              <w:ind w:right="578"/>
              <w:spacing w:after="0"/>
              <w:rPr>
                <w:sz w:val="20"/>
                <w:szCs w:val="20"/>
                <w:color w:val="auto"/>
              </w:rPr>
            </w:pPr>
            <w:r>
              <w:rPr>
                <w:rFonts w:ascii="Arial" w:cs="Arial" w:eastAsia="Arial" w:hAnsi="Arial"/>
                <w:sz w:val="18"/>
                <w:szCs w:val="18"/>
                <w:color w:val="auto"/>
                <w:w w:val="92"/>
              </w:rPr>
              <w:t>(State of Incorporation)</w:t>
            </w:r>
          </w:p>
        </w:tc>
        <w:tc>
          <w:tcPr>
            <w:tcW w:w="3260" w:type="dxa"/>
            <w:vAlign w:val="bottom"/>
          </w:tcPr>
          <w:p>
            <w:pPr>
              <w:jc w:val="center"/>
              <w:ind w:left="1"/>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ind w:left="839"/>
              <w:spacing w:after="0"/>
              <w:rPr>
                <w:sz w:val="20"/>
                <w:szCs w:val="20"/>
                <w:color w:val="auto"/>
              </w:rPr>
            </w:pPr>
            <w:r>
              <w:rPr>
                <w:rFonts w:ascii="Arial" w:cs="Arial" w:eastAsia="Arial" w:hAnsi="Arial"/>
                <w:sz w:val="18"/>
                <w:szCs w:val="18"/>
                <w:color w:val="auto"/>
                <w:w w:val="94"/>
              </w:rPr>
              <w:t>(IRS Employer Identification No.)</w:t>
            </w:r>
          </w:p>
        </w:tc>
      </w:tr>
      <w:tr>
        <w:trPr>
          <w:trHeight w:val="459"/>
        </w:trPr>
        <w:tc>
          <w:tcPr>
            <w:tcW w:w="3620" w:type="dxa"/>
            <w:vAlign w:val="bottom"/>
          </w:tcPr>
          <w:p>
            <w:pPr>
              <w:jc w:val="center"/>
              <w:ind w:right="578"/>
              <w:spacing w:after="0"/>
              <w:rPr>
                <w:sz w:val="20"/>
                <w:szCs w:val="20"/>
                <w:color w:val="auto"/>
              </w:rPr>
            </w:pPr>
            <w:r>
              <w:rPr>
                <w:rFonts w:ascii="Arial" w:cs="Arial" w:eastAsia="Arial" w:hAnsi="Arial"/>
                <w:sz w:val="22"/>
                <w:szCs w:val="22"/>
                <w:b w:val="1"/>
                <w:bCs w:val="1"/>
                <w:color w:val="auto"/>
                <w:w w:val="87"/>
              </w:rPr>
              <w:t>3100 East Hennepin Avenue</w:t>
            </w:r>
          </w:p>
        </w:tc>
        <w:tc>
          <w:tcPr>
            <w:tcW w:w="32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56"/>
        </w:trPr>
        <w:tc>
          <w:tcPr>
            <w:tcW w:w="3620" w:type="dxa"/>
            <w:vAlign w:val="bottom"/>
          </w:tcPr>
          <w:p>
            <w:pPr>
              <w:jc w:val="center"/>
              <w:ind w:right="578"/>
              <w:spacing w:after="0"/>
              <w:rPr>
                <w:sz w:val="20"/>
                <w:szCs w:val="20"/>
                <w:color w:val="auto"/>
              </w:rPr>
            </w:pPr>
            <w:r>
              <w:rPr>
                <w:rFonts w:ascii="Arial" w:cs="Arial" w:eastAsia="Arial" w:hAnsi="Arial"/>
                <w:sz w:val="22"/>
                <w:szCs w:val="22"/>
                <w:b w:val="1"/>
                <w:bCs w:val="1"/>
                <w:color w:val="auto"/>
                <w:w w:val="93"/>
              </w:rPr>
              <w:t>Minneapolis, MN</w:t>
            </w:r>
          </w:p>
        </w:tc>
        <w:tc>
          <w:tcPr>
            <w:tcW w:w="3260" w:type="dxa"/>
            <w:vAlign w:val="bottom"/>
          </w:tcPr>
          <w:p>
            <w:pPr>
              <w:spacing w:after="0"/>
              <w:rPr>
                <w:sz w:val="22"/>
                <w:szCs w:val="22"/>
                <w:color w:val="auto"/>
              </w:rPr>
            </w:pPr>
          </w:p>
        </w:tc>
        <w:tc>
          <w:tcPr>
            <w:tcW w:w="3420" w:type="dxa"/>
            <w:vAlign w:val="bottom"/>
          </w:tcPr>
          <w:p>
            <w:pPr>
              <w:jc w:val="right"/>
              <w:ind w:right="859"/>
              <w:spacing w:after="0"/>
              <w:rPr>
                <w:sz w:val="20"/>
                <w:szCs w:val="20"/>
                <w:color w:val="auto"/>
              </w:rPr>
            </w:pPr>
            <w:r>
              <w:rPr>
                <w:rFonts w:ascii="Arial" w:cs="Arial" w:eastAsia="Arial" w:hAnsi="Arial"/>
                <w:sz w:val="22"/>
                <w:szCs w:val="22"/>
                <w:b w:val="1"/>
                <w:bCs w:val="1"/>
                <w:color w:val="auto"/>
              </w:rPr>
              <w:t>55413</w:t>
            </w:r>
          </w:p>
        </w:tc>
      </w:tr>
      <w:tr>
        <w:trPr>
          <w:trHeight w:val="230"/>
        </w:trPr>
        <w:tc>
          <w:tcPr>
            <w:tcW w:w="3620" w:type="dxa"/>
            <w:vAlign w:val="bottom"/>
          </w:tcPr>
          <w:p>
            <w:pPr>
              <w:jc w:val="center"/>
              <w:ind w:right="578"/>
              <w:spacing w:after="0"/>
              <w:rPr>
                <w:sz w:val="20"/>
                <w:szCs w:val="20"/>
                <w:color w:val="auto"/>
              </w:rPr>
            </w:pPr>
            <w:r>
              <w:rPr>
                <w:rFonts w:ascii="Arial" w:cs="Arial" w:eastAsia="Arial" w:hAnsi="Arial"/>
                <w:sz w:val="18"/>
                <w:szCs w:val="18"/>
                <w:color w:val="auto"/>
                <w:w w:val="92"/>
              </w:rPr>
              <w:t>(Address of Principal Executive Offices)</w:t>
            </w:r>
          </w:p>
        </w:tc>
        <w:tc>
          <w:tcPr>
            <w:tcW w:w="3260" w:type="dxa"/>
            <w:vAlign w:val="bottom"/>
          </w:tcPr>
          <w:p>
            <w:pPr>
              <w:spacing w:after="0"/>
              <w:rPr>
                <w:sz w:val="20"/>
                <w:szCs w:val="20"/>
                <w:color w:val="auto"/>
              </w:rPr>
            </w:pPr>
          </w:p>
        </w:tc>
        <w:tc>
          <w:tcPr>
            <w:tcW w:w="3420" w:type="dxa"/>
            <w:vAlign w:val="bottom"/>
          </w:tcPr>
          <w:p>
            <w:pPr>
              <w:jc w:val="center"/>
              <w:ind w:left="839"/>
              <w:spacing w:after="0"/>
              <w:rPr>
                <w:sz w:val="20"/>
                <w:szCs w:val="20"/>
                <w:color w:val="auto"/>
              </w:rPr>
            </w:pPr>
            <w:r>
              <w:rPr>
                <w:rFonts w:ascii="Arial" w:cs="Arial" w:eastAsia="Arial" w:hAnsi="Arial"/>
                <w:sz w:val="18"/>
                <w:szCs w:val="18"/>
                <w:color w:val="auto"/>
                <w:w w:val="94"/>
              </w:rPr>
              <w:t>(Zip Code)</w:t>
            </w:r>
          </w:p>
        </w:tc>
      </w:tr>
      <w:tr>
        <w:trPr>
          <w:trHeight w:val="523"/>
        </w:trPr>
        <w:tc>
          <w:tcPr>
            <w:tcW w:w="6880" w:type="dxa"/>
            <w:vAlign w:val="bottom"/>
            <w:gridSpan w:val="2"/>
          </w:tcPr>
          <w:p>
            <w:pPr>
              <w:ind w:left="2120"/>
              <w:spacing w:after="0"/>
              <w:rPr>
                <w:sz w:val="20"/>
                <w:szCs w:val="20"/>
                <w:color w:val="auto"/>
              </w:rPr>
            </w:pPr>
            <w:r>
              <w:rPr>
                <w:rFonts w:ascii="Arial" w:cs="Arial" w:eastAsia="Arial" w:hAnsi="Arial"/>
                <w:sz w:val="22"/>
                <w:szCs w:val="22"/>
                <w:color w:val="auto"/>
                <w:w w:val="90"/>
              </w:rPr>
              <w:t>Registrant’s Telephone Number, Including Area Code</w:t>
            </w:r>
          </w:p>
        </w:tc>
        <w:tc>
          <w:tcPr>
            <w:tcW w:w="3420" w:type="dxa"/>
            <w:vAlign w:val="bottom"/>
          </w:tcPr>
          <w:p>
            <w:pPr>
              <w:jc w:val="right"/>
              <w:ind w:right="1859"/>
              <w:spacing w:after="0"/>
              <w:rPr>
                <w:sz w:val="20"/>
                <w:szCs w:val="20"/>
                <w:color w:val="auto"/>
              </w:rPr>
            </w:pPr>
            <w:r>
              <w:rPr>
                <w:rFonts w:ascii="Arial" w:cs="Arial" w:eastAsia="Arial" w:hAnsi="Arial"/>
                <w:sz w:val="22"/>
                <w:szCs w:val="22"/>
                <w:b w:val="1"/>
                <w:bCs w:val="1"/>
                <w:color w:val="auto"/>
                <w:w w:val="95"/>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firstLine="367"/>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580" w:hanging="264"/>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580" w:hanging="264"/>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580" w:hanging="264"/>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5" w:lineRule="exact"/>
        <w:rPr>
          <w:sz w:val="24"/>
          <w:szCs w:val="24"/>
          <w:color w:val="auto"/>
        </w:rPr>
      </w:pPr>
    </w:p>
    <w:p>
      <w:pPr>
        <w:ind w:left="3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19"/>
          <w:szCs w:val="19"/>
          <w:b w:val="1"/>
          <w:bCs w:val="1"/>
          <w:color w:val="auto"/>
        </w:rPr>
        <w:t>Appointment of Certain Officers; Compensatory Arrangements of Certain Officers.</w:t>
      </w:r>
    </w:p>
    <w:p>
      <w:pPr>
        <w:spacing w:after="0" w:line="246" w:lineRule="exact"/>
        <w:rPr>
          <w:sz w:val="20"/>
          <w:szCs w:val="20"/>
          <w:color w:val="auto"/>
        </w:rPr>
      </w:pPr>
    </w:p>
    <w:p>
      <w:pPr>
        <w:jc w:val="both"/>
        <w:ind w:firstLine="772"/>
        <w:spacing w:after="0" w:line="277" w:lineRule="auto"/>
        <w:rPr>
          <w:sz w:val="20"/>
          <w:szCs w:val="20"/>
          <w:color w:val="auto"/>
        </w:rPr>
      </w:pPr>
      <w:r>
        <w:rPr>
          <w:rFonts w:ascii="Arial" w:cs="Arial" w:eastAsia="Arial" w:hAnsi="Arial"/>
          <w:sz w:val="18"/>
          <w:szCs w:val="18"/>
          <w:color w:val="auto"/>
        </w:rPr>
        <w:t>On February 23, 2010, we announced the appointment of Patrick H. Hawkins to serve as our President, effective March 29, 2010, the beginning of our fiscal year 2011.</w:t>
      </w:r>
    </w:p>
    <w:p>
      <w:pPr>
        <w:spacing w:after="0" w:line="197" w:lineRule="exact"/>
        <w:rPr>
          <w:sz w:val="20"/>
          <w:szCs w:val="20"/>
          <w:color w:val="auto"/>
        </w:rPr>
      </w:pPr>
    </w:p>
    <w:p>
      <w:pPr>
        <w:jc w:val="both"/>
        <w:ind w:firstLine="772"/>
        <w:spacing w:after="0" w:line="279" w:lineRule="auto"/>
        <w:rPr>
          <w:sz w:val="20"/>
          <w:szCs w:val="20"/>
          <w:color w:val="auto"/>
        </w:rPr>
      </w:pPr>
      <w:r>
        <w:rPr>
          <w:rFonts w:ascii="Arial" w:cs="Arial" w:eastAsia="Arial" w:hAnsi="Arial"/>
          <w:sz w:val="17"/>
          <w:szCs w:val="17"/>
          <w:color w:val="auto"/>
        </w:rPr>
        <w:t>Mr. Hawkins, age 38, has been employed by us since 1992 and is currently serving as Business Director – Food and Pharmaceuticals, a position he has held since 2009. Previously Mr. Hawkins served as Business Manager – Food and Co-Extrusion Products from 2007 to 2009 and Sales Representative – Food Ingredients from 2002 to 2007. He previously served Hawkins, Inc. in various other capacities, including Plant Manager, Quality Director and Technical Director. Mr. Hawkins holds a bachelor’s degree in chemistry from the University of St. Thomas in St. Paul, Minnesota.</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Mr. Hawkins is the nephew of John R. Hawkins, who currently serves as our Chief Executive Officer and is a member of our Board of Directors.</w:t>
      </w:r>
    </w:p>
    <w:p>
      <w:pPr>
        <w:spacing w:after="0" w:line="275" w:lineRule="exact"/>
        <w:rPr>
          <w:sz w:val="20"/>
          <w:szCs w:val="20"/>
          <w:color w:val="auto"/>
        </w:rPr>
      </w:pPr>
    </w:p>
    <w:p>
      <w:pPr>
        <w:jc w:val="both"/>
        <w:ind w:firstLine="772"/>
        <w:spacing w:after="0" w:line="264" w:lineRule="auto"/>
        <w:rPr>
          <w:sz w:val="20"/>
          <w:szCs w:val="20"/>
          <w:color w:val="auto"/>
        </w:rPr>
      </w:pPr>
      <w:r>
        <w:rPr>
          <w:rFonts w:ascii="Arial" w:cs="Arial" w:eastAsia="Arial" w:hAnsi="Arial"/>
          <w:sz w:val="18"/>
          <w:szCs w:val="18"/>
          <w:color w:val="auto"/>
        </w:rPr>
        <w:t>Mr. Hawkins’ annual base salary will be $280,000, reviewed annually. In addition, Mr. Hawkins will continue to participate in our benefit plans according to their terms and, as an executive officer, will be eligible to participate in our incentive arrangements beginning with fiscal year 2011, which will be established and overseen by our Compensation Committee.</w:t>
      </w:r>
    </w:p>
    <w:p>
      <w:pPr>
        <w:spacing w:after="0" w:line="19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46" w:lineRule="exact"/>
        <w:rPr>
          <w:sz w:val="20"/>
          <w:szCs w:val="20"/>
          <w:color w:val="auto"/>
        </w:rPr>
      </w:pPr>
    </w:p>
    <w:p>
      <w:pPr>
        <w:jc w:val="both"/>
        <w:ind w:firstLine="772"/>
        <w:spacing w:after="0" w:line="277" w:lineRule="auto"/>
        <w:rPr>
          <w:sz w:val="20"/>
          <w:szCs w:val="20"/>
          <w:color w:val="auto"/>
        </w:rPr>
      </w:pPr>
      <w:r>
        <w:rPr>
          <w:rFonts w:ascii="Arial" w:cs="Arial" w:eastAsia="Arial" w:hAnsi="Arial"/>
          <w:sz w:val="18"/>
          <w:szCs w:val="18"/>
          <w:color w:val="auto"/>
        </w:rPr>
        <w:t>We issued a press release, dated February 23, 2010, announcing the appointment of Patrick H. Hawkins to serve as our President, attached hereto as Exhibit 99.</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dated February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ind w:firstLine="85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3420" w:type="dxa"/>
            <w:vAlign w:val="bottom"/>
            <w:gridSpan w:val="2"/>
          </w:tcPr>
          <w:p>
            <w:pPr>
              <w:ind w:left="1900"/>
              <w:spacing w:after="0"/>
              <w:rPr>
                <w:sz w:val="20"/>
                <w:szCs w:val="20"/>
                <w:color w:val="auto"/>
              </w:rPr>
            </w:pPr>
            <w:r>
              <w:rPr>
                <w:rFonts w:ascii="Arial" w:cs="Arial" w:eastAsia="Arial" w:hAnsi="Arial"/>
                <w:sz w:val="18"/>
                <w:szCs w:val="18"/>
                <w:color w:val="auto"/>
              </w:rPr>
              <w:t>HAWKINS, INC.</w:t>
            </w:r>
          </w:p>
        </w:tc>
        <w:tc>
          <w:tcPr>
            <w:tcW w:w="3180" w:type="dxa"/>
            <w:vAlign w:val="bottom"/>
          </w:tcPr>
          <w:p>
            <w:pPr>
              <w:spacing w:after="0"/>
              <w:rPr>
                <w:sz w:val="20"/>
                <w:szCs w:val="20"/>
                <w:color w:val="auto"/>
              </w:rPr>
            </w:pPr>
          </w:p>
        </w:tc>
      </w:tr>
      <w:tr>
        <w:trPr>
          <w:trHeight w:val="729"/>
        </w:trPr>
        <w:tc>
          <w:tcPr>
            <w:tcW w:w="3680" w:type="dxa"/>
            <w:vAlign w:val="bottom"/>
          </w:tcPr>
          <w:p>
            <w:pPr>
              <w:spacing w:after="0"/>
              <w:rPr>
                <w:sz w:val="20"/>
                <w:szCs w:val="20"/>
                <w:color w:val="auto"/>
              </w:rPr>
            </w:pPr>
            <w:r>
              <w:rPr>
                <w:rFonts w:ascii="Arial" w:cs="Arial" w:eastAsia="Arial" w:hAnsi="Arial"/>
                <w:sz w:val="18"/>
                <w:szCs w:val="18"/>
                <w:color w:val="auto"/>
              </w:rPr>
              <w:t>Date: February 24, 2010</w:t>
            </w:r>
          </w:p>
        </w:tc>
        <w:tc>
          <w:tcPr>
            <w:tcW w:w="3420" w:type="dxa"/>
            <w:vAlign w:val="bottom"/>
            <w:gridSpan w:val="2"/>
          </w:tcPr>
          <w:p>
            <w:pPr>
              <w:ind w:left="1900"/>
              <w:spacing w:after="0"/>
              <w:rPr>
                <w:sz w:val="20"/>
                <w:szCs w:val="20"/>
                <w:color w:val="auto"/>
              </w:rPr>
            </w:pPr>
            <w:r>
              <w:rPr>
                <w:rFonts w:ascii="Arial" w:cs="Arial" w:eastAsia="Arial" w:hAnsi="Arial"/>
                <w:sz w:val="18"/>
                <w:szCs w:val="18"/>
                <w:color w:val="auto"/>
              </w:rPr>
              <w:t>By:</w:t>
            </w:r>
          </w:p>
        </w:tc>
        <w:tc>
          <w:tcPr>
            <w:tcW w:w="3180" w:type="dxa"/>
            <w:vAlign w:val="bottom"/>
          </w:tcPr>
          <w:p>
            <w:pPr>
              <w:jc w:val="center"/>
              <w:ind w:right="1130"/>
              <w:spacing w:after="0"/>
              <w:rPr>
                <w:sz w:val="20"/>
                <w:szCs w:val="20"/>
                <w:color w:val="auto"/>
              </w:rPr>
            </w:pPr>
            <w:r>
              <w:rPr>
                <w:rFonts w:ascii="Arial" w:cs="Arial" w:eastAsia="Arial" w:hAnsi="Arial"/>
                <w:sz w:val="18"/>
                <w:szCs w:val="18"/>
                <w:color w:val="auto"/>
                <w:w w:val="90"/>
              </w:rPr>
              <w:t>/s/ Richard G. Erstad</w:t>
            </w:r>
          </w:p>
        </w:tc>
      </w:tr>
      <w:tr>
        <w:trPr>
          <w:trHeight w:val="224"/>
        </w:trPr>
        <w:tc>
          <w:tcPr>
            <w:tcW w:w="36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jc w:val="center"/>
              <w:ind w:right="1110"/>
              <w:spacing w:after="0"/>
              <w:rPr>
                <w:sz w:val="20"/>
                <w:szCs w:val="20"/>
                <w:color w:val="auto"/>
              </w:rPr>
            </w:pPr>
            <w:r>
              <w:rPr>
                <w:rFonts w:ascii="Arial" w:cs="Arial" w:eastAsia="Arial" w:hAnsi="Arial"/>
                <w:sz w:val="18"/>
                <w:szCs w:val="18"/>
                <w:color w:val="auto"/>
                <w:w w:val="90"/>
              </w:rPr>
              <w:t>Richard G. Erstad</w:t>
            </w:r>
          </w:p>
        </w:tc>
      </w:tr>
    </w:tbl>
    <w:p>
      <w:pPr>
        <w:ind w:left="6380"/>
        <w:spacing w:after="0"/>
        <w:rPr>
          <w:sz w:val="20"/>
          <w:szCs w:val="20"/>
          <w:color w:val="auto"/>
        </w:rPr>
      </w:pPr>
      <w:r>
        <w:rPr>
          <w:rFonts w:ascii="Arial" w:cs="Arial" w:eastAsia="Arial" w:hAnsi="Arial"/>
          <w:sz w:val="18"/>
          <w:szCs w:val="18"/>
          <w:color w:val="auto"/>
        </w:rPr>
        <w:t>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1632585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No.</w:t>
            </w: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Description</w:t>
            </w:r>
          </w:p>
        </w:tc>
        <w:tc>
          <w:tcPr>
            <w:tcW w:w="3400" w:type="dxa"/>
            <w:vAlign w:val="bottom"/>
            <w:gridSpan w:val="2"/>
          </w:tcPr>
          <w:p>
            <w:pPr>
              <w:spacing w:after="0"/>
              <w:rPr>
                <w:sz w:val="20"/>
                <w:szCs w:val="20"/>
                <w:color w:val="auto"/>
              </w:rPr>
            </w:pPr>
            <w:r>
              <w:rPr>
                <w:rFonts w:ascii="Arial" w:cs="Arial" w:eastAsia="Arial" w:hAnsi="Arial"/>
                <w:sz w:val="18"/>
                <w:szCs w:val="18"/>
                <w:color w:val="auto"/>
              </w:rPr>
              <w:t>Manner of Filing</w:t>
            </w:r>
          </w:p>
        </w:tc>
      </w:tr>
      <w:tr>
        <w:trPr>
          <w:trHeight w:val="20"/>
        </w:trPr>
        <w:tc>
          <w:tcPr>
            <w:tcW w:w="1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80"/>
        </w:trPr>
        <w:tc>
          <w:tcPr>
            <w:tcW w:w="17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Press Release, dated February 23, 2010.</w:t>
            </w:r>
          </w:p>
        </w:tc>
        <w:tc>
          <w:tcPr>
            <w:tcW w:w="3400" w:type="dxa"/>
            <w:vAlign w:val="bottom"/>
            <w:gridSpan w:val="2"/>
          </w:tcPr>
          <w:p>
            <w:pPr>
              <w:spacing w:after="0"/>
              <w:rPr>
                <w:sz w:val="20"/>
                <w:szCs w:val="20"/>
                <w:color w:val="auto"/>
              </w:rPr>
            </w:pPr>
            <w:r>
              <w:rPr>
                <w:rFonts w:ascii="Arial" w:cs="Arial" w:eastAsia="Arial" w:hAnsi="Arial"/>
                <w:sz w:val="18"/>
                <w:szCs w:val="18"/>
                <w:color w:val="auto"/>
              </w:rPr>
              <w:t>Filed Electronically</w:t>
            </w:r>
          </w:p>
        </w:tc>
      </w:tr>
      <w:tr>
        <w:trPr>
          <w:trHeight w:val="4251"/>
        </w:trPr>
        <w:tc>
          <w:tcPr>
            <w:tcW w:w="1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Arial" w:cs="Arial" w:eastAsia="Arial" w:hAnsi="Arial"/>
                <w:sz w:val="22"/>
                <w:szCs w:val="22"/>
                <w:b w:val="1"/>
                <w:bCs w:val="1"/>
                <w:color w:val="auto"/>
              </w:rPr>
              <w:t>FOR IMMEDIATE RELEASE</w:t>
            </w:r>
          </w:p>
        </w:tc>
        <w:tc>
          <w:tcPr>
            <w:tcW w:w="5420" w:type="dxa"/>
            <w:vAlign w:val="bottom"/>
          </w:tcPr>
          <w:p>
            <w:pPr>
              <w:ind w:left="4280"/>
              <w:spacing w:after="0"/>
              <w:rPr>
                <w:sz w:val="20"/>
                <w:szCs w:val="20"/>
                <w:color w:val="auto"/>
              </w:rPr>
            </w:pPr>
            <w:r>
              <w:rPr>
                <w:rFonts w:ascii="Arial" w:cs="Arial" w:eastAsia="Arial" w:hAnsi="Arial"/>
                <w:sz w:val="16"/>
                <w:szCs w:val="16"/>
                <w:color w:val="auto"/>
              </w:rPr>
              <w:t>Contacts:</w:t>
            </w:r>
          </w:p>
        </w:tc>
        <w:tc>
          <w:tcPr>
            <w:tcW w:w="2300" w:type="dxa"/>
            <w:vAlign w:val="bottom"/>
            <w:gridSpan w:val="2"/>
          </w:tcPr>
          <w:p>
            <w:pPr>
              <w:spacing w:after="0"/>
              <w:rPr>
                <w:sz w:val="20"/>
                <w:szCs w:val="20"/>
                <w:color w:val="auto"/>
              </w:rPr>
            </w:pPr>
            <w:r>
              <w:rPr>
                <w:rFonts w:ascii="Arial" w:cs="Arial" w:eastAsia="Arial" w:hAnsi="Arial"/>
                <w:sz w:val="16"/>
                <w:szCs w:val="16"/>
                <w:color w:val="auto"/>
              </w:rPr>
              <w:t>John R. Hawkins</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612/617-8532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160" w:type="dxa"/>
            <w:vAlign w:val="bottom"/>
            <w:vMerge w:val="restart"/>
          </w:tcPr>
          <w:p>
            <w:pPr>
              <w:spacing w:after="0"/>
              <w:rPr>
                <w:sz w:val="20"/>
                <w:szCs w:val="20"/>
                <w:color w:val="auto"/>
              </w:rPr>
            </w:pPr>
            <w:r>
              <w:rPr>
                <w:rFonts w:ascii="Arial" w:cs="Arial" w:eastAsia="Arial" w:hAnsi="Arial"/>
                <w:sz w:val="16"/>
                <w:szCs w:val="16"/>
                <w:color w:val="auto"/>
              </w:rPr>
              <w:t>Hawkins, Inc.</w:t>
            </w:r>
          </w:p>
        </w:tc>
        <w:tc>
          <w:tcPr>
            <w:tcW w:w="5420" w:type="dxa"/>
            <w:vAlign w:val="bottom"/>
          </w:tcPr>
          <w:p>
            <w:pPr>
              <w:spacing w:after="0"/>
              <w:rPr>
                <w:sz w:val="14"/>
                <w:szCs w:val="14"/>
                <w:color w:val="auto"/>
              </w:rPr>
            </w:pPr>
          </w:p>
        </w:tc>
        <w:tc>
          <w:tcPr>
            <w:tcW w:w="2300" w:type="dxa"/>
            <w:vAlign w:val="bottom"/>
            <w:gridSpan w:val="2"/>
          </w:tcPr>
          <w:p>
            <w:pPr>
              <w:spacing w:after="0" w:line="172" w:lineRule="exact"/>
              <w:rPr>
                <w:sz w:val="20"/>
                <w:szCs w:val="20"/>
                <w:color w:val="auto"/>
              </w:rPr>
            </w:pPr>
            <w:r>
              <w:rPr>
                <w:rFonts w:ascii="Arial" w:cs="Arial" w:eastAsia="Arial" w:hAnsi="Arial"/>
                <w:sz w:val="16"/>
                <w:szCs w:val="16"/>
                <w:color w:val="auto"/>
                <w:w w:val="98"/>
              </w:rPr>
              <w:t>John.Hawkins@HawkinsInc.com</w:t>
            </w:r>
          </w:p>
        </w:tc>
        <w:tc>
          <w:tcPr>
            <w:tcW w:w="0" w:type="dxa"/>
            <w:vAlign w:val="bottom"/>
          </w:tcPr>
          <w:p>
            <w:pPr>
              <w:spacing w:after="0"/>
              <w:rPr>
                <w:sz w:val="1"/>
                <w:szCs w:val="1"/>
                <w:color w:val="auto"/>
              </w:rPr>
            </w:pPr>
          </w:p>
        </w:tc>
      </w:tr>
      <w:tr>
        <w:trPr>
          <w:trHeight w:val="132"/>
        </w:trPr>
        <w:tc>
          <w:tcPr>
            <w:tcW w:w="3160" w:type="dxa"/>
            <w:vAlign w:val="bottom"/>
            <w:vMerge w:val="continue"/>
          </w:tcPr>
          <w:p>
            <w:pPr>
              <w:spacing w:after="0"/>
              <w:rPr>
                <w:sz w:val="11"/>
                <w:szCs w:val="11"/>
                <w:color w:val="auto"/>
              </w:rPr>
            </w:pPr>
          </w:p>
        </w:tc>
        <w:tc>
          <w:tcPr>
            <w:tcW w:w="542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3100 East Hennepin Avenue</w:t>
            </w:r>
          </w:p>
        </w:tc>
        <w:tc>
          <w:tcPr>
            <w:tcW w:w="5420" w:type="dxa"/>
            <w:vAlign w:val="bottom"/>
          </w:tcPr>
          <w:p>
            <w:pPr>
              <w:spacing w:after="0"/>
              <w:rPr>
                <w:sz w:val="17"/>
                <w:szCs w:val="17"/>
                <w:color w:val="auto"/>
              </w:rPr>
            </w:pPr>
          </w:p>
        </w:tc>
        <w:tc>
          <w:tcPr>
            <w:tcW w:w="2300" w:type="dxa"/>
            <w:vAlign w:val="bottom"/>
            <w:gridSpan w:val="2"/>
            <w:vMerge w:val="restart"/>
          </w:tcPr>
          <w:p>
            <w:pPr>
              <w:spacing w:after="0"/>
              <w:rPr>
                <w:sz w:val="20"/>
                <w:szCs w:val="20"/>
                <w:color w:val="auto"/>
              </w:rPr>
            </w:pPr>
            <w:r>
              <w:rPr>
                <w:rFonts w:ascii="Arial" w:cs="Arial" w:eastAsia="Arial" w:hAnsi="Arial"/>
                <w:sz w:val="16"/>
                <w:szCs w:val="16"/>
                <w:color w:val="auto"/>
              </w:rPr>
              <w:t>Kathleen P. Pepski</w:t>
            </w:r>
          </w:p>
        </w:tc>
        <w:tc>
          <w:tcPr>
            <w:tcW w:w="0" w:type="dxa"/>
            <w:vAlign w:val="bottom"/>
          </w:tcPr>
          <w:p>
            <w:pPr>
              <w:spacing w:after="0"/>
              <w:rPr>
                <w:sz w:val="1"/>
                <w:szCs w:val="1"/>
                <w:color w:val="auto"/>
              </w:rPr>
            </w:pPr>
          </w:p>
        </w:tc>
      </w:tr>
      <w:tr>
        <w:trPr>
          <w:trHeight w:val="122"/>
        </w:trPr>
        <w:tc>
          <w:tcPr>
            <w:tcW w:w="3160" w:type="dxa"/>
            <w:vAlign w:val="bottom"/>
            <w:vMerge w:val="restart"/>
          </w:tcPr>
          <w:p>
            <w:pPr>
              <w:spacing w:after="0"/>
              <w:rPr>
                <w:sz w:val="20"/>
                <w:szCs w:val="20"/>
                <w:color w:val="auto"/>
              </w:rPr>
            </w:pPr>
            <w:r>
              <w:rPr>
                <w:rFonts w:ascii="Arial" w:cs="Arial" w:eastAsia="Arial" w:hAnsi="Arial"/>
                <w:sz w:val="16"/>
                <w:szCs w:val="16"/>
                <w:color w:val="auto"/>
              </w:rPr>
              <w:t>Minneapolis, MN 55413</w:t>
            </w:r>
          </w:p>
        </w:tc>
        <w:tc>
          <w:tcPr>
            <w:tcW w:w="5420" w:type="dxa"/>
            <w:vAlign w:val="bottom"/>
          </w:tcPr>
          <w:p>
            <w:pPr>
              <w:spacing w:after="0"/>
              <w:rPr>
                <w:sz w:val="10"/>
                <w:szCs w:val="10"/>
                <w:color w:val="auto"/>
              </w:rPr>
            </w:pPr>
          </w:p>
        </w:tc>
        <w:tc>
          <w:tcPr>
            <w:tcW w:w="2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160" w:type="dxa"/>
            <w:vAlign w:val="bottom"/>
            <w:vMerge w:val="continue"/>
          </w:tcPr>
          <w:p>
            <w:pPr>
              <w:spacing w:after="0"/>
              <w:rPr>
                <w:sz w:val="7"/>
                <w:szCs w:val="7"/>
                <w:color w:val="auto"/>
              </w:rPr>
            </w:pPr>
          </w:p>
        </w:tc>
        <w:tc>
          <w:tcPr>
            <w:tcW w:w="5420" w:type="dxa"/>
            <w:vAlign w:val="bottom"/>
          </w:tcPr>
          <w:p>
            <w:pPr>
              <w:spacing w:after="0"/>
              <w:rPr>
                <w:sz w:val="7"/>
                <w:szCs w:val="7"/>
                <w:color w:val="auto"/>
              </w:rPr>
            </w:pPr>
          </w:p>
        </w:tc>
        <w:tc>
          <w:tcPr>
            <w:tcW w:w="2300" w:type="dxa"/>
            <w:vAlign w:val="bottom"/>
            <w:gridSpan w:val="2"/>
            <w:vMerge w:val="restart"/>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18"/>
        </w:trPr>
        <w:tc>
          <w:tcPr>
            <w:tcW w:w="316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612/617-8571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300" w:type="dxa"/>
            <w:vAlign w:val="bottom"/>
            <w:tcBorders>
              <w:bottom w:val="single" w:sz="8" w:color="auto"/>
            </w:tcBorders>
            <w:gridSpan w:val="2"/>
          </w:tcPr>
          <w:p>
            <w:pPr>
              <w:spacing w:after="0" w:line="172" w:lineRule="exact"/>
              <w:rPr>
                <w:sz w:val="20"/>
                <w:szCs w:val="20"/>
                <w:color w:val="auto"/>
              </w:rPr>
            </w:pPr>
            <w:r>
              <w:rPr>
                <w:rFonts w:ascii="Arial" w:cs="Arial" w:eastAsia="Arial" w:hAnsi="Arial"/>
                <w:sz w:val="16"/>
                <w:szCs w:val="16"/>
                <w:color w:val="auto"/>
                <w:w w:val="91"/>
              </w:rPr>
              <w:t>Kathleen.Pepski@HawkinsInc.com</w:t>
            </w:r>
          </w:p>
        </w:tc>
        <w:tc>
          <w:tcPr>
            <w:tcW w:w="0" w:type="dxa"/>
            <w:vAlign w:val="bottom"/>
          </w:tcPr>
          <w:p>
            <w:pPr>
              <w:spacing w:after="0"/>
              <w:rPr>
                <w:sz w:val="1"/>
                <w:szCs w:val="1"/>
                <w:color w:val="auto"/>
              </w:rPr>
            </w:pPr>
          </w:p>
        </w:tc>
      </w:tr>
      <w:tr>
        <w:trPr>
          <w:trHeight w:val="538"/>
        </w:trPr>
        <w:tc>
          <w:tcPr>
            <w:tcW w:w="3160" w:type="dxa"/>
            <w:vAlign w:val="bottom"/>
          </w:tcPr>
          <w:p>
            <w:pPr>
              <w:spacing w:after="0"/>
              <w:rPr>
                <w:sz w:val="24"/>
                <w:szCs w:val="24"/>
                <w:color w:val="auto"/>
              </w:rPr>
            </w:pPr>
          </w:p>
        </w:tc>
        <w:tc>
          <w:tcPr>
            <w:tcW w:w="5420" w:type="dxa"/>
            <w:vAlign w:val="bottom"/>
          </w:tcPr>
          <w:p>
            <w:pPr>
              <w:jc w:val="center"/>
              <w:ind w:right="289"/>
              <w:spacing w:after="0"/>
              <w:rPr>
                <w:sz w:val="20"/>
                <w:szCs w:val="20"/>
                <w:color w:val="auto"/>
              </w:rPr>
            </w:pPr>
            <w:r>
              <w:rPr>
                <w:rFonts w:ascii="Arial" w:cs="Arial" w:eastAsia="Arial" w:hAnsi="Arial"/>
                <w:sz w:val="25"/>
                <w:szCs w:val="25"/>
                <w:b w:val="1"/>
                <w:bCs w:val="1"/>
                <w:color w:val="auto"/>
              </w:rPr>
              <w:t>HAWKINS, INC. ANNOUNCES</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160" w:type="dxa"/>
            <w:vAlign w:val="bottom"/>
          </w:tcPr>
          <w:p>
            <w:pPr>
              <w:spacing w:after="0"/>
              <w:rPr>
                <w:sz w:val="24"/>
                <w:szCs w:val="24"/>
                <w:color w:val="auto"/>
              </w:rPr>
            </w:pPr>
          </w:p>
        </w:tc>
        <w:tc>
          <w:tcPr>
            <w:tcW w:w="5420" w:type="dxa"/>
            <w:vAlign w:val="bottom"/>
          </w:tcPr>
          <w:p>
            <w:pPr>
              <w:jc w:val="center"/>
              <w:ind w:right="289"/>
              <w:spacing w:after="0"/>
              <w:rPr>
                <w:sz w:val="20"/>
                <w:szCs w:val="20"/>
                <w:color w:val="auto"/>
              </w:rPr>
            </w:pPr>
            <w:r>
              <w:rPr>
                <w:rFonts w:ascii="Arial" w:cs="Arial" w:eastAsia="Arial" w:hAnsi="Arial"/>
                <w:sz w:val="25"/>
                <w:szCs w:val="25"/>
                <w:b w:val="1"/>
                <w:bCs w:val="1"/>
                <w:color w:val="auto"/>
              </w:rPr>
              <w:t>APPOINTMENT OF NEW PRESIDENT</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Minneapolis, MN, February 23, 2010 – Hawkins, Inc. (Nasdaq: HWKN) today announced the appointment of Patrick H. Hawkins to the newly created position of President of the Company effective March 29, 2010, the beginning of the Company’s fiscal year 2011. The promotion is part of the succession planning efforts of the Company’s Board of Directors.</w:t>
      </w:r>
    </w:p>
    <w:p>
      <w:pPr>
        <w:spacing w:after="0" w:line="20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are pleased to be able to promote a person with Patrick’s ability and intimate knowledge of our business to this role. With more than 17 years of experience with our Company, Patrick is a real asset for Hawkins,” commented Chief Executive Officer John R. Hawkins. “Patrick has been instrumental in driving the growth of our food ingredients business, played a key role in our strategic sourcing initiatives and most recently led the effort to drive growth in our bulk pharmaceutical business. We look forward to his increased role with the Company and I know he has the support of our entire management team.”</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Patrick Hawkins joined the Company in 1992 and is currently serving as Business Director – Food and Pharmaceuticals, a position he has held since 2009. Previously Mr. Hawkins served as Business Manager – Food and Co-Extrusion Products from 2007 to 2009 and Sales Representative – Food Ingredients from 2002 to 2007. He previously served the Company in various other capacities, including Plant Manager, Quality Director and Technical Director. Mr. Hawkins holds a bachelor’s degree in chemistry from the University of St. Thomas in St. Paul, Minnesota.</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19 facilities in 10 states, the Company creates value for its customers through superb customer service and support, quality products and personalized applications.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2019-12-10T00:29:53Z</dcterms:created>
  <dcterms:modified xsi:type="dcterms:W3CDTF">2019-12-10T00:29:53Z</dcterms:modified>
</cp:coreProperties>
</file>