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1"/>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29"/>
                <w:szCs w:val="29"/>
                <w:b w:val="1"/>
                <w:bCs w:val="1"/>
                <w:color w:val="auto"/>
                <w:w w:val="97"/>
              </w:rPr>
              <w:t>UNITED STATES</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10240" w:type="dxa"/>
            <w:vAlign w:val="bottom"/>
            <w:gridSpan w:val="4"/>
          </w:tcPr>
          <w:p>
            <w:pPr>
              <w:jc w:val="center"/>
              <w:ind w:right="960"/>
              <w:spacing w:after="0"/>
              <w:rPr>
                <w:sz w:val="20"/>
                <w:szCs w:val="20"/>
                <w:color w:val="auto"/>
              </w:rPr>
            </w:pPr>
            <w:r>
              <w:rPr>
                <w:rFonts w:ascii="Arial" w:cs="Arial" w:eastAsia="Arial" w:hAnsi="Arial"/>
                <w:sz w:val="29"/>
                <w:szCs w:val="29"/>
                <w:b w:val="1"/>
                <w:bCs w:val="1"/>
                <w:color w:val="auto"/>
                <w:w w:val="99"/>
              </w:rPr>
              <w:t>SECURITIES AND EXCHANGE COMMISSION</w:t>
            </w:r>
          </w:p>
        </w:tc>
        <w:tc>
          <w:tcPr>
            <w:tcW w:w="0" w:type="dxa"/>
            <w:vAlign w:val="bottom"/>
          </w:tcPr>
          <w:p>
            <w:pPr>
              <w:spacing w:after="0"/>
              <w:rPr>
                <w:sz w:val="1"/>
                <w:szCs w:val="1"/>
                <w:color w:val="auto"/>
              </w:rPr>
            </w:pPr>
          </w:p>
        </w:tc>
      </w:tr>
      <w:tr>
        <w:trPr>
          <w:trHeight w:val="255"/>
        </w:trPr>
        <w:tc>
          <w:tcPr>
            <w:tcW w:w="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b w:val="1"/>
                <w:bCs w:val="1"/>
                <w:color w:val="auto"/>
                <w:w w:val="99"/>
              </w:rPr>
              <w:t>WASHINGTON, D.C. 20549</w:t>
            </w:r>
          </w:p>
        </w:tc>
        <w:tc>
          <w:tcPr>
            <w:tcW w:w="760" w:type="dxa"/>
            <w:vAlign w:val="bottom"/>
            <w:tcBorders>
              <w:bottom w:val="single" w:sz="8" w:color="auto"/>
            </w:tcBorders>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29"/>
                <w:szCs w:val="29"/>
                <w:b w:val="1"/>
                <w:bCs w:val="1"/>
                <w:color w:val="auto"/>
                <w:w w:val="98"/>
              </w:rPr>
              <w:t>FORM 10-Q</w:t>
            </w:r>
          </w:p>
        </w:tc>
        <w:tc>
          <w:tcPr>
            <w:tcW w:w="7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0240" w:type="dxa"/>
            <w:vAlign w:val="bottom"/>
            <w:gridSpan w:val="4"/>
          </w:tcPr>
          <w:p>
            <w:pPr>
              <w:jc w:val="center"/>
              <w:ind w:right="4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c>
          <w:tcPr>
            <w:tcW w:w="0" w:type="dxa"/>
            <w:vAlign w:val="bottom"/>
          </w:tcPr>
          <w:p>
            <w:pPr>
              <w:spacing w:after="0"/>
              <w:rPr>
                <w:sz w:val="1"/>
                <w:szCs w:val="1"/>
                <w:color w:val="auto"/>
              </w:rPr>
            </w:pPr>
          </w:p>
        </w:tc>
      </w:tr>
      <w:tr>
        <w:trPr>
          <w:trHeight w:val="273"/>
        </w:trPr>
        <w:tc>
          <w:tcPr>
            <w:tcW w:w="9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c>
          <w:tcPr>
            <w:tcW w:w="0" w:type="dxa"/>
            <w:vAlign w:val="bottom"/>
          </w:tcPr>
          <w:p>
            <w:pPr>
              <w:spacing w:after="0"/>
              <w:rPr>
                <w:sz w:val="1"/>
                <w:szCs w:val="1"/>
                <w:color w:val="auto"/>
              </w:rPr>
            </w:pPr>
          </w:p>
        </w:tc>
      </w:tr>
      <w:tr>
        <w:trPr>
          <w:trHeight w:val="464"/>
        </w:trPr>
        <w:tc>
          <w:tcPr>
            <w:tcW w:w="9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spacing w:after="0"/>
              <w:rPr>
                <w:sz w:val="24"/>
                <w:szCs w:val="24"/>
                <w:color w:val="auto"/>
              </w:rPr>
            </w:pPr>
          </w:p>
        </w:tc>
        <w:tc>
          <w:tcPr>
            <w:tcW w:w="832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99"/>
              </w:rPr>
              <w:t>For the quarterly period ended December 28, 2025</w:t>
            </w:r>
          </w:p>
        </w:tc>
        <w:tc>
          <w:tcPr>
            <w:tcW w:w="0" w:type="dxa"/>
            <w:vAlign w:val="bottom"/>
          </w:tcPr>
          <w:p>
            <w:pPr>
              <w:spacing w:after="0"/>
              <w:rPr>
                <w:sz w:val="1"/>
                <w:szCs w:val="1"/>
                <w:color w:val="auto"/>
              </w:rPr>
            </w:pPr>
          </w:p>
        </w:tc>
      </w:tr>
      <w:tr>
        <w:trPr>
          <w:trHeight w:val="261"/>
        </w:trPr>
        <w:tc>
          <w:tcPr>
            <w:tcW w:w="960" w:type="dxa"/>
            <w:vAlign w:val="bottom"/>
            <w:vMerge w:val="continue"/>
          </w:tcPr>
          <w:p>
            <w:pPr>
              <w:spacing w:after="0"/>
              <w:rPr>
                <w:sz w:val="22"/>
                <w:szCs w:val="22"/>
                <w:color w:val="auto"/>
              </w:rPr>
            </w:pPr>
          </w:p>
        </w:tc>
        <w:tc>
          <w:tcPr>
            <w:tcW w:w="10240" w:type="dxa"/>
            <w:vAlign w:val="bottom"/>
            <w:gridSpan w:val="4"/>
          </w:tcPr>
          <w:p>
            <w:pPr>
              <w:jc w:val="center"/>
              <w:ind w:right="4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c>
          <w:tcPr>
            <w:tcW w:w="0" w:type="dxa"/>
            <w:vAlign w:val="bottom"/>
          </w:tcPr>
          <w:p>
            <w:pPr>
              <w:spacing w:after="0"/>
              <w:rPr>
                <w:sz w:val="1"/>
                <w:szCs w:val="1"/>
                <w:color w:val="auto"/>
              </w:rPr>
            </w:pPr>
          </w:p>
        </w:tc>
      </w:tr>
      <w:tr>
        <w:trPr>
          <w:trHeight w:val="273"/>
        </w:trPr>
        <w:tc>
          <w:tcPr>
            <w:tcW w:w="9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c>
          <w:tcPr>
            <w:tcW w:w="0" w:type="dxa"/>
            <w:vAlign w:val="bottom"/>
          </w:tcPr>
          <w:p>
            <w:pPr>
              <w:spacing w:after="0"/>
              <w:rPr>
                <w:sz w:val="1"/>
                <w:szCs w:val="1"/>
                <w:color w:val="auto"/>
              </w:rPr>
            </w:pPr>
          </w:p>
        </w:tc>
      </w:tr>
      <w:tr>
        <w:trPr>
          <w:trHeight w:val="409"/>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rPr>
              <w:t>Commission file number 0-7647</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32"/>
                <w:szCs w:val="32"/>
                <w:b w:val="1"/>
                <w:bCs w:val="1"/>
                <w:color w:val="auto"/>
              </w:rPr>
              <w:t>HAWKINS, INC.</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center"/>
              <w:ind w:right="2894"/>
              <w:spacing w:after="0"/>
              <w:rPr>
                <w:sz w:val="20"/>
                <w:szCs w:val="20"/>
                <w:color w:val="auto"/>
              </w:rPr>
            </w:pPr>
            <w:r>
              <w:rPr>
                <w:rFonts w:ascii="Arial" w:cs="Arial" w:eastAsia="Arial" w:hAnsi="Arial"/>
                <w:sz w:val="18"/>
                <w:szCs w:val="18"/>
                <w:b w:val="1"/>
                <w:bCs w:val="1"/>
                <w:color w:val="auto"/>
              </w:rPr>
              <w:t>Minnesota</w:t>
            </w:r>
          </w:p>
        </w:tc>
        <w:tc>
          <w:tcPr>
            <w:tcW w:w="3620" w:type="dxa"/>
            <w:vAlign w:val="bottom"/>
            <w:tcBorders>
              <w:bottom w:val="single" w:sz="8" w:color="auto"/>
            </w:tcBorders>
            <w:gridSpan w:val="2"/>
          </w:tcPr>
          <w:p>
            <w:pPr>
              <w:jc w:val="center"/>
              <w:ind w:right="1700"/>
              <w:spacing w:after="0"/>
              <w:rPr>
                <w:sz w:val="20"/>
                <w:szCs w:val="20"/>
                <w:color w:val="auto"/>
              </w:rPr>
            </w:pPr>
            <w:r>
              <w:rPr>
                <w:rFonts w:ascii="Arial" w:cs="Arial" w:eastAsia="Arial" w:hAnsi="Arial"/>
                <w:sz w:val="18"/>
                <w:szCs w:val="18"/>
                <w:b w:val="1"/>
                <w:bCs w:val="1"/>
                <w:color w:val="auto"/>
                <w:w w:val="99"/>
              </w:rPr>
              <w:t>41-0771293</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620" w:type="dxa"/>
            <w:vAlign w:val="bottom"/>
            <w:gridSpan w:val="2"/>
          </w:tcPr>
          <w:p>
            <w:pPr>
              <w:jc w:val="center"/>
              <w:ind w:right="289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gridSpan w:val="2"/>
          </w:tcPr>
          <w:p>
            <w:pPr>
              <w:jc w:val="center"/>
              <w:ind w:right="1700"/>
              <w:spacing w:after="0" w:line="142"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620" w:type="dxa"/>
            <w:vAlign w:val="bottom"/>
            <w:gridSpan w:val="2"/>
          </w:tcPr>
          <w:p>
            <w:pPr>
              <w:jc w:val="center"/>
              <w:ind w:right="2894"/>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96"/>
        </w:trPr>
        <w:tc>
          <w:tcPr>
            <w:tcW w:w="960" w:type="dxa"/>
            <w:vAlign w:val="bottom"/>
          </w:tcPr>
          <w:p>
            <w:pPr>
              <w:spacing w:after="0"/>
              <w:rPr>
                <w:sz w:val="24"/>
                <w:szCs w:val="24"/>
                <w:color w:val="auto"/>
              </w:rPr>
            </w:pPr>
          </w:p>
        </w:tc>
        <w:tc>
          <w:tcPr>
            <w:tcW w:w="6620" w:type="dxa"/>
            <w:vAlign w:val="bottom"/>
            <w:gridSpan w:val="2"/>
          </w:tcPr>
          <w:p>
            <w:pPr>
              <w:jc w:val="center"/>
              <w:ind w:right="1614"/>
              <w:spacing w:after="0"/>
              <w:rPr>
                <w:sz w:val="20"/>
                <w:szCs w:val="20"/>
                <w:color w:val="auto"/>
              </w:rPr>
            </w:pPr>
            <w:r>
              <w:rPr>
                <w:rFonts w:ascii="Arial" w:cs="Arial" w:eastAsia="Arial" w:hAnsi="Arial"/>
                <w:sz w:val="18"/>
                <w:szCs w:val="18"/>
                <w:b w:val="1"/>
                <w:bCs w:val="1"/>
                <w:color w:val="auto"/>
                <w:w w:val="99"/>
              </w:rPr>
              <w:t>2381 Rosegate, Roseville, Minnesota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6620" w:type="dxa"/>
            <w:vAlign w:val="bottom"/>
            <w:gridSpan w:val="2"/>
          </w:tcPr>
          <w:p>
            <w:pPr>
              <w:jc w:val="center"/>
              <w:ind w:right="1594"/>
              <w:spacing w:after="0"/>
              <w:rPr>
                <w:sz w:val="20"/>
                <w:szCs w:val="20"/>
                <w:color w:val="auto"/>
              </w:rPr>
            </w:pPr>
            <w:r>
              <w:rPr>
                <w:rFonts w:ascii="Arial" w:cs="Arial" w:eastAsia="Arial" w:hAnsi="Arial"/>
                <w:sz w:val="14"/>
                <w:szCs w:val="14"/>
                <w:b w:val="1"/>
                <w:bCs w:val="1"/>
                <w:color w:val="auto"/>
              </w:rPr>
              <w:t>(Address of principal executive offices)</w:t>
            </w:r>
          </w:p>
        </w:tc>
        <w:tc>
          <w:tcPr>
            <w:tcW w:w="362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3"/>
        </w:trPr>
        <w:tc>
          <w:tcPr>
            <w:tcW w:w="960" w:type="dxa"/>
            <w:vAlign w:val="bottom"/>
          </w:tcPr>
          <w:p>
            <w:pPr>
              <w:spacing w:after="0"/>
              <w:rPr>
                <w:sz w:val="24"/>
                <w:szCs w:val="24"/>
                <w:color w:val="auto"/>
              </w:rPr>
            </w:pPr>
          </w:p>
        </w:tc>
        <w:tc>
          <w:tcPr>
            <w:tcW w:w="6620" w:type="dxa"/>
            <w:vAlign w:val="bottom"/>
            <w:gridSpan w:val="2"/>
          </w:tcPr>
          <w:p>
            <w:pPr>
              <w:jc w:val="center"/>
              <w:ind w:left="2568"/>
              <w:spacing w:after="0"/>
              <w:rPr>
                <w:sz w:val="20"/>
                <w:szCs w:val="20"/>
                <w:color w:val="auto"/>
              </w:rPr>
            </w:pPr>
            <w:r>
              <w:rPr>
                <w:rFonts w:ascii="Arial" w:cs="Arial" w:eastAsia="Arial" w:hAnsi="Arial"/>
                <w:sz w:val="18"/>
                <w:szCs w:val="18"/>
                <w:b w:val="1"/>
                <w:bCs w:val="1"/>
                <w:color w:val="auto"/>
              </w:rPr>
              <w:t>(612) 331-6910</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6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The Nasdaq Stock Market LLC</w:t>
            </w:r>
          </w:p>
        </w:tc>
      </w:tr>
    </w:tbl>
    <w:p>
      <w:pPr>
        <w:spacing w:after="0" w:line="226" w:lineRule="exact"/>
        <w:rPr>
          <w:sz w:val="24"/>
          <w:szCs w:val="24"/>
          <w:color w:val="auto"/>
        </w:rPr>
      </w:pPr>
    </w:p>
    <w:p>
      <w:pPr>
        <w:ind w:right="10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5"/>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4"/>
                <w:szCs w:val="14"/>
                <w:color w:val="auto"/>
              </w:rPr>
              <w:t>CLASS</w:t>
            </w:r>
          </w:p>
        </w:tc>
        <w:tc>
          <w:tcPr>
            <w:tcW w:w="6080" w:type="dxa"/>
            <w:vAlign w:val="bottom"/>
            <w:gridSpan w:val="2"/>
          </w:tcPr>
          <w:p>
            <w:pPr>
              <w:jc w:val="center"/>
              <w:ind w:right="1260"/>
              <w:spacing w:after="0"/>
              <w:rPr>
                <w:sz w:val="20"/>
                <w:szCs w:val="20"/>
                <w:color w:val="auto"/>
              </w:rPr>
            </w:pPr>
            <w:r>
              <w:rPr>
                <w:rFonts w:ascii="Arial" w:cs="Arial" w:eastAsia="Arial" w:hAnsi="Arial"/>
                <w:sz w:val="14"/>
                <w:szCs w:val="14"/>
                <w:color w:val="auto"/>
              </w:rPr>
              <w:t>Shares Outstanding at January 23, 2026</w:t>
            </w:r>
          </w:p>
        </w:tc>
      </w:tr>
      <w:tr>
        <w:trPr>
          <w:trHeight w:val="236"/>
        </w:trPr>
        <w:tc>
          <w:tcPr>
            <w:tcW w:w="4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300" w:type="dxa"/>
            <w:vAlign w:val="bottom"/>
          </w:tcPr>
          <w:p>
            <w:pPr>
              <w:spacing w:after="0"/>
              <w:rPr>
                <w:sz w:val="20"/>
                <w:szCs w:val="20"/>
                <w:color w:val="auto"/>
              </w:rPr>
            </w:pPr>
          </w:p>
        </w:tc>
        <w:tc>
          <w:tcPr>
            <w:tcW w:w="4820" w:type="dxa"/>
            <w:vAlign w:val="bottom"/>
            <w:tcBorders>
              <w:top w:val="single" w:sz="8" w:color="auto"/>
            </w:tcBorders>
          </w:tcPr>
          <w:p>
            <w:pPr>
              <w:jc w:val="right"/>
              <w:ind w:right="1879"/>
              <w:spacing w:after="0"/>
              <w:rPr>
                <w:sz w:val="20"/>
                <w:szCs w:val="20"/>
                <w:color w:val="auto"/>
              </w:rPr>
            </w:pPr>
            <w:r>
              <w:rPr>
                <w:rFonts w:ascii="Arial" w:cs="Arial" w:eastAsia="Arial" w:hAnsi="Arial"/>
                <w:sz w:val="18"/>
                <w:szCs w:val="18"/>
                <w:color w:val="auto"/>
              </w:rPr>
              <w:t>20,902,093</w:t>
            </w:r>
          </w:p>
        </w:tc>
        <w:tc>
          <w:tcPr>
            <w:tcW w:w="1260" w:type="dxa"/>
            <w:vAlign w:val="bottom"/>
          </w:tcPr>
          <w:p>
            <w:pPr>
              <w:spacing w:after="0"/>
              <w:rPr>
                <w:sz w:val="20"/>
                <w:szCs w:val="20"/>
                <w:color w:val="auto"/>
              </w:rPr>
            </w:pPr>
          </w:p>
        </w:tc>
      </w:tr>
      <w:tr>
        <w:trPr>
          <w:trHeight w:val="112"/>
        </w:trPr>
        <w:tc>
          <w:tcPr>
            <w:tcW w:w="4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45"/>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25"/>
          </w:tcPr>
          <w:p>
            <w:pPr>
              <w:spacing w:after="0"/>
              <w:rPr>
                <w:sz w:val="20"/>
                <w:szCs w:val="20"/>
                <w:color w:val="auto"/>
              </w:rPr>
            </w:pPr>
            <w:r>
              <w:rPr>
                <w:rFonts w:ascii="Arial" w:cs="Arial" w:eastAsia="Arial" w:hAnsi="Arial"/>
                <w:sz w:val="18"/>
                <w:szCs w:val="18"/>
                <w:b w:val="1"/>
                <w:bCs w:val="1"/>
                <w:color w:val="0000FF"/>
              </w:rPr>
              <w:t>FINANCIAL INFORMATION</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548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5"/>
          </w:tcPr>
          <w:p>
            <w:pPr>
              <w:spacing w:after="0"/>
              <w:rPr>
                <w:sz w:val="20"/>
                <w:szCs w:val="20"/>
                <w:color w:val="auto"/>
              </w:rPr>
            </w:pPr>
            <w:r>
              <w:rPr>
                <w:rFonts w:ascii="Arial" w:cs="Arial" w:eastAsia="Arial" w:hAnsi="Arial"/>
                <w:sz w:val="18"/>
                <w:szCs w:val="18"/>
                <w:color w:val="0000FF"/>
              </w:rPr>
              <w:t>Condensed Consolidated Balance Sheets – December 28, 2025 and March 30, 2025</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Income – Three and Nine Months Ended December</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155"/>
        </w:trPr>
        <w:tc>
          <w:tcPr>
            <w:tcW w:w="1120" w:type="dxa"/>
            <w:vAlign w:val="bottom"/>
          </w:tcPr>
          <w:p>
            <w:pPr>
              <w:spacing w:after="0"/>
              <w:rPr>
                <w:sz w:val="13"/>
                <w:szCs w:val="13"/>
                <w:color w:val="auto"/>
              </w:rPr>
            </w:pPr>
          </w:p>
        </w:tc>
        <w:tc>
          <w:tcPr>
            <w:tcW w:w="736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28, 2025 and December 29, 2024</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Comprehensive Income – Three and Nine Months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155"/>
        </w:trPr>
        <w:tc>
          <w:tcPr>
            <w:tcW w:w="11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99"/>
              </w:rPr>
              <w:t>Ended December 28, 2025 and December 29, 2024</w:t>
            </w:r>
          </w:p>
        </w:tc>
        <w:tc>
          <w:tcPr>
            <w:tcW w:w="3080" w:type="dxa"/>
            <w:vAlign w:val="bottom"/>
            <w:tcBorders>
              <w:top w:val="single" w:sz="8" w:color="0000FF"/>
            </w:tcBorders>
            <w:gridSpan w:val="7"/>
          </w:tcPr>
          <w:p>
            <w:pPr>
              <w:spacing w:after="0"/>
              <w:rPr>
                <w:sz w:val="13"/>
                <w:szCs w:val="13"/>
                <w:color w:val="auto"/>
              </w:rPr>
            </w:pPr>
          </w:p>
        </w:tc>
        <w:tc>
          <w:tcPr>
            <w:tcW w:w="3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Shareholders' Equity – Three and Nine Months Ended</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155"/>
        </w:trPr>
        <w:tc>
          <w:tcPr>
            <w:tcW w:w="1120" w:type="dxa"/>
            <w:vAlign w:val="bottom"/>
          </w:tcPr>
          <w:p>
            <w:pPr>
              <w:spacing w:after="0"/>
              <w:rPr>
                <w:sz w:val="13"/>
                <w:szCs w:val="13"/>
                <w:color w:val="auto"/>
              </w:rPr>
            </w:pPr>
          </w:p>
        </w:tc>
        <w:tc>
          <w:tcPr>
            <w:tcW w:w="754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December 28, 2025 and December 29, 2024</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Cash Flows – Nine Months Ended December 28,</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155"/>
        </w:trPr>
        <w:tc>
          <w:tcPr>
            <w:tcW w:w="1120" w:type="dxa"/>
            <w:vAlign w:val="bottom"/>
          </w:tcPr>
          <w:p>
            <w:pPr>
              <w:spacing w:after="0"/>
              <w:rPr>
                <w:sz w:val="13"/>
                <w:szCs w:val="13"/>
                <w:color w:val="auto"/>
              </w:rPr>
            </w:pPr>
          </w:p>
        </w:tc>
        <w:tc>
          <w:tcPr>
            <w:tcW w:w="714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2025 and December 29, 2024</w:t>
            </w:r>
          </w:p>
        </w:tc>
        <w:tc>
          <w:tcPr>
            <w:tcW w:w="10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44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00" w:type="dxa"/>
            <w:vAlign w:val="bottom"/>
            <w:gridSpan w:val="9"/>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17</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tcBorders>
              <w:top w:val="single" w:sz="8" w:color="0000FF"/>
            </w:tcBorders>
            <w:gridSpan w:val="3"/>
          </w:tcPr>
          <w:p>
            <w:pPr>
              <w:spacing w:after="0"/>
              <w:rPr>
                <w:sz w:val="22"/>
                <w:szCs w:val="22"/>
                <w:color w:val="auto"/>
              </w:rPr>
            </w:pPr>
          </w:p>
        </w:tc>
        <w:tc>
          <w:tcPr>
            <w:tcW w:w="110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18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OTHER INFORMATION</w:t>
            </w:r>
          </w:p>
        </w:tc>
        <w:tc>
          <w:tcPr>
            <w:tcW w:w="6220" w:type="dxa"/>
            <w:vAlign w:val="bottom"/>
            <w:gridSpan w:val="18"/>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6680" w:type="dxa"/>
            <w:vAlign w:val="bottom"/>
            <w:gridSpan w:val="20"/>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20</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32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620" w:type="dxa"/>
            <w:vAlign w:val="bottom"/>
            <w:gridSpan w:val="14"/>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Mine Safety Disclosures</w:t>
            </w:r>
          </w:p>
        </w:tc>
        <w:tc>
          <w:tcPr>
            <w:tcW w:w="6240" w:type="dxa"/>
            <w:vAlign w:val="bottom"/>
            <w:gridSpan w:val="19"/>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20</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22"/>
                <w:szCs w:val="22"/>
                <w:color w:val="auto"/>
              </w:rPr>
            </w:pPr>
          </w:p>
        </w:tc>
        <w:tc>
          <w:tcPr>
            <w:tcW w:w="6780" w:type="dxa"/>
            <w:vAlign w:val="bottom"/>
            <w:gridSpan w:val="21"/>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90" w:right="1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w:t>
            </w:r>
          </w:p>
        </w:tc>
        <w:tc>
          <w:tcPr>
            <w:tcW w:w="280" w:type="dxa"/>
            <w:vAlign w:val="bottom"/>
          </w:tcPr>
          <w:p>
            <w:pPr>
              <w:spacing w:after="0"/>
              <w:rPr>
                <w:sz w:val="14"/>
                <w:szCs w:val="14"/>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131,795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230,691</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420,953</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195,667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223,035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135,409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150,121</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Deferred compensation plan asset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495,339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313,890</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46,384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61,195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Environmental remediation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97,155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107,135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138,906</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lease liability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Pension withdrawal liability</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22,356</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Deferred compensation liability</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13,132</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Earnout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12,604</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360,465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202,440</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457,620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309,575</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authorized: 60,000,000 shares of $0.01 par value; 20,740,284 and 20,684,621 shares</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December 28, 2025 and March 30, 2025, respectively</w:t>
            </w: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29,112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24,094</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9"/>
        </w:trPr>
        <w:tc>
          <w:tcPr>
            <w:tcW w:w="80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976,526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769,867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Nine months ended</w:t>
            </w: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1200" w:type="dxa"/>
            <w:vAlign w:val="bottom"/>
          </w:tcPr>
          <w:p>
            <w:pPr>
              <w:jc w:val="right"/>
              <w:ind w:right="132"/>
              <w:spacing w:after="0" w:line="147" w:lineRule="exact"/>
              <w:rPr>
                <w:sz w:val="20"/>
                <w:szCs w:val="20"/>
                <w:color w:val="auto"/>
              </w:rPr>
            </w:pPr>
            <w:r>
              <w:rPr>
                <w:rFonts w:ascii="Arial" w:cs="Arial" w:eastAsia="Arial" w:hAnsi="Arial"/>
                <w:sz w:val="14"/>
                <w:szCs w:val="14"/>
                <w:b w:val="1"/>
                <w:bCs w:val="1"/>
                <w:color w:val="auto"/>
              </w:rPr>
              <w:t>December 29,</w:t>
            </w:r>
          </w:p>
        </w:tc>
      </w:tr>
      <w:tr>
        <w:trPr>
          <w:trHeight w:val="185"/>
        </w:trPr>
        <w:tc>
          <w:tcPr>
            <w:tcW w:w="5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729,113</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(555,812)</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173,301</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(78,702)</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94,599</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91,961</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68,018</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20,740,284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20,766,764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20,731,837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20,780,213</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20,875,387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20,850,721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20,902,456</w:t>
            </w:r>
          </w:p>
        </w:tc>
      </w:tr>
      <w:tr>
        <w:trPr>
          <w:trHeight w:val="270"/>
        </w:trPr>
        <w:tc>
          <w:tcPr>
            <w:tcW w:w="5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0"/>
        </w:trPr>
        <w:tc>
          <w:tcPr>
            <w:tcW w:w="5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9"/>
        </w:trPr>
        <w:tc>
          <w:tcPr>
            <w:tcW w:w="54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12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116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rPr>
              <w:t>December 29,</w:t>
            </w:r>
          </w:p>
        </w:tc>
      </w:tr>
      <w:tr>
        <w:trPr>
          <w:trHeight w:val="185"/>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2024</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66,085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gain on interest rate swap</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65,288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67,211</w:t>
            </w: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00" w:type="dxa"/>
            <w:vAlign w:val="bottom"/>
            <w:gridSpan w:val="5"/>
          </w:tcPr>
          <w:p>
            <w:pPr>
              <w:ind w:left="5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4"/>
                <w:szCs w:val="4"/>
                <w:color w:val="auto"/>
              </w:rPr>
            </w:pPr>
          </w:p>
        </w:tc>
        <w:tc>
          <w:tcPr>
            <w:tcW w:w="10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Retained</w:t>
            </w:r>
          </w:p>
        </w:tc>
        <w:tc>
          <w:tcPr>
            <w:tcW w:w="152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2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20,684,621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($0.18</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61,819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BALANCE — June 29,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20,717,850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23,277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459,680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484,572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540" w:type="dxa"/>
            <w:vAlign w:val="bottom"/>
            <w:shd w:val="clear" w:color="auto" w:fill="CCEEFF"/>
          </w:tcPr>
          <w:p>
            <w:pPr>
              <w:ind w:left="360"/>
              <w:spacing w:after="0" w:line="130" w:lineRule="exact"/>
              <w:rPr>
                <w:sz w:val="20"/>
                <w:szCs w:val="20"/>
                <w:color w:val="auto"/>
              </w:rPr>
            </w:pPr>
            <w:r>
              <w:rPr>
                <w:rFonts w:ascii="Arial" w:cs="Arial" w:eastAsia="Arial" w:hAnsi="Arial"/>
                <w:sz w:val="15"/>
                <w:szCs w:val="15"/>
                <w:color w:val="auto"/>
              </w:rPr>
              <w:t>Cash dividends declared and paid ($0.19</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2,375</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080" w:type="dxa"/>
            <w:vAlign w:val="bottom"/>
          </w:tcPr>
          <w:p>
            <w:pPr>
              <w:jc w:val="right"/>
              <w:spacing w:after="0"/>
              <w:rPr>
                <w:sz w:val="20"/>
                <w:szCs w:val="20"/>
                <w:color w:val="auto"/>
              </w:rPr>
            </w:pPr>
            <w:r>
              <w:rPr>
                <w:rFonts w:ascii="Arial" w:cs="Arial" w:eastAsia="Arial" w:hAnsi="Arial"/>
                <w:sz w:val="16"/>
                <w:szCs w:val="16"/>
                <w:color w:val="auto"/>
              </w:rPr>
              <w:t>15,700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22,598</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28,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20,740,284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506,968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($0.19</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6"/>
                <w:szCs w:val="16"/>
                <w:color w:val="auto"/>
              </w:rPr>
              <w:t>BALANCE — December 28, 2025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20,740,284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29,112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488,652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28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1"/>
                <w:szCs w:val="11"/>
                <w:color w:val="auto"/>
              </w:rPr>
            </w:pPr>
          </w:p>
        </w:tc>
        <w:tc>
          <w:tcPr>
            <w:tcW w:w="22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5"/>
                <w:szCs w:val="15"/>
                <w:b w:val="1"/>
                <w:bCs w:val="1"/>
                <w:color w:val="auto"/>
              </w:rPr>
              <w:t>Paid-in</w:t>
            </w:r>
          </w:p>
        </w:tc>
        <w:tc>
          <w:tcPr>
            <w:tcW w:w="16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5"/>
                <w:szCs w:val="15"/>
                <w:b w:val="1"/>
                <w:bCs w:val="1"/>
                <w:color w:val="auto"/>
              </w:rPr>
              <w:t>Comprehensive</w:t>
            </w:r>
          </w:p>
        </w:tc>
        <w:tc>
          <w:tcPr>
            <w:tcW w:w="128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rPr>
              <w:t>Shareholders’</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9"/>
                <w:szCs w:val="19"/>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20,790,261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364,549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($0.16</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83,658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jc w:val="right"/>
              <w:spacing w:after="0"/>
              <w:rPr>
                <w:sz w:val="20"/>
                <w:szCs w:val="20"/>
                <w:color w:val="auto"/>
              </w:rPr>
            </w:pPr>
            <w:r>
              <w:rPr>
                <w:rFonts w:ascii="Arial" w:cs="Arial" w:eastAsia="Arial" w:hAnsi="Arial"/>
                <w:sz w:val="16"/>
                <w:szCs w:val="16"/>
                <w:color w:val="auto"/>
              </w:rPr>
              <w:t>(105,541)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20,734,331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60"/>
              <w:spacing w:after="0" w:line="150" w:lineRule="exact"/>
              <w:rPr>
                <w:sz w:val="20"/>
                <w:szCs w:val="20"/>
                <w:color w:val="auto"/>
              </w:rPr>
            </w:pPr>
            <w:r>
              <w:rPr>
                <w:rFonts w:ascii="Arial" w:cs="Arial" w:eastAsia="Arial" w:hAnsi="Arial"/>
                <w:sz w:val="16"/>
                <w:szCs w:val="16"/>
                <w:color w:val="auto"/>
              </w:rPr>
              <w:t>Cash dividends declared and paid ($0.18</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40" w:type="dxa"/>
            <w:vAlign w:val="bottom"/>
            <w:vMerge w:val="continue"/>
          </w:tcPr>
          <w:p>
            <w:pPr>
              <w:spacing w:after="0"/>
              <w:rPr>
                <w:sz w:val="9"/>
                <w:szCs w:val="9"/>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10,647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ESPP shares issued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24,118</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BALANCE — September 29, 2024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20,766,764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31,060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410,425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443,372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540" w:type="dxa"/>
            <w:vAlign w:val="bottom"/>
            <w:shd w:val="clear" w:color="auto" w:fill="CCEEFF"/>
          </w:tcPr>
          <w:p>
            <w:pPr>
              <w:ind w:left="360"/>
              <w:spacing w:after="0" w:line="130" w:lineRule="exact"/>
              <w:rPr>
                <w:sz w:val="20"/>
                <w:szCs w:val="20"/>
                <w:color w:val="auto"/>
              </w:rPr>
            </w:pPr>
            <w:r>
              <w:rPr>
                <w:rFonts w:ascii="Arial" w:cs="Arial" w:eastAsia="Arial" w:hAnsi="Arial"/>
                <w:sz w:val="15"/>
                <w:szCs w:val="15"/>
                <w:color w:val="auto"/>
              </w:rPr>
              <w:t>Cash dividends declared and paid ($0.18</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 share)</w:t>
            </w: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5"/>
        </w:trPr>
        <w:tc>
          <w:tcPr>
            <w:tcW w:w="3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15,021</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December 29,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20,766,764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421,682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456,981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December 29,</w:t>
            </w:r>
          </w:p>
        </w:tc>
      </w:tr>
      <w:tr>
        <w:trPr>
          <w:trHeight w:val="216"/>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66,085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68,018</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29,368</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earnout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2,557</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5,022</w:t>
            </w: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Trade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(5,682)</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(16,026)</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(1,698)</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Lease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(2,636)</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09"/>
        </w:trPr>
        <w:tc>
          <w:tcPr>
            <w:tcW w:w="806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80,252</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(30,008)</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(43,400)</w:t>
            </w:r>
          </w:p>
        </w:tc>
      </w:tr>
      <w:tr>
        <w:trPr>
          <w:trHeight w:val="21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r>
      <w:tr>
        <w:trPr>
          <w:trHeight w:val="210"/>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(72,822)</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(10,885)</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New shares issued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(9,149)</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revolving loan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Payments for debt issuance costs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r>
      <w:tr>
        <w:trPr>
          <w:trHeight w:val="209"/>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(6,278)</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7,153</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8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18,481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26,566</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1,152</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17"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9">
        <w:r>
          <w:rPr>
            <w:rFonts w:ascii="Arial" w:cs="Arial" w:eastAsia="Arial" w:hAnsi="Arial"/>
            <w:sz w:val="18"/>
            <w:szCs w:val="18"/>
            <w:u w:val="single" w:color="auto"/>
            <w:color w:val="0000FF"/>
          </w:rPr>
          <w:t>Annual Report on Form 10-K for the fiscal year ended March 30, 2025</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December 28, 2025 are not necessarily indicative of the results that may be expected for the full year.</w:t>
      </w:r>
    </w:p>
    <w:p>
      <w:pPr>
        <w:spacing w:after="0" w:line="7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As used in this Form 10-Q, except where otherwise stated or indicated by the context, "Hawkins," "we," "us," the Company," or "our" means Hawkins, Inc. and its subsidiaries. References to "fiscal 2024" refer to the fiscal year ended March 31, 2024, references to "fiscal 2025" refer to the fiscal year ended March 30, 2025, and references to "fiscal 2026" refer to the fiscal year ending March 29, 2026.</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Effective beginning with the first quarter of fiscal 2026, we realigned our reporting segments to reflect how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 Information presented in this quarterly report has been recast to align with the new segments. Additional information regarding these new segments is set forth in Note 13 - Segment Information.</w:t>
      </w:r>
    </w:p>
    <w:p>
      <w:pPr>
        <w:spacing w:after="0" w:line="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71" w:lineRule="exact"/>
        <w:rPr>
          <w:sz w:val="20"/>
          <w:szCs w:val="20"/>
          <w:color w:val="auto"/>
        </w:rPr>
      </w:pPr>
    </w:p>
    <w:p>
      <w:pPr>
        <w:jc w:val="both"/>
        <w:ind w:right="16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9">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 previously filed with the SEC. There have been no significant changes in our accounting policies since the end of fiscal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 (ASU No.2023-09)</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our fiscal 2026. The adoption of ASU No. 2023-09 is not expected to have a material impact on our consolidated financial statements but will require a lower level of disclosure in our Form 10-K for fiscal 2026 and in periodic reports thereafter.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 (ASU No.2024-03)</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November 2024, the FASB issued ASU 2024-03, Disaggregation of Income Statement Expenses,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our fiscal 2028, and interim periods within fiscal years beginning after December 15, 2027, our fiscal 2029, on a prospective basis, with early adoption and retrospective application permitted. We are currently evaluating the impact of the adoption of this standard on our consolidated financial statement disclosures in our Form 10-K for fiscal 2028 and periodic reports thereafter.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"One Big Beautiful Bill Act"</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4, 2025, the “One Big Beautiful Bill Act” (the “Act”) was enacted into law. The Act included changes to U.S. tax law that were effective for us beginning with our quarter ending September 28, 2025. These changes included provisions allowing retroactive accelerated tax deductions for qualified property that resulted in an insignificant tax benefit for fiscal 2025 and are expected to have a similar impact in fiscal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generally pursue business combinations to strengthen our position in existing markets, increase our market share and product offerings and expand into new markets. Acquisitions are accounted for under the acquisition method of accounting. For each acquisition, the excess of the purchase consideration over the fair value of the net assets acquired and liabilities assumed is recorded as goodwill, which generally represents the combined value of our existing resources with the organizational talent of the acquired companies’ respective management teams to maximize efficiencies, market share growth and overall financial performance. For each acquisition, we complete our allocation of purchase price to the fair values of acquired assets and liabilities within a one-year measurement period.</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For each acquisition completed in fiscal 2025 and fiscal 2026, the results of operations since the acquisition date and the assets are included in our Water Treatment segment, with the exception of one immaterial acquisition in the second quarter of fiscal 2026 that was in our Food &amp; Health Sciences segment. Costs associated with each acquisition were not material and were expensed as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Acquisitions</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 xml:space="preserve">Acquisition of WaterSurplus, Inc.: </w:t>
      </w:r>
      <w:r>
        <w:rPr>
          <w:rFonts w:ascii="Arial" w:cs="Arial" w:eastAsia="Arial" w:hAnsi="Arial"/>
          <w:sz w:val="18"/>
          <w:szCs w:val="18"/>
          <w:color w:val="auto"/>
        </w:rPr>
        <w:t>On April 25, 2025, we acquired substantially all of the assets and assumed certain liabilities of Surplus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 d/b/a WaterSurplus (“WaterSurplus”) for an initial purchase price of approximately $149.9 million under the terms of an 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$53.7 million was discounted and recorded at the estimated present value of $43.0 million. WaterSurplus is based in Rockford, IL and delivers sustainable water treatment solutions to customers throughout the United States.</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total purchase price, including the estimated fair value of $43.0 million for the earnout liability, was allocated as follows: $76.0 million to customer relationships, to be amortized over 15 years; $ 6.2 million to trade names, to be amortized over 15 years; $12.0 million to technology, to be amortized over 10 years; $82.6 million to goodwill; $ 12.9 million to property, plant and equipment; and the remaining amount of $3.2 million to net working capital. The goodwill recognized as a result of this acquisition is expected to be deductible for tax purposes. We have completed the purchase price allocation. The results of operations since the acquisition date and the assets are included in our Water Treatment segment. Costs associated with this transaction were not material and were expensed as incurred.</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pro forma information has been prepared as if the WaterSurplus acquisition and the borrowing that financed the acquisition had occurred as of the beginning of the earliest fiscal period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9"/>
                <w:szCs w:val="19"/>
                <w:color w:val="auto"/>
              </w:rPr>
            </w:pPr>
          </w:p>
        </w:tc>
        <w:tc>
          <w:tcPr>
            <w:tcW w:w="282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2"/>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line="162" w:lineRule="exact"/>
              <w:rPr>
                <w:sz w:val="20"/>
                <w:szCs w:val="20"/>
                <w:color w:val="auto"/>
              </w:rPr>
            </w:pPr>
            <w:r>
              <w:rPr>
                <w:rFonts w:ascii="Arial" w:cs="Arial" w:eastAsia="Arial" w:hAnsi="Arial"/>
                <w:sz w:val="16"/>
                <w:szCs w:val="16"/>
                <w:b w:val="1"/>
                <w:bCs w:val="1"/>
                <w:color w:val="auto"/>
              </w:rPr>
              <w:t>December 28,</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3"/>
              <w:spacing w:after="0" w:line="162" w:lineRule="exact"/>
              <w:rPr>
                <w:sz w:val="20"/>
                <w:szCs w:val="20"/>
                <w:color w:val="auto"/>
              </w:rPr>
            </w:pPr>
            <w:r>
              <w:rPr>
                <w:rFonts w:ascii="Arial" w:cs="Arial" w:eastAsia="Arial" w:hAnsi="Arial"/>
                <w:sz w:val="16"/>
                <w:szCs w:val="16"/>
                <w:b w:val="1"/>
                <w:bCs w:val="1"/>
                <w:color w:val="auto"/>
              </w:rPr>
              <w:t>December 29,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2" w:lineRule="exact"/>
              <w:rPr>
                <w:sz w:val="20"/>
                <w:szCs w:val="20"/>
                <w:color w:val="auto"/>
              </w:rPr>
            </w:pPr>
            <w:r>
              <w:rPr>
                <w:rFonts w:ascii="Arial" w:cs="Arial" w:eastAsia="Arial" w:hAnsi="Arial"/>
                <w:sz w:val="16"/>
                <w:szCs w:val="16"/>
                <w:b w:val="1"/>
                <w:bCs w:val="1"/>
                <w:color w:val="auto"/>
              </w:rPr>
              <w:t>December 28,</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3"/>
              <w:spacing w:after="0" w:line="162" w:lineRule="exact"/>
              <w:rPr>
                <w:sz w:val="20"/>
                <w:szCs w:val="20"/>
                <w:color w:val="auto"/>
              </w:rPr>
            </w:pPr>
            <w:r>
              <w:rPr>
                <w:rFonts w:ascii="Arial" w:cs="Arial" w:eastAsia="Arial" w:hAnsi="Arial"/>
                <w:sz w:val="16"/>
                <w:szCs w:val="16"/>
                <w:b w:val="1"/>
                <w:bCs w:val="1"/>
                <w:color w:val="auto"/>
              </w:rPr>
              <w:t>December 29,</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756,079</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66,239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61,774</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Pro forma 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unaudited pro forma financial information above is adjusted to reflect the following: (a) interest expense, including amortization of debt issuance costs, related to the approximately $150 million of debt used to fund the acquisition and related purchase of real estate; (b) amortization expense related to the preliminary $94 million of identifiable intangible assets recognized in conjunction with the acquisition; (c) depreciation expense as adjusted for adjusted fixed asset values; (d) remeasurement of the earnout payable at fair value; (e) adjustment to cost of goods sold for the inventory step-up adjustment; (f) adjustment for acquisition costs incurred; (g) elimination of net interest previously reflected on WaterSurplus’ financial statements; and (h) recording income taxes at our effective tax rate for each period.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0" w:name="page11"/>
    <w:bookmarkEnd w:id="10"/>
    <w:p>
      <w:pPr>
        <w:ind w:right="200"/>
        <w:spacing w:after="0" w:line="262" w:lineRule="auto"/>
        <w:rPr>
          <w:sz w:val="20"/>
          <w:szCs w:val="20"/>
          <w:color w:val="auto"/>
        </w:rPr>
      </w:pPr>
      <w:r>
        <w:rPr>
          <w:rFonts w:ascii="Arial" w:cs="Arial" w:eastAsia="Arial" w:hAnsi="Arial"/>
          <w:sz w:val="18"/>
          <w:szCs w:val="18"/>
          <w:color w:val="auto"/>
        </w:rPr>
        <w:t>Sales of WaterSurplus of $8.4 million for the three months ended December 28, 2025 and $26.5 million for the nine months ended December 28, 2025 were included in our condensed consolidated statements of income. Operating loss of WaterSurplus of $1.6 million for the three months ended December 28, 2025 and $1.8 million for the nine months ended December 28, 2025 was also included in our condensed consolidated statements of income.</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Inclusive of five additional immaterial acquisitions not discussed above, total cash consideration for the acquisitions completed in the nine months ended December 28, 2025 was $167.1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completed four acquisitions in fiscal 2025, including the previously announced acquisitions shown below.</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Amerochem Corporation ("Amerochem") was acquired on January 31, 2025 for $44.0 million. Located in North Carolina, Amerochem distributed water treatment chemicals and equipment to its customers located primarily in North Carolina.</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Waterguard, Inc. ("Waterguard") was acquired on October 31, 2024 for $18.0 million. Located in North Carolina, Waterguard distributed water treatment chemicals and equipment to its customers located primarily in North Carolina.</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Intercoastal Trading, Inc. ("Intercoastal") was acquired on June 3, 2024 for $ 22.0 million. Located in Maryland, Intercoastal distributed water treatment chemicals and equipment to its customers in Maryland, Delaware, and Virginia.</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Inclusive of one immaterial acquisition not discussed above, total cash consideration for the 2025 acquisitions completed in the nine months ended December 29, 2024 was $43.4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The following tables disaggregate external customer net sales by major revenue stream as reviewed internally for the three and nine months ended December 28, 2025 and December 29, 2024:</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December 28, 2025</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Water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Treatment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Sciences</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Solutions</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147,964</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23,281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24,579</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29,158</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244,080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December 29, 2024</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Water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Treatment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Sciences</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Solutions</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35,572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124,939</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21,236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25,993</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34,365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34,365</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226,205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rPr>
              <w:t>Nine months ended December 28, 2025</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Water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Treatment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Sciences</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Solutions</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Manufactured, blended or repackaged products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125,766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506,612</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71,121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75,204</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97,906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97,906</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19,549</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37,494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37,494</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232,095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164,730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817,786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7"/>
            <w:shd w:val="clear" w:color="auto" w:fill="CCEEFF"/>
          </w:tcPr>
          <w:p>
            <w:pPr>
              <w:ind w:left="100"/>
              <w:spacing w:after="0"/>
              <w:rPr>
                <w:sz w:val="20"/>
                <w:szCs w:val="20"/>
                <w:color w:val="auto"/>
              </w:rPr>
            </w:pPr>
            <w:r>
              <w:rPr>
                <w:rFonts w:ascii="Arial" w:cs="Arial" w:eastAsia="Arial" w:hAnsi="Arial"/>
                <w:sz w:val="16"/>
                <w:szCs w:val="16"/>
                <w:b w:val="1"/>
                <w:bCs w:val="1"/>
                <w:color w:val="auto"/>
              </w:rPr>
              <w:t>Nine months ended December 29, 2024</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Water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3"/>
                <w:szCs w:val="13"/>
                <w:color w:val="auto"/>
              </w:rPr>
            </w:pPr>
          </w:p>
        </w:tc>
        <w:tc>
          <w:tcPr>
            <w:tcW w:w="13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Treatment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Sciences</w:t>
            </w: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Solutions</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Manufactured, blended or repackaged products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114,686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422,587</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64,683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78,411</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102,137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102,137</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18,632</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33,133</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341,456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729,113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380" w:hanging="328"/>
        <w:spacing w:after="0" w:line="26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w:t>
      </w:r>
    </w:p>
    <w:p>
      <w:pPr>
        <w:spacing w:after="0" w:line="76" w:lineRule="exact"/>
        <w:rPr>
          <w:rFonts w:ascii="Arial" w:cs="Arial" w:eastAsia="Arial" w:hAnsi="Arial"/>
          <w:sz w:val="16"/>
          <w:szCs w:val="16"/>
          <w:color w:val="auto"/>
        </w:rPr>
      </w:pPr>
    </w:p>
    <w:p>
      <w:pPr>
        <w:ind w:left="660" w:hanging="328"/>
        <w:spacing w:after="0" w:line="28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bulk products in our Water Treatment and Industrial Solutions segments that we do not modify in any way, but receive, store, and ship from our facilities, or direct ship to our customers in large quantities.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9"/>
        </w:trPr>
        <w:tc>
          <w:tcPr>
            <w:tcW w:w="5240" w:type="dxa"/>
            <w:vAlign w:val="bottom"/>
          </w:tcPr>
          <w:p>
            <w:pPr>
              <w:spacing w:after="0"/>
              <w:rPr>
                <w:sz w:val="22"/>
                <w:szCs w:val="22"/>
                <w:color w:val="auto"/>
              </w:rPr>
            </w:pPr>
          </w:p>
        </w:tc>
        <w:tc>
          <w:tcPr>
            <w:tcW w:w="308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75"/>
        </w:trPr>
        <w:tc>
          <w:tcPr>
            <w:tcW w:w="5240" w:type="dxa"/>
            <w:vAlign w:val="bottom"/>
          </w:tcPr>
          <w:p>
            <w:pPr>
              <w:spacing w:after="0"/>
              <w:rPr>
                <w:sz w:val="15"/>
                <w:szCs w:val="15"/>
                <w:color w:val="auto"/>
              </w:rPr>
            </w:pPr>
          </w:p>
        </w:tc>
        <w:tc>
          <w:tcPr>
            <w:tcW w:w="1540" w:type="dxa"/>
            <w:vAlign w:val="bottom"/>
            <w:tcBorders>
              <w:top w:val="single" w:sz="8" w:color="auto"/>
            </w:tcBorders>
            <w:gridSpan w:val="2"/>
          </w:tcPr>
          <w:p>
            <w:pPr>
              <w:ind w:left="140"/>
              <w:spacing w:after="0" w:line="176" w:lineRule="exact"/>
              <w:rPr>
                <w:sz w:val="20"/>
                <w:szCs w:val="20"/>
                <w:color w:val="auto"/>
              </w:rPr>
            </w:pPr>
            <w:r>
              <w:rPr>
                <w:rFonts w:ascii="Arial" w:cs="Arial" w:eastAsia="Arial" w:hAnsi="Arial"/>
                <w:sz w:val="18"/>
                <w:szCs w:val="18"/>
                <w:b w:val="1"/>
                <w:bCs w:val="1"/>
                <w:color w:val="auto"/>
              </w:rPr>
              <w:t>December 28,</w:t>
            </w:r>
          </w:p>
        </w:tc>
        <w:tc>
          <w:tcPr>
            <w:tcW w:w="1440" w:type="dxa"/>
            <w:vAlign w:val="bottom"/>
            <w:tcBorders>
              <w:top w:val="single" w:sz="8" w:color="auto"/>
            </w:tcBorders>
          </w:tcPr>
          <w:p>
            <w:pPr>
              <w:jc w:val="right"/>
              <w:ind w:right="50"/>
              <w:spacing w:after="0" w:line="176" w:lineRule="exact"/>
              <w:rPr>
                <w:sz w:val="20"/>
                <w:szCs w:val="20"/>
                <w:color w:val="auto"/>
              </w:rPr>
            </w:pPr>
            <w:r>
              <w:rPr>
                <w:rFonts w:ascii="Arial" w:cs="Arial" w:eastAsia="Arial" w:hAnsi="Arial"/>
                <w:sz w:val="18"/>
                <w:szCs w:val="18"/>
                <w:b w:val="1"/>
                <w:bCs w:val="1"/>
                <w:color w:val="auto"/>
              </w:rPr>
              <w:t>December 29,</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80"/>
              <w:spacing w:after="0" w:line="176" w:lineRule="exact"/>
              <w:rPr>
                <w:sz w:val="20"/>
                <w:szCs w:val="20"/>
                <w:color w:val="auto"/>
              </w:rPr>
            </w:pPr>
            <w:r>
              <w:rPr>
                <w:rFonts w:ascii="Arial" w:cs="Arial" w:eastAsia="Arial" w:hAnsi="Arial"/>
                <w:sz w:val="18"/>
                <w:szCs w:val="18"/>
                <w:b w:val="1"/>
                <w:bCs w:val="1"/>
                <w:color w:val="auto"/>
              </w:rPr>
              <w:t>December 28,</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December 29,</w:t>
            </w:r>
          </w:p>
        </w:tc>
      </w:tr>
      <w:tr>
        <w:trPr>
          <w:trHeight w:val="243"/>
        </w:trPr>
        <w:tc>
          <w:tcPr>
            <w:tcW w:w="52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20,740,284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20,766,764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20,731,837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20,780,213</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20,843,980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20,875,387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20,850,721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20,902,456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406" w:lineRule="auto"/>
        <w:rPr>
          <w:sz w:val="20"/>
          <w:szCs w:val="20"/>
          <w:color w:val="auto"/>
        </w:rPr>
      </w:pPr>
      <w:r>
        <w:rPr>
          <w:rFonts w:ascii="Arial" w:cs="Arial" w:eastAsia="Arial" w:hAnsi="Arial"/>
          <w:sz w:val="18"/>
          <w:szCs w:val="18"/>
          <w:color w:val="auto"/>
        </w:rPr>
        <w:t xml:space="preserve">For each of the periods presented, there were no shares excluded from the calculation of weighted-average common shares for diluted EPS. </w:t>
      </w:r>
      <w:r>
        <w:rPr>
          <w:rFonts w:ascii="Arial" w:cs="Arial" w:eastAsia="Arial" w:hAnsi="Arial"/>
          <w:sz w:val="18"/>
          <w:szCs w:val="18"/>
          <w:b w:val="1"/>
          <w:bCs w:val="1"/>
          <w:color w:val="auto"/>
        </w:rPr>
        <w:t>Note 5 – Fair Value Measurements</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earnout liabilities recorded in conjunction with the acquisitions of Water Solutions Unlimited, Inc. ("Water Solutions") (acquired during fiscal 2024) and WaterSurplus are based upon achieving certain targets. The Water Solutions earnout is based on a target of adjusted earnings before interest, taxes, depreciation and amortization (EBITDA) in year three of the acquisition. The earnout liability was valued based upon a risk-neutral pricing analysis within a Monte Carlo simulation framework, which is a Level 3 input. The WaterSurplus earnout liability is based on a target of 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spacing w:after="0" w:line="7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December 28, 2025 and March 30,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17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March 30, 2025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3660" w:type="dxa"/>
            <w:vAlign w:val="bottom"/>
          </w:tcPr>
          <w:p>
            <w:pPr>
              <w:ind w:left="2560"/>
              <w:spacing w:after="0"/>
              <w:rPr>
                <w:sz w:val="20"/>
                <w:szCs w:val="20"/>
                <w:color w:val="auto"/>
              </w:rPr>
            </w:pPr>
            <w:r>
              <w:rPr>
                <w:rFonts w:ascii="Arial" w:cs="Arial" w:eastAsia="Arial" w:hAnsi="Arial"/>
                <w:sz w:val="18"/>
                <w:szCs w:val="18"/>
                <w:color w:val="auto"/>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366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WaterSurplus earnout liability</w:t>
            </w:r>
          </w:p>
        </w:tc>
        <w:tc>
          <w:tcPr>
            <w:tcW w:w="366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Level 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Water Solutions earnout liability</w:t>
            </w:r>
          </w:p>
        </w:tc>
        <w:tc>
          <w:tcPr>
            <w:tcW w:w="3660" w:type="dxa"/>
            <w:vAlign w:val="bottom"/>
          </w:tcPr>
          <w:p>
            <w:pPr>
              <w:ind w:left="2560"/>
              <w:spacing w:after="0"/>
              <w:rPr>
                <w:sz w:val="20"/>
                <w:szCs w:val="20"/>
                <w:color w:val="auto"/>
              </w:rPr>
            </w:pPr>
            <w:r>
              <w:rPr>
                <w:rFonts w:ascii="Arial" w:cs="Arial" w:eastAsia="Arial" w:hAnsi="Arial"/>
                <w:sz w:val="18"/>
                <w:szCs w:val="18"/>
                <w:color w:val="auto"/>
              </w:rPr>
              <w:t>Level 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60" w:type="dxa"/>
            <w:vAlign w:val="bottom"/>
          </w:tcPr>
          <w:p>
            <w:pPr>
              <w:ind w:left="12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the earnout liability measured at fair value using Level 3 inputs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Earnout liability at March 30, 2025</w:t>
            </w:r>
          </w:p>
        </w:tc>
        <w:tc>
          <w:tcPr>
            <w:tcW w:w="2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Addition for acquisition of WaterSurplus</w:t>
            </w:r>
          </w:p>
        </w:tc>
        <w:tc>
          <w:tcPr>
            <w:tcW w:w="2160" w:type="dxa"/>
            <w:vAlign w:val="bottom"/>
          </w:tcPr>
          <w:p>
            <w:pPr>
              <w:ind w:left="1060"/>
              <w:spacing w:after="0"/>
              <w:rPr>
                <w:sz w:val="20"/>
                <w:szCs w:val="20"/>
                <w:color w:val="auto"/>
              </w:rPr>
            </w:pPr>
            <w:r>
              <w:rPr>
                <w:rFonts w:ascii="Arial" w:cs="Arial" w:eastAsia="Arial" w:hAnsi="Arial"/>
                <w:sz w:val="18"/>
                <w:szCs w:val="18"/>
                <w:color w:val="auto"/>
              </w:rPr>
              <w:t>Level 3</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43,000</w:t>
            </w: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adjustments to WaterSurplus earnout liability</w:t>
            </w:r>
          </w:p>
        </w:tc>
        <w:tc>
          <w:tcPr>
            <w:tcW w:w="2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Level 3</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2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adjustments to Water Solutions earnout liability</w:t>
            </w:r>
          </w:p>
        </w:tc>
        <w:tc>
          <w:tcPr>
            <w:tcW w:w="216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Level 3</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Earnout liability at December 28, 2025</w:t>
            </w:r>
          </w:p>
        </w:tc>
        <w:tc>
          <w:tcPr>
            <w:tcW w:w="2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84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16"/>
        </w:trPr>
        <w:tc>
          <w:tcPr>
            <w:tcW w:w="7840" w:type="dxa"/>
            <w:vAlign w:val="bottom"/>
          </w:tcPr>
          <w:p>
            <w:pPr>
              <w:spacing w:after="0"/>
              <w:rPr>
                <w:sz w:val="20"/>
                <w:szCs w:val="20"/>
                <w:color w:val="auto"/>
              </w:rPr>
            </w:pPr>
            <w:r>
              <w:rPr>
                <w:rFonts w:ascii="Arial" w:cs="Arial" w:eastAsia="Arial" w:hAnsi="Arial"/>
                <w:sz w:val="18"/>
                <w:szCs w:val="18"/>
                <w:color w:val="auto"/>
              </w:rPr>
              <w:t>Inventories at December 28, 2025 and March 30, 2025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0"/>
        </w:trPr>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26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30,</w:t>
            </w:r>
          </w:p>
        </w:tc>
      </w:tr>
      <w:tr>
        <w:trPr>
          <w:trHeight w:val="24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condensed consolidated statements of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for each of our three reportable segments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Water</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Food &amp; Health</w:t>
            </w:r>
          </w:p>
        </w:tc>
        <w:tc>
          <w:tcPr>
            <w:tcW w:w="240" w:type="dxa"/>
            <w:vAlign w:val="bottom"/>
          </w:tcPr>
          <w:p>
            <w:pPr>
              <w:spacing w:after="0"/>
              <w:rPr>
                <w:sz w:val="17"/>
                <w:szCs w:val="17"/>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7"/>
                <w:szCs w:val="17"/>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Treatment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Sciences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Solutions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30, 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 due to acquisitions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28,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December 28, 2025 and March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99"/>
              </w:rPr>
              <w:t>December 28, 2025</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30, 2025</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12"/>
              <w:spacing w:after="0" w:line="15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283,654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(70,538)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213,116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198,364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(57,311)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238,381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Debt</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(and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$25.0 million swingline subfacility.</w:t>
      </w:r>
    </w:p>
    <w:p>
      <w:pPr>
        <w:spacing w:after="0" w:line="21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addition to using the debt proceeds from the Revolving Loan Facility to pay off the existing debt at the time, we drew approximately $150 million of additional proceeds to acquire substantially all of the assets of WaterSurplus as discussed in Note 2. We may use other proceeds from the Revolving Loan Facility for working capital, capital expenditures, restricted payments and other acquisitions permitted under the Credit Agreement, and other general corporate purposes.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paid fees of approximately $1.0 million associated with the April refinancing. The Revolving Loan Facility is scheduled to mature on April 25, 2030.</w:t>
      </w:r>
    </w:p>
    <w:p>
      <w:pPr>
        <w:spacing w:after="0" w:line="4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Borrowings under the Revolving Loan Facility bear interest at a variable rate based on term SOFR plus a margin. We have an interest rate swap in place to manage the risk associated with a portion of our variable-rate debt. The notional amount of the swap agreement is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r>
              <w:rPr>
                <w:rFonts w:ascii="Arial" w:cs="Arial" w:eastAsia="Arial" w:hAnsi="Arial"/>
                <w:sz w:val="18"/>
                <w:szCs w:val="18"/>
                <w:color w:val="auto"/>
              </w:rPr>
              <w:t>$60 million. At December 28, 2025, the effective interest rate on our borrowings was 4.8%.</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6"/>
        </w:trPr>
        <w:tc>
          <w:tcPr>
            <w:tcW w:w="7800" w:type="dxa"/>
            <w:vAlign w:val="bottom"/>
          </w:tcPr>
          <w:p>
            <w:pPr>
              <w:spacing w:after="0"/>
              <w:rPr>
                <w:sz w:val="20"/>
                <w:szCs w:val="20"/>
                <w:color w:val="auto"/>
              </w:rPr>
            </w:pPr>
            <w:r>
              <w:rPr>
                <w:rFonts w:ascii="Arial" w:cs="Arial" w:eastAsia="Arial" w:hAnsi="Arial"/>
                <w:sz w:val="18"/>
                <w:szCs w:val="18"/>
                <w:color w:val="auto"/>
              </w:rPr>
              <w:t>Debt at December 28, 2025 and March 30, 2025 consisted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8"/>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2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30,</w:t>
            </w:r>
          </w:p>
        </w:tc>
      </w:tr>
      <w:tr>
        <w:trPr>
          <w:trHeight w:val="235"/>
        </w:trPr>
        <w:tc>
          <w:tcPr>
            <w:tcW w:w="7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264,000</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149,000</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263,187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148,819</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253,375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138,906</w:t>
            </w: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2022 are closed to examination by the Internal Revenue Service, and with few exceptions, state and local income tax jurisdictions. Our effective income tax rate was approximately 27% for the three months ended December 28, 2025 and 26% for the three months ended December 29, 2024, and approximately 26% for both the nine months ended December 28, 2025 and December 29, 2024. The effective tax rate is impacted by projected levels of annual taxable income, permanent items, and state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2026 and fiscal 2025. These performance-based arrangements provide for the grant of performance-based restricted stock units under our 2019 Equity Incentive Plan (the "2019 Plan")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58,353 shares in the aggregate for fiscal 2026.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28,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61,418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$1.3 million for both the three months ended December 28, 2025 and December 29, 2024. We recorded compensation expense related to performance share units and restricted stock of $4.9 million for the nine months ended December 28, 2025 and $3.9 million for the nine months ended December 29, 2024. Substantially all of the compensation expense was recorded in selling, general and administrative expenses in the condensed consolidated statements of income.</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directors, other than the Chief Executive Officer, receive restricted stock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services. The restricted stock awards are under our 2019 Plan and are generally expensed over a one-year vesting period, based on the market value on the date of grant. As of December 28, 2025, there were 4,396 shares of restricted stock with an average grant date fair value of $159.16 outstanding under this program. Compensation expense related to restricted stock awards to the Board was $0.2 million for both the three months ended December 28, 2025 and December 29, 2024. Compensation expense related to restricted stock awards to the Board was $0.5 million for both the nine months ended December 28, 2025 and December 29, 2024.</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December 28, 2025, certain employees from the WaterSurplus acquisition received restricted stock awards under the 2019 Plan, primarily to incentivize their continued service. The restricted stock awards will be expensed over a three-year vesting period, based on the market value on the date of grant. As of December 28, 2025, there were 8,713 shares of restricted stock with an average grant date fair value of $142.10 outstanding under this program. Compensation expense related to restricted stock awards to certain WaterSurplus employees was $0.1 million for the three months ended December 28, 2025 and $0.2 million nine months ended December 28, 2025. No expense was recorded for the three and nine months ended December 29,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and nine months ended December 28, 2025, no shares were repurchased. During the three months ended December 29, 2024, no shares were repurchased, and during the nine months ended December 29, 2024, we repurchased 105,541 shares at an aggregate purchase price of $9.1 million. As of December 28, 2025, 731,544 shares remained available to be repurchased under the share repurchase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In the fourth quarter of fiscal 2024, we recorded a liability of $7.7 million related to estimated remediation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perchlorinated biphenyls ("PCBs") discovered in the soil at our Rosemount, MN facility during our expansion project. We acquired the property, which had prior heavy industrial use, in fiscal 2012. While the source of the PCBs is unknown, we have never brought PCBs onto the property or used PCBs on the site. The liability is not discounted as management expects to incur these expenses within the next twelve months. Given the many uncertainties involved in assessing environmental claims, our reserves may prove to be insufficient. While it is possible that additional expense related to the remediation will be incurred in future periods if currently unknown issues arise, we are unable to estimate the extent of financial impact related to any such unknown issues. No expenses were charged against this liability during both the three and nine months ended December 28, 2025 and December 29,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Effective beginning with the first fiscal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In fiscal 2026, we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ind w:right="240"/>
        <w:spacing w:after="0" w:line="257" w:lineRule="auto"/>
        <w:rPr>
          <w:sz w:val="20"/>
          <w:szCs w:val="20"/>
          <w:color w:val="auto"/>
        </w:rPr>
      </w:pPr>
      <w:r>
        <w:rPr>
          <w:rFonts w:ascii="Arial" w:cs="Arial" w:eastAsia="Arial" w:hAnsi="Arial"/>
          <w:sz w:val="18"/>
          <w:szCs w:val="18"/>
          <w:color w:val="auto"/>
        </w:rPr>
        <w:t>Our chief operating decision-maker (CODM), who is our President and Chief Executive Officer, regularly reviews the consolidated financial statements in their entirety and financial information at the reportable segment level. The CODM uses operating income and considers budget-to -actual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74" w:lineRule="exact"/>
        <w:rPr>
          <w:sz w:val="20"/>
          <w:szCs w:val="20"/>
          <w:color w:val="auto"/>
        </w:rPr>
      </w:pPr>
    </w:p>
    <w:p>
      <w:pPr>
        <w:ind w:left="660" w:right="340" w:hanging="328"/>
        <w:spacing w:after="0" w:line="262"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Water Treatment segment 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spacing w:after="0" w:line="68" w:lineRule="exact"/>
        <w:rPr>
          <w:rFonts w:ascii="Arial" w:cs="Arial" w:eastAsia="Arial" w:hAnsi="Arial"/>
          <w:sz w:val="18"/>
          <w:szCs w:val="18"/>
          <w:color w:val="auto"/>
        </w:rPr>
      </w:pPr>
    </w:p>
    <w:p>
      <w:pPr>
        <w:ind w:left="660" w:right="300" w:hanging="328"/>
        <w:spacing w:after="0" w:line="262"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Food &amp; Health Sciences segment specializes in processing and formulation solutions as well as ingredient distribution to manufacturers in the nutrition, food, pharmaceutical, and agricultural markets. This segment offers a diverse product portfolio including base chemistry, acid based reactions, minerals, vitamins and amino acids, excipients, botanicals and herbs, sweeteners and enzymes, fertilizers, and food-grade and pharmaceutical salts and ingredients.</w:t>
      </w:r>
    </w:p>
    <w:p>
      <w:pPr>
        <w:spacing w:after="0" w:line="68" w:lineRule="exact"/>
        <w:rPr>
          <w:rFonts w:ascii="Arial" w:cs="Arial" w:eastAsia="Arial" w:hAnsi="Arial"/>
          <w:sz w:val="18"/>
          <w:szCs w:val="18"/>
          <w:color w:val="auto"/>
        </w:rPr>
      </w:pPr>
    </w:p>
    <w:p>
      <w:pPr>
        <w:jc w:val="both"/>
        <w:ind w:left="660" w:right="180" w:hanging="328"/>
        <w:spacing w:after="0" w:line="268"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Industrial Solutions segment specializes in providing industrial chemicals, products and services to industries such as industrial manufacturing, chemical processing, electronics, energy, plating, and surface finishing. This segment’s principal products are acids and alkalis.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intersegment sales and no operating segments have been aggregated.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fiscal 2026 and 2025, none of our customers accounted for 10% or more of our total sales.</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Summarized financial information for our reportable segments is presented and reconciled to consolidated financial information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Water</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Food &amp; Health</w:t>
            </w: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Sciences</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December 28, 2025:</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Sales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120,487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53,589</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244,080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(167,196)</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564,689</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244,038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132,946</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941,673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39"/>
        </w:trPr>
        <w:tc>
          <w:tcPr>
            <w:tcW w:w="4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13,410</w:t>
            </w:r>
          </w:p>
        </w:tc>
        <w:tc>
          <w:tcPr>
            <w:tcW w:w="0" w:type="dxa"/>
            <w:vAlign w:val="bottom"/>
          </w:tcPr>
          <w:p>
            <w:pPr>
              <w:spacing w:after="0"/>
              <w:rPr>
                <w:sz w:val="1"/>
                <w:szCs w:val="1"/>
                <w:color w:val="auto"/>
              </w:rPr>
            </w:pPr>
          </w:p>
        </w:tc>
      </w:tr>
      <w:tr>
        <w:trPr>
          <w:trHeight w:val="683"/>
        </w:trPr>
        <w:tc>
          <w:tcPr>
            <w:tcW w:w="474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Water</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Food &amp; Health</w:t>
            </w:r>
          </w:p>
        </w:tc>
        <w:tc>
          <w:tcPr>
            <w:tcW w:w="20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Sciences</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December 29, 2024:</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99,752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77,730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48,723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226,205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(152,565)</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(25,216)</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124,713</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306,859</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242,334</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673,906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December 28, 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420,961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232,095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164,730</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817,786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(552,115)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(74,853)</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66,085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22,614</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7,728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8,321</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38,663</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38,963</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Nine months ended December 29, 2024: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729,113</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(195,807)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(484,673)</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(71,139)</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173,301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(78,702)</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94,599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0" w:type="dxa"/>
            <w:vAlign w:val="bottom"/>
          </w:tcPr>
          <w:p>
            <w:pPr>
              <w:spacing w:after="0"/>
              <w:rPr>
                <w:sz w:val="1"/>
                <w:szCs w:val="1"/>
                <w:color w:val="auto"/>
              </w:rPr>
            </w:pPr>
          </w:p>
        </w:tc>
      </w:tr>
      <w:tr>
        <w:trPr>
          <w:trHeight w:val="196"/>
        </w:trPr>
        <w:tc>
          <w:tcPr>
            <w:tcW w:w="5560" w:type="dxa"/>
            <w:vAlign w:val="bottom"/>
          </w:tcPr>
          <w:p>
            <w:pPr>
              <w:ind w:left="36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68,018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0" w:type="dxa"/>
            <w:vAlign w:val="bottom"/>
          </w:tcPr>
          <w:p>
            <w:pPr>
              <w:spacing w:after="0"/>
              <w:rPr>
                <w:sz w:val="1"/>
                <w:szCs w:val="1"/>
                <w:color w:val="auto"/>
              </w:rPr>
            </w:pPr>
          </w:p>
        </w:tc>
      </w:tr>
      <w:tr>
        <w:trPr>
          <w:trHeight w:val="239"/>
        </w:trPr>
        <w:tc>
          <w:tcPr>
            <w:tcW w:w="5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29,368</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*Unallocated assets not included, consisting primarily of cash and cash equivalents, prepaid expenses, and non-qualified deferred compensation plan assets of $34.9 million at December 28, 2025 and $33.3 million at December 29,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17" w:lineRule="exact"/>
        <w:rPr>
          <w:sz w:val="20"/>
          <w:szCs w:val="20"/>
          <w:color w:val="auto"/>
        </w:rPr>
      </w:pPr>
    </w:p>
    <w:p>
      <w:pPr>
        <w:ind w:right="6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three and nine months ended December 28, 2025 as compared to the similar period ended December 29, 2024. This discussion should be read in conjunction with the condensed consolidated financial statements and notes to condensed consolidated financial statements included in this quarterly report on Form 10-Q and Part II, Item 8 of our </w:t>
      </w:r>
      <w:hyperlink r:id="rId19">
        <w:r>
          <w:rPr>
            <w:rFonts w:ascii="Arial" w:cs="Arial" w:eastAsia="Arial" w:hAnsi="Arial"/>
            <w:sz w:val="18"/>
            <w:szCs w:val="18"/>
            <w:u w:val="single" w:color="auto"/>
            <w:color w:val="0000FF"/>
          </w:rPr>
          <w:t>Annual Report on Form 10-K for the fiscal year ended March 30, 2025</w:t>
        </w:r>
      </w:hyperlink>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derive substantially all of our revenues from the sale of water treatment solutions, specialty ingredients, and chemicals to our customers in a wide variety of industries. We began our operations primarily as a distributor of bulk chemicals with a strong customer focus. Over the years, we have maintained a strong customer focus and have expanded our business by increasing our sales of value-added and specialty ingredients, including manufacturing, blending, and repackaging certain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completed the following acquisitions in fiscal 2025 and the first nine months of fiscal 2026. The results of operations since the date of each acquisition and the assets, including goodwill associated with these acquisitions, are included in our Water Treatment segment with the exception of the MakWood lactate business which is included in our Food &amp; Health Sciences segment. Certain acquisitions discussed below are not included in Note 2 to our Condensed Consolidated Financial Statements as they were not deemed to be material enough to warrant disclosure.</w:t>
      </w:r>
    </w:p>
    <w:p>
      <w:pPr>
        <w:spacing w:after="0" w:line="71" w:lineRule="exact"/>
        <w:rPr>
          <w:sz w:val="20"/>
          <w:szCs w:val="20"/>
          <w:color w:val="auto"/>
        </w:rPr>
      </w:pPr>
    </w:p>
    <w:p>
      <w:pPr>
        <w:ind w:left="660" w:right="20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3, 2025, we acquired substantially all the assets and assumed certain liabilities of Redbird Chemical, Inc. (“Redbird”) for $4.6 million. Redbird distributed chemicals to its customers in eastern Texas within both the water treatment and industrial markets.</w:t>
      </w:r>
    </w:p>
    <w:p>
      <w:pPr>
        <w:spacing w:after="0" w:line="62" w:lineRule="exact"/>
        <w:rPr>
          <w:rFonts w:ascii="Arial" w:cs="Arial" w:eastAsia="Arial" w:hAnsi="Arial"/>
          <w:sz w:val="18"/>
          <w:szCs w:val="18"/>
          <w:color w:val="auto"/>
        </w:rPr>
      </w:pPr>
    </w:p>
    <w:p>
      <w:pPr>
        <w:ind w:left="660" w:right="660" w:hanging="328"/>
        <w:spacing w:after="0" w:line="318" w:lineRule="auto"/>
        <w:tabs>
          <w:tab w:leader="none" w:pos="628"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August 29, 2025, we acquired substantially all the assets and assumed certain liabilities of StillWaters Technology, Inc. ("StillWaters") for $4.3 million. StillWaters distributed water treatment chemicals and equipment for its customers in Alabama.</w:t>
      </w:r>
    </w:p>
    <w:p>
      <w:pPr>
        <w:spacing w:after="0" w:line="21" w:lineRule="exact"/>
        <w:rPr>
          <w:rFonts w:ascii="Arial" w:cs="Arial" w:eastAsia="Arial" w:hAnsi="Arial"/>
          <w:sz w:val="17"/>
          <w:szCs w:val="17"/>
          <w:color w:val="auto"/>
        </w:rPr>
      </w:pPr>
    </w:p>
    <w:p>
      <w:pPr>
        <w:ind w:left="660" w:right="80" w:hanging="328"/>
        <w:spacing w:after="0" w:line="262"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2, 2025, we acquired the lactate business of MakWood, Inc. for $1.9 million. We had previously been party to a Distribution Agreement with MakWood for certain lactate products under the Mak Lak trade name. This acquisition agreement terminated the Distribution Agreement, and resulted in our acquisition of the lactate distribution business, including the customer list and associated brand name.</w:t>
      </w:r>
    </w:p>
    <w:p>
      <w:pPr>
        <w:spacing w:after="0" w:line="68" w:lineRule="exact"/>
        <w:rPr>
          <w:rFonts w:ascii="Arial" w:cs="Arial" w:eastAsia="Arial" w:hAnsi="Arial"/>
          <w:sz w:val="18"/>
          <w:szCs w:val="18"/>
          <w:color w:val="auto"/>
        </w:rPr>
      </w:pPr>
    </w:p>
    <w:p>
      <w:pPr>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1, 2025, we acquired substantially all the assets and assumed certain liabilities of PhillTech, LLC ("PhillTech") for $5.0 million. Located in Courtland, AL, PhillTech manufactured and distributed coagulants and corrosion control products for its water treatment customers.</w:t>
      </w:r>
    </w:p>
    <w:p>
      <w:pPr>
        <w:spacing w:after="0" w:line="62" w:lineRule="exact"/>
        <w:rPr>
          <w:rFonts w:ascii="Arial" w:cs="Arial" w:eastAsia="Arial" w:hAnsi="Arial"/>
          <w:sz w:val="18"/>
          <w:szCs w:val="18"/>
          <w:color w:val="auto"/>
        </w:rPr>
      </w:pPr>
    </w:p>
    <w:p>
      <w:pPr>
        <w:ind w:left="660" w:right="4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13, 2025, we acquired substantially all the assets and assumed certain liabilities of Hendrickson Enterprises, LLC and Polymer Technologies, LLC (collectively, "Hendrickson") for approximately $1.5 million. Hendrickson distributed water treatment chemicals and equipment to its customers via direct shipments from suppliers.</w:t>
      </w:r>
    </w:p>
    <w:p>
      <w:pPr>
        <w:spacing w:after="0" w:line="62" w:lineRule="exact"/>
        <w:rPr>
          <w:rFonts w:ascii="Arial" w:cs="Arial" w:eastAsia="Arial" w:hAnsi="Arial"/>
          <w:sz w:val="18"/>
          <w:szCs w:val="18"/>
          <w:color w:val="auto"/>
        </w:rPr>
      </w:pPr>
    </w:p>
    <w:p>
      <w:pPr>
        <w:ind w:left="660" w:right="200" w:hanging="328"/>
        <w:spacing w:after="0" w:line="262"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25, 2025, we acquired substantially all of the assets and assumed certain liabilities of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w:t>
      </w:r>
    </w:p>
    <w:p>
      <w:pPr>
        <w:spacing w:after="0" w:line="68" w:lineRule="exact"/>
        <w:rPr>
          <w:rFonts w:ascii="Arial" w:cs="Arial" w:eastAsia="Arial" w:hAnsi="Arial"/>
          <w:sz w:val="18"/>
          <w:szCs w:val="18"/>
          <w:color w:val="auto"/>
        </w:rPr>
      </w:pPr>
    </w:p>
    <w:p>
      <w:pPr>
        <w:ind w:left="660" w:right="280" w:hanging="328"/>
        <w:spacing w:after="0" w:line="318" w:lineRule="auto"/>
        <w:tabs>
          <w:tab w:leader="none" w:pos="628"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fourth quarter of fiscal 2025, we acquired substantially all the assets and assumed certain liabilities of Amerochem for $44.0 million. Amerochem distributed water treatment chemicals and equipment to its customers primarily throughout North Carolina.</w:t>
      </w:r>
    </w:p>
    <w:p>
      <w:pPr>
        <w:spacing w:after="0" w:line="21" w:lineRule="exact"/>
        <w:rPr>
          <w:rFonts w:ascii="Arial" w:cs="Arial" w:eastAsia="Arial" w:hAnsi="Arial"/>
          <w:sz w:val="17"/>
          <w:szCs w:val="17"/>
          <w:color w:val="auto"/>
        </w:rPr>
      </w:pPr>
    </w:p>
    <w:p>
      <w:pPr>
        <w:ind w:left="660" w:right="340" w:hanging="328"/>
        <w:spacing w:after="0" w:line="318" w:lineRule="auto"/>
        <w:tabs>
          <w:tab w:leader="none" w:pos="628"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color w:val="auto"/>
        </w:rPr>
        <w:t>In the third quarter of fiscal 2025, we acquired substantially all the assets and assumed certain liabilities of Water Guard for $18.0 million. Water Guard distributed water treatment chemicals and equipment to its customers primarily throughout North Carolina.</w:t>
      </w:r>
    </w:p>
    <w:p>
      <w:pPr>
        <w:spacing w:after="0" w:line="21" w:lineRule="exact"/>
        <w:rPr>
          <w:rFonts w:ascii="Arial" w:cs="Arial" w:eastAsia="Arial" w:hAnsi="Arial"/>
          <w:sz w:val="17"/>
          <w:szCs w:val="17"/>
          <w:b w:val="1"/>
          <w:bCs w:val="1"/>
          <w:i w:val="1"/>
          <w:iCs w:val="1"/>
          <w:color w:val="auto"/>
        </w:rPr>
      </w:pPr>
    </w:p>
    <w:p>
      <w:pPr>
        <w:ind w:left="660" w:right="340" w:hanging="328"/>
        <w:spacing w:after="0" w:line="287" w:lineRule="auto"/>
        <w:tabs>
          <w:tab w:leader="none" w:pos="628"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In the first quarter of fiscal 2025, we acquired substantially all the assets and assumed certain liabilities of Wofford Water Service, Inc. for $3.4 million. Wofford distributed water treatment chemicals and equipment to customers mainly in Mississippi.</w:t>
      </w:r>
    </w:p>
    <w:p>
      <w:pPr>
        <w:spacing w:after="0" w:line="44" w:lineRule="exact"/>
        <w:rPr>
          <w:rFonts w:ascii="Arial" w:cs="Arial" w:eastAsia="Arial" w:hAnsi="Arial"/>
          <w:sz w:val="18"/>
          <w:szCs w:val="18"/>
          <w:b w:val="1"/>
          <w:bCs w:val="1"/>
          <w:i w:val="1"/>
          <w:iCs w:val="1"/>
          <w:color w:val="auto"/>
        </w:rPr>
      </w:pPr>
    </w:p>
    <w:p>
      <w:pPr>
        <w:ind w:left="660" w:right="500" w:hanging="328"/>
        <w:spacing w:after="0" w:line="318" w:lineRule="auto"/>
        <w:tabs>
          <w:tab w:leader="none" w:pos="628"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color w:val="auto"/>
        </w:rPr>
        <w:t>In the first quarter of fiscal 2025, we acquired substantially all the assets and assumed certain liabilities of Intercoastal for $22.0 million. Intercoastal distributed water treatment chemicals and equipment to its customers in Maryland, Delaware and Virginia.</w:t>
      </w:r>
    </w:p>
    <w:p>
      <w:pPr>
        <w:spacing w:after="0" w:line="2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aggregate annual revenue of these ten businesses acquired in fiscal 2025 and fiscal 2026 totaled approximately $116 million, as determined using the applicable twelve-month period preceding each respective acquisition date.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Reporting Segments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Effective beginning with the first quarter of fiscal 2026, we realigned our reporting segments to better reflect how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 Information presented in this quarterly report has been recast to align with the new segments. Additional information regarding these new segments is set forth in Note 13 to our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focus on operating income when evaluating our financial results as opposed to profitability as a percentage of sales, as sales dollars tend to fluctuate as raw material prices rise and fall. The costs for certain of our raw materials can rise or fall rapidly, causing fluctuations in gross profit as a percentage of sales.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LIFO inventory valuation method and the resulting cost of sales are consistent with our business practices of pricing to current chemical raw material prices.</w:t>
      </w:r>
    </w:p>
    <w:p>
      <w:pPr>
        <w:sectPr>
          <w:pgSz w:w="11900" w:h="16838" w:orient="portrait"/>
          <w:cols w:equalWidth="0" w:num="1">
            <w:col w:w="11240"/>
          </w:cols>
          <w:pgMar w:left="320" w:top="890" w:right="339" w:bottom="0" w:gutter="0" w:footer="0" w:header="0"/>
        </w:sectPr>
      </w:pPr>
    </w:p>
    <w:bookmarkStart w:id="19" w:name="page20"/>
    <w:bookmarkEnd w:id="19"/>
    <w:p>
      <w:pPr>
        <w:ind w:right="80"/>
        <w:spacing w:after="0" w:line="257"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36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28,</w:t>
            </w:r>
          </w:p>
        </w:tc>
        <w:tc>
          <w:tcPr>
            <w:tcW w:w="1620" w:type="dxa"/>
            <w:vAlign w:val="bottom"/>
            <w:tcBorders>
              <w:top w:val="single" w:sz="8" w:color="auto"/>
            </w:tcBorders>
            <w:shd w:val="clear" w:color="auto" w:fill="CCEEFF"/>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29,</w:t>
            </w: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gridSpan w:val="2"/>
            <w:shd w:val="clear" w:color="auto" w:fill="CCEEFF"/>
          </w:tcPr>
          <w:p>
            <w:pPr>
              <w:ind w:left="220"/>
              <w:spacing w:after="0" w:line="169" w:lineRule="exact"/>
              <w:rPr>
                <w:sz w:val="20"/>
                <w:szCs w:val="20"/>
                <w:color w:val="auto"/>
              </w:rPr>
            </w:pPr>
            <w:r>
              <w:rPr>
                <w:rFonts w:ascii="Arial" w:cs="Arial" w:eastAsia="Arial" w:hAnsi="Arial"/>
                <w:sz w:val="18"/>
                <w:szCs w:val="18"/>
                <w:b w:val="1"/>
                <w:bCs w:val="1"/>
                <w:color w:val="auto"/>
              </w:rPr>
              <w:t>December 28,</w:t>
            </w:r>
          </w:p>
        </w:tc>
        <w:tc>
          <w:tcPr>
            <w:tcW w:w="1640" w:type="dxa"/>
            <w:vAlign w:val="bottom"/>
            <w:tcBorders>
              <w:top w:val="single" w:sz="8" w:color="auto"/>
            </w:tcBorders>
            <w:shd w:val="clear" w:color="auto" w:fill="CCEEFF"/>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29,</w:t>
            </w:r>
          </w:p>
        </w:tc>
      </w:tr>
      <w:tr>
        <w:trPr>
          <w:trHeight w:val="243"/>
        </w:trPr>
        <w:tc>
          <w:tcPr>
            <w:tcW w:w="436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6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21.4 %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23.3 %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11.9 %</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120"/>
        <w:spacing w:after="0" w:line="374" w:lineRule="auto"/>
        <w:rPr>
          <w:sz w:val="20"/>
          <w:szCs w:val="20"/>
          <w:color w:val="auto"/>
        </w:rPr>
      </w:pPr>
      <w:r>
        <w:rPr>
          <w:rFonts w:ascii="Arial" w:cs="Arial" w:eastAsia="Arial" w:hAnsi="Arial"/>
          <w:sz w:val="18"/>
          <w:szCs w:val="18"/>
          <w:b w:val="1"/>
          <w:bCs w:val="1"/>
          <w:i w:val="1"/>
          <w:iCs w:val="1"/>
          <w:color w:val="auto"/>
        </w:rPr>
        <w:t xml:space="preserve">Three Months Ended December 28, 2025 Compared to Three Months Ended December 29, 2024 </w:t>
      </w:r>
      <w:r>
        <w:rPr>
          <w:rFonts w:ascii="Arial" w:cs="Arial" w:eastAsia="Arial" w:hAnsi="Arial"/>
          <w:sz w:val="18"/>
          <w:szCs w:val="18"/>
          <w:i w:val="1"/>
          <w:iCs w:val="1"/>
          <w:color w:val="auto"/>
        </w:rPr>
        <w:t>Sales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$244.1 million for the three months ended December 28, 2025, an increase of $17.9 million, or 8%, from sales of $226.2 million in the same period a year ago. Sales in our Water Treatment and Industrial Solutions segments both grew by more than 10%, while sales in our Food &amp; Health Sciences segment decreased 10%.</w:t>
      </w:r>
    </w:p>
    <w:p>
      <w:pPr>
        <w:spacing w:after="0" w:line="6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$20.7 million, or 21%, to $120.5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28, 2025, from sales of $99.8 million in the same period a year ago. Sales of bulk commodity products in the Water Treatment segment were approximately 10% of sales dollars in the current quarter and 9% in the same</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period a year ago. Sales increased as a result of approximately $19 million of added sales from acquired businesses as well as improved pricing on certain of our products in our legacy businesses on slightly increased sales volumes.</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Food &amp; Health Sciences segment sales decreased $7.7 million, or 10%, to $70.0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28, 2025, from sales of $77.7 million in the same period a year ago. Sales dollars decreased primarily as a result of decreased volumes of our food, health &amp; nutrition, and agricultural products.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$4.9 million, or 10%, to $53.6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28, 2025, from sales of $48.7 million in the same period a year ago. Sales of bulk commodity products in the Industrial Solutions segment were approximately 21% of sales dollars in the current quarter and 25% in the same period a year ago. Sales increased primarily as a result of increased sales volumes of certain of our manufactured, blended and repackaged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Gross profit increased $ 2.4 million, or 5%, to $50.8 million, or 21% of sales, for the three months ended December 28, 2025, from $48.4 million, or 21% of sales, in the same period a year ago. During the current quarter, the LIFO reserve decreased, and gross profit increased, by $0.2 million. In the same period a year ago, the LIFO reserve decreased, and gross profit increased, by $0.8 million.</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$3.7 million, or 14%, to $29.6 million, or 25%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December 28, 2025, from $25.9 million, or 26% of sales, in the same period a year ago. Gross profit increased primarily as a result of increased sales from our acquired businesses as well as increased sales in our legacy business.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Gross profit for the Food &amp; Health Sciences segment decreased $ 2.5 million, or 15%, to $ 13.8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20% of sales, for the three months ended December 28, 2025, from $16.3 million, or 21% of sales, in the same period a year ago. Gross profit decreased primarily as a result of the decrease in sales.</w:t>
      </w:r>
    </w:p>
    <w:p>
      <w:pPr>
        <w:spacing w:after="0" w:line="6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Gross profit for the Industrial Solutions segment increased $ 1.1 million, or 18%, to $7.4 million, or 14%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December 28, 2025, from $6.3 million, or 13% of sales, in the same period a year ago. Gross profit increased as a result of the increase in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(“SG&amp;A”) expenses increased $0.9 million, or 3%, to $28.3 million, or 12% of sales, for the three months ended December 28, 2025, from $27.4 million, or 12% of sales, in the same period a year ago. This included $5.4 million due to added costs from the acquired businesses in our Water Treatment segment, largely offset by a year-over-year reduction of $4.6 million due to a fair value adjustment recorded to the Water Solutions earnout liability as a result of a change in projected estimates related to the earnout target. The primary components of the $5.4 million of costs related to the acquired businesses were personnel and operating costs, $2.3 million of intangible amortization and $0.5 million of fair value accretion on the WaterSurplus earnout liability.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Operating income increased $1.5 million, or 7%, to $22.6 million, or 9% of sales, for the three months ended December 28, 2025, from $21.1 million, or 9% of sales, in the same period a year ago due to the combined impact of the factors discussed above.</w:t>
      </w:r>
    </w:p>
    <w:p>
      <w:pPr>
        <w:sectPr>
          <w:pgSz w:w="11900" w:h="16838" w:orient="portrait"/>
          <w:cols w:equalWidth="0" w:num="1">
            <w:col w:w="11240"/>
          </w:cols>
          <w:pgMar w:left="320" w:top="121" w:right="339" w:bottom="108"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ectPr>
          <w:pgSz w:w="11900" w:h="16838" w:orient="portrait"/>
          <w:cols w:equalWidth="0" w:num="1">
            <w:col w:w="11240"/>
          </w:cols>
          <w:pgMar w:left="320" w:top="121" w:right="339" w:bottom="108" w:gutter="0" w:footer="0" w:header="0"/>
          <w:type w:val="continuous"/>
        </w:sectPr>
      </w:pPr>
    </w:p>
    <w:bookmarkStart w:id="20" w:name="page21"/>
    <w:bookmarkEnd w:id="20"/>
    <w:p>
      <w:pPr>
        <w:ind w:right="80"/>
        <w:spacing w:after="0" w:line="268" w:lineRule="auto"/>
        <w:rPr>
          <w:sz w:val="20"/>
          <w:szCs w:val="20"/>
          <w:color w:val="auto"/>
        </w:rPr>
      </w:pPr>
      <w:r>
        <w:rPr>
          <w:rFonts w:ascii="Arial" w:cs="Arial" w:eastAsia="Arial" w:hAnsi="Arial"/>
          <w:sz w:val="18"/>
          <w:szCs w:val="18"/>
          <w:color w:val="auto"/>
        </w:rPr>
        <w:t>Interest expense increased $2.2 million to $3.4 million for the three months ended December 28, 2025 compared to $1.2 million in the same period a year ago. Interest expense increased due to increased borrowings in the current year, primarily to fund the acquisition of WaterSurplus.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income was $0.5 million for the three months ended December 28, 2025 and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effective income tax rate was approximately 27% the three months ended December 28, 2025 and 26% for the same period a year ago. The effective tax rate in the prior year period was impacted by favorable tax provision adjustments recorded. The effective tax rate is impacted by projected levels of annual taxable income, permanent items, and state taxes. Our effective tax rate for the full year is expected to be approximately 26% to 27%.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ind w:right="3340"/>
        <w:spacing w:after="0" w:line="374" w:lineRule="auto"/>
        <w:rPr>
          <w:sz w:val="20"/>
          <w:szCs w:val="20"/>
          <w:color w:val="auto"/>
        </w:rPr>
      </w:pPr>
      <w:r>
        <w:rPr>
          <w:rFonts w:ascii="Arial" w:cs="Arial" w:eastAsia="Arial" w:hAnsi="Arial"/>
          <w:sz w:val="18"/>
          <w:szCs w:val="18"/>
          <w:b w:val="1"/>
          <w:bCs w:val="1"/>
          <w:i w:val="1"/>
          <w:iCs w:val="1"/>
          <w:color w:val="auto"/>
        </w:rPr>
        <w:t xml:space="preserve">Nine Months Ended December 28, 2025 Compared to Nine months ended December 29, 2024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Sales were $817.8 million for the nine months ended December 28, 2025, an increase of $88.7 million, or 12%, from sales of $729.1 million in the same period a year ago. Sales from our Water Treatment and Industrial Solutions segments grew 7% and 23%, respectively, while our Food and Health Sciences segment declined by 1%.</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$79.5 million, or 23%, to $421.0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28, 2025, from sales of $341.5 million in the same period a year ago. Sales of bulk commodity products in the Water Treatment segment were approximately 9% of sales dollars in both the current period and in the same period a year ago. Sales increased as a result of approximately $70 million of added sales from acquired businesses as well as improved pricing and increased sales volumes on certain of our products in our legacy business.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Food &amp; Health Sciences. </w:t>
      </w:r>
      <w:r>
        <w:rPr>
          <w:rFonts w:ascii="Arial" w:cs="Arial" w:eastAsia="Arial" w:hAnsi="Arial"/>
          <w:sz w:val="18"/>
          <w:szCs w:val="18"/>
          <w:color w:val="auto"/>
        </w:rPr>
        <w:t>Food &amp; Health Sciences sales decreased $2.1 million or 1%, to $232.1 million for the nine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28, 2025, from sales of $234.2 million in the same period a year ago. Sales of our agricultural products increased $4.4 million due to increased volumes, partially offset by declines in some of our other product lines as a result of lower selling prices driven by competitive pricing pressures.</w:t>
      </w:r>
    </w:p>
    <w:p>
      <w:pPr>
        <w:spacing w:after="0" w:line="6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$11.3 million, or 7%, to $164.7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28, 2025, from sales of $153.4 million in the same period a year ago. Sales of bulk commodity products in the Industrial Solutions segment were approximately 21% of sales dollars in the current period and 23% in the same period a year ago. Sales increased primarily as a result of increased sales volumes of certain of our manufactured, blended and repackaged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Gross profit increased $ 17.5 million, or 10%, to $190.8 million, or 23% of sales, for the nine months ended December 28, 2025, from $173.3 million, or 24% of sales, in the same period a year ago. During the current period, the LIFO reserve increased, and gross profit decreased, by $0.8 million due primarily to a projected increase in certain commodity volumes and costs at year end. In the same period a year ago, the LIFO reserve decreased, and gross profit increased, by $0.3 million.</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$19.6 million, or 20%, to $116.6 million, or 28%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December 28, 2025, from $97.0 million, or 28% of sales, in the same period a year ago. Gross profit increased primarily as a result of increased sales from our acquired businesses, as well as increased sales in our legacy business.</w:t>
      </w:r>
    </w:p>
    <w:p>
      <w:pPr>
        <w:spacing w:after="0" w:line="6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Food &amp; Health Sciences. </w:t>
      </w:r>
      <w:r>
        <w:rPr>
          <w:rFonts w:ascii="Arial" w:cs="Arial" w:eastAsia="Arial" w:hAnsi="Arial"/>
          <w:sz w:val="18"/>
          <w:szCs w:val="18"/>
          <w:color w:val="auto"/>
        </w:rPr>
        <w:t>Gross profit for the Food &amp; Health Sciences segment decreased $3.6 million, or 7% to $48.7 million, or 21%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nine months ended December 28, 2025, from $52.3 million, or 22% of sales, in the same period a year ago. Gross profit decreased primarily as a result of the reduction in sales as well as lower selling prices resulting from competitive pricing pressures.</w:t>
      </w:r>
    </w:p>
    <w:p>
      <w:pPr>
        <w:spacing w:after="0" w:line="6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Industrial Solutions Segment</w:t>
      </w:r>
      <w:r>
        <w:rPr>
          <w:rFonts w:ascii="Arial" w:cs="Arial" w:eastAsia="Arial" w:hAnsi="Arial"/>
          <w:sz w:val="18"/>
          <w:szCs w:val="18"/>
          <w:color w:val="auto"/>
        </w:rPr>
        <w:t>. Gross profit for our Industrial Solutions segment increased $ 1.5 million, or 6%, to $25.6 million, or 16%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nine months ended December 28, 2025, from $24.1 million, or 16% of sales, in the same period a year ago. Gross profit increased as a result of the increase in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increased $14.3 million, or 18%, to $93.0 million, or 11% of sales, for the nine months ended December 28, 2025, from</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$78.7 million, or 11% of sales, in the same period a year ago. This included $16.0 million in added costs from the acquired businesses in our Water Treatment segment, partially offset by a year-over-year reduction of $7.2 million due to a fair value adjustment recorded to the Water Solutions earnout liability due to a change in projected estimates related to the earnout target. The primary components of the $16.0 million in costs related to acquired businesses were personnel and operating costs, $6.8 million of amortization of intangibles, $1.4 million of fair value accretion on the WaterSurplus earnout liability and $1.2 million of acquisition costs. In addition, a year-over-year increase of $0.9 million in compensation expense related to our non-qualified deferred compensation plan increased SG&amp;A expenses, with the offset in Other Income. SG&amp;A expenses also increased due to increases in other variable costs, including variable pay and personnel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Operating income increased $ 3.2 million, or 3%, to $97.8 million, or 12% of sales, for the nine months ended December 28, 2025, from $94.6 million, or 13% of sales, in the same period a year ago due to the combined impact of the factors discussed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Interest expense increased $ 6.6 million to $ 10.5 million for the nine months ended December 28, 2025, from $3.9 million in the same period a year ago. Interest expense increased due to increased borrowings in the current year, primarily to fund the acquisition of WaterSurplus.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Other income was $2.1 million for the nine months ended December 28, 2025 compared to $1.3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effective income tax rate was 26% for both the nine months ended December 28, 2025 and the same period a year ago. The effective tax rate is impacted by projected levels of annual taxable income, permanent items, and state taxes. Our effective tax rate for the full year is currently expected to be approximately 26% to 27%.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Cash was $8.2 million at December 28, 2025, an increase of $3.1 million as compared with the $5.1 million available as of March 30, 2025.</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provided by operating activities was $106.6 million for the nine months ended December 28, 2025, compared to cash provided by operating activities of $80.3 million in the same period a year ago. The year-over-year increase in cash provided by operating activities in the current period was primarily driven by favorable year-over-year changes in trade receivables and inventories compared to the same period a</w:t>
      </w:r>
    </w:p>
    <w:p>
      <w:pPr>
        <w:sectPr>
          <w:pgSz w:w="11900" w:h="16838" w:orient="portrait"/>
          <w:cols w:equalWidth="0" w:num="1">
            <w:col w:w="11240"/>
          </w:cols>
          <w:pgMar w:left="320" w:top="892" w:right="339" w:bottom="0" w:gutter="0" w:footer="0" w:header="0"/>
        </w:sectPr>
      </w:pPr>
    </w:p>
    <w:bookmarkStart w:id="22" w:name="page23"/>
    <w:bookmarkEnd w:id="22"/>
    <w:p>
      <w:pPr>
        <w:spacing w:after="0" w:line="70" w:lineRule="exact"/>
        <w:rPr>
          <w:sz w:val="20"/>
          <w:szCs w:val="20"/>
          <w:color w:val="auto"/>
        </w:rPr>
      </w:pPr>
    </w:p>
    <w:p>
      <w:pPr>
        <w:ind w:right="280"/>
        <w:spacing w:after="0" w:line="286" w:lineRule="auto"/>
        <w:rPr>
          <w:sz w:val="20"/>
          <w:szCs w:val="20"/>
          <w:color w:val="auto"/>
        </w:rPr>
      </w:pPr>
      <w:r>
        <w:rPr>
          <w:rFonts w:ascii="Arial" w:cs="Arial" w:eastAsia="Arial" w:hAnsi="Arial"/>
          <w:sz w:val="18"/>
          <w:szCs w:val="18"/>
          <w:color w:val="auto"/>
        </w:rPr>
        <w:t>year ago. Due to the nature of our operations, which includes purchases of large quantities of bulk chemicals, the timing of purchases can result in significant changes in working capital investment and the resulting operating cash flow.</w:t>
      </w:r>
    </w:p>
    <w:p>
      <w:pPr>
        <w:spacing w:after="0" w:line="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used in investing activities was $204.6 million for the nine months ended December 28, 2025, compared to $72.8 million in the same period a year ago. In the current period, we incurred acquisition spending of $ 167.1 million, including the acquisition of WaterSurplus for approximately $149.9 million paid at closing. Capital expenditures were $38.7 million for the current period, compared to $30.0 million in the same period a year ago. In the current period, we expended $4.2 million more for real estate and building expansions, contributing to the overall increase in capital expenditures compared to the prior year.</w:t>
      </w:r>
    </w:p>
    <w:p>
      <w:pPr>
        <w:spacing w:after="0" w:line="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Cash provided by financing activities was $101.1 million for the nine months ended December 28, 2025, compared to $6.3 million of cash used in financing activities in the same period a year ago. Included in financing activities in the current period were net debt borrowings of $115.0 million, compared to net debt borrowings of $15.0 million in the same period a year ago. We drew approximately $150 million of the proceeds from the Revolving Loan Facility for the acquisition of WaterSurplus. In addition, we repurchased no common stock in the current period, compared to $9.1 million in the same period of the prior year.</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and nine months ended December 28, 2025, we repurchased no shares of common stock. During the three months ended December 29, 2024, we repurchased no shares of common stock and during the nine months ended December 29, 2024, we repurchased 105,541 shares of common stock with an aggregate purchase price of $9.1 million. As of December 28, 2025, 731,544 shares remained available to be repurchased under the share repurchase program.</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$ 25.0 million swingline subfacility. The Revolving Loan Facility has a five-year maturity date, maturing on April 25, 2030. The Revolving Loan Facility is secured by substantially all of our personal property assets and those of our subsidiaries. We may</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use the amount available under the Revolving Loan Facility for working capital, capital expenditures, share repurchases, restricted payments and acquisitions permitted under the Credit Agreement, and other general corporate purposes.</w:t>
      </w:r>
    </w:p>
    <w:p>
      <w:pPr>
        <w:spacing w:after="0" w:line="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December 28, 2025, the effective interest rate on our borrowings was 4.8%.</w:t>
      </w:r>
    </w:p>
    <w:p>
      <w:pPr>
        <w:spacing w:after="0" w:line="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December 28, 2025, the unamortized balance of these costs was $0.8 million, and is reflected as a reduction of debt on our balance sheet.</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Agreement requires that we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permitted to make distributions, pay dividends and repurchase shares so long as no default or event of default exists or would exist as a result thereof. We were in compliance with all covenants of the Credit Agreement as of December 28, 2025 and expect to remain in compliance with all covenants for the next 12 months.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Credit Facility.</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in our critical accounting estimates, as disclosed in our </w:t>
      </w:r>
      <w:hyperlink r:id="rId19">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w:t>
      </w:r>
    </w:p>
    <w:p>
      <w:pPr>
        <w:sectPr>
          <w:pgSz w:w="11900" w:h="16908" w:orient="portrait"/>
          <w:cols w:equalWidth="0" w:num="1">
            <w:col w:w="11240"/>
          </w:cols>
          <w:pgMar w:left="320" w:top="121" w:right="339" w:bottom="0" w:gutter="0" w:footer="0" w:header="0"/>
        </w:sectPr>
      </w:pPr>
    </w:p>
    <w:bookmarkStart w:id="23" w:name="page24"/>
    <w:bookmarkEnd w:id="23"/>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19">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 We caution you not to place undue reliance on these forward-looking statements, which reflect our</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December 28, 2025, a 25-basis point change in interest rates on our unhedged variable-rate debt would potentially increase or decrease our annual interest expense by approximately $0.5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28, 2025.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2026 that has materially affected, or is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our risk factors from those disclosed in our </w:t>
      </w:r>
      <w:hyperlink r:id="rId19">
        <w:r>
          <w:rPr>
            <w:rFonts w:ascii="Arial" w:cs="Arial" w:eastAsia="Arial" w:hAnsi="Arial"/>
            <w:sz w:val="18"/>
            <w:szCs w:val="18"/>
            <w:u w:val="single" w:color="auto"/>
            <w:color w:val="0000FF"/>
          </w:rPr>
          <w:t>Annual Report on Form 10-K for fiscal 2025</w:t>
        </w:r>
      </w:hyperlink>
      <w:r>
        <w:rPr>
          <w:rFonts w:ascii="Arial" w:cs="Arial" w:eastAsia="Arial" w:hAnsi="Arial"/>
          <w:sz w:val="18"/>
          <w:szCs w:val="18"/>
          <w:color w:val="auto"/>
        </w:rPr>
        <w: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initially approved on May 29, 2014 and subsequently amended from time to time. The repurchase plan has no expiration date. The shares may be purchased on the open market or in privately negotiated transactions subject to applicable securities laws and regulations. We did not repurchase any shares of our common stock during the three months ended December 28, 2025. The following table sets forth information concerning purchases of our common stock for the three months ended December 28, 2025:</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320" w:type="dxa"/>
            <w:vAlign w:val="bottom"/>
          </w:tcPr>
          <w:p>
            <w:pPr>
              <w:spacing w:after="0"/>
              <w:rPr>
                <w:sz w:val="14"/>
                <w:szCs w:val="14"/>
                <w:color w:val="auto"/>
              </w:rPr>
            </w:pPr>
          </w:p>
        </w:tc>
        <w:tc>
          <w:tcPr>
            <w:tcW w:w="20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19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Purchased under Plans</w:t>
            </w:r>
          </w:p>
        </w:tc>
        <w:tc>
          <w:tcPr>
            <w:tcW w:w="0" w:type="dxa"/>
            <w:vAlign w:val="bottom"/>
          </w:tcPr>
          <w:p>
            <w:pPr>
              <w:spacing w:after="0"/>
              <w:rPr>
                <w:sz w:val="1"/>
                <w:szCs w:val="1"/>
                <w:color w:val="auto"/>
              </w:rPr>
            </w:pPr>
          </w:p>
        </w:tc>
      </w:tr>
      <w:tr>
        <w:trPr>
          <w:trHeight w:val="216"/>
        </w:trPr>
        <w:tc>
          <w:tcPr>
            <w:tcW w:w="2460" w:type="dxa"/>
            <w:vAlign w:val="bottom"/>
            <w:gridSpan w:val="2"/>
            <w:vMerge w:val="continue"/>
          </w:tcPr>
          <w:p>
            <w:pPr>
              <w:spacing w:after="0"/>
              <w:rPr>
                <w:sz w:val="18"/>
                <w:szCs w:val="18"/>
                <w:color w:val="auto"/>
              </w:rPr>
            </w:pPr>
          </w:p>
        </w:tc>
        <w:tc>
          <w:tcPr>
            <w:tcW w:w="1960" w:type="dxa"/>
            <w:vAlign w:val="bottom"/>
          </w:tcPr>
          <w:p>
            <w:pPr>
              <w:jc w:val="right"/>
              <w:ind w:right="493"/>
              <w:spacing w:after="0"/>
              <w:rPr>
                <w:sz w:val="20"/>
                <w:szCs w:val="20"/>
                <w:color w:val="auto"/>
              </w:rPr>
            </w:pPr>
            <w:r>
              <w:rPr>
                <w:rFonts w:ascii="Arial" w:cs="Arial" w:eastAsia="Arial" w:hAnsi="Arial"/>
                <w:sz w:val="16"/>
                <w:szCs w:val="16"/>
                <w:b w:val="1"/>
                <w:bCs w:val="1"/>
                <w:color w:val="auto"/>
              </w:rPr>
              <w:t>Purchased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Share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Plan or Program</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09/29/2025-10/26/2025</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10/27/2025-11/23/2025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11/24/2025-12/28/2025</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32"/>
        </w:trPr>
        <w:tc>
          <w:tcPr>
            <w:tcW w:w="24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three months ended December 28,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9"/>
        </w:trPr>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ITEM 6.</w:t>
            </w:r>
          </w:p>
        </w:tc>
        <w:tc>
          <w:tcPr>
            <w:tcW w:w="7540" w:type="dxa"/>
            <w:vAlign w:val="bottom"/>
            <w:gridSpan w:val="9"/>
          </w:tcPr>
          <w:p>
            <w:pPr>
              <w:ind w:left="80"/>
              <w:spacing w:after="0"/>
              <w:rPr>
                <w:sz w:val="20"/>
                <w:szCs w:val="20"/>
                <w:color w:val="auto"/>
              </w:rPr>
            </w:pPr>
            <w:r>
              <w:rPr>
                <w:rFonts w:ascii="Arial" w:cs="Arial" w:eastAsia="Arial" w:hAnsi="Arial"/>
                <w:sz w:val="18"/>
                <w:szCs w:val="18"/>
                <w:color w:val="auto"/>
              </w:rPr>
              <w:t>EXHIBITS</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20"/>
        </w:trPr>
        <w:tc>
          <w:tcPr>
            <w:tcW w:w="2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Exhibit</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760" w:type="dxa"/>
            <w:vAlign w:val="bottom"/>
            <w:gridSpan w:val="7"/>
          </w:tcPr>
          <w:p>
            <w:pPr>
              <w:ind w:left="460"/>
              <w:spacing w:after="0"/>
              <w:rPr>
                <w:sz w:val="20"/>
                <w:szCs w:val="20"/>
                <w:color w:val="auto"/>
              </w:rPr>
            </w:pPr>
            <w:r>
              <w:rPr>
                <w:rFonts w:ascii="Arial" w:cs="Arial" w:eastAsia="Arial" w:hAnsi="Arial"/>
                <w:sz w:val="18"/>
                <w:szCs w:val="18"/>
                <w:color w:val="auto"/>
              </w:rPr>
              <w:t>Description</w:t>
            </w:r>
          </w:p>
        </w:tc>
        <w:tc>
          <w:tcPr>
            <w:tcW w:w="236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Method of Filing</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440" w:type="dxa"/>
            <w:vAlign w:val="bottom"/>
            <w:gridSpan w:val="8"/>
          </w:tcPr>
          <w:p>
            <w:pPr>
              <w:spacing w:after="0"/>
              <w:rPr>
                <w:rFonts w:ascii="Arial" w:cs="Arial" w:eastAsia="Arial" w:hAnsi="Arial"/>
                <w:sz w:val="18"/>
                <w:szCs w:val="18"/>
                <w:color w:val="0000FF"/>
              </w:rPr>
            </w:pPr>
            <w:hyperlink r:id="rId37">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236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Incorporated by Reference</w:t>
            </w:r>
          </w:p>
        </w:tc>
      </w:tr>
      <w:tr>
        <w:trPr>
          <w:trHeight w:val="20"/>
        </w:trPr>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440" w:type="dxa"/>
            <w:vAlign w:val="bottom"/>
            <w:gridSpan w:val="8"/>
          </w:tcPr>
          <w:p>
            <w:pPr>
              <w:spacing w:after="0"/>
              <w:rPr>
                <w:rFonts w:ascii="Arial" w:cs="Arial" w:eastAsia="Arial" w:hAnsi="Arial"/>
                <w:sz w:val="18"/>
                <w:szCs w:val="18"/>
                <w:color w:val="0000FF"/>
              </w:rPr>
            </w:pPr>
            <w:hyperlink r:id="rId38">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36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Incorporated by Reference</w:t>
            </w:r>
          </w:p>
        </w:tc>
      </w:tr>
      <w:tr>
        <w:trPr>
          <w:trHeight w:val="20"/>
        </w:trPr>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440" w:type="dxa"/>
            <w:vAlign w:val="bottom"/>
            <w:gridSpan w:val="8"/>
          </w:tcPr>
          <w:p>
            <w:pPr>
              <w:spacing w:after="0"/>
              <w:rPr>
                <w:sz w:val="20"/>
                <w:szCs w:val="20"/>
                <w:color w:val="auto"/>
              </w:rPr>
            </w:pPr>
            <w:r>
              <w:rPr>
                <w:rFonts w:ascii="Arial" w:cs="Arial" w:eastAsia="Arial" w:hAnsi="Arial"/>
                <w:sz w:val="18"/>
                <w:szCs w:val="18"/>
                <w:color w:val="0000FF"/>
              </w:rPr>
              <w:t>Certification by Chief Executive Officer pursuant to Rule 13a-14(a) of the Exchange Act.</w:t>
            </w:r>
          </w:p>
        </w:tc>
        <w:tc>
          <w:tcPr>
            <w:tcW w:w="236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69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Certification by Chief Financial Officer pursuant to Rule 13a-14(a) of the Exchange Act.</w:t>
            </w:r>
          </w:p>
        </w:tc>
        <w:tc>
          <w:tcPr>
            <w:tcW w:w="480" w:type="dxa"/>
            <w:vAlign w:val="bottom"/>
          </w:tcPr>
          <w:p>
            <w:pPr>
              <w:spacing w:after="0"/>
              <w:rPr>
                <w:sz w:val="18"/>
                <w:szCs w:val="18"/>
                <w:color w:val="auto"/>
              </w:rPr>
            </w:pPr>
          </w:p>
        </w:tc>
        <w:tc>
          <w:tcPr>
            <w:tcW w:w="236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42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9"/>
              </w:rPr>
              <w:t>Section 1350 Certification by Chief Executive Officer.</w:t>
            </w:r>
          </w:p>
        </w:tc>
        <w:tc>
          <w:tcPr>
            <w:tcW w:w="2700" w:type="dxa"/>
            <w:vAlign w:val="bottom"/>
            <w:tcBorders>
              <w:top w:val="single" w:sz="8" w:color="0000FF"/>
            </w:tcBorders>
          </w:tcPr>
          <w:p>
            <w:pPr>
              <w:spacing w:after="0"/>
              <w:rPr>
                <w:sz w:val="18"/>
                <w:szCs w:val="18"/>
                <w:color w:val="auto"/>
              </w:rPr>
            </w:pPr>
          </w:p>
        </w:tc>
        <w:tc>
          <w:tcPr>
            <w:tcW w:w="540" w:type="dxa"/>
            <w:vAlign w:val="bottom"/>
            <w:gridSpan w:val="2"/>
          </w:tcPr>
          <w:p>
            <w:pPr>
              <w:spacing w:after="0"/>
              <w:rPr>
                <w:sz w:val="18"/>
                <w:szCs w:val="18"/>
                <w:color w:val="auto"/>
              </w:rPr>
            </w:pPr>
          </w:p>
        </w:tc>
        <w:tc>
          <w:tcPr>
            <w:tcW w:w="236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4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Section 1350 Certification by Chief Financial Officer.</w:t>
            </w:r>
          </w:p>
        </w:tc>
        <w:tc>
          <w:tcPr>
            <w:tcW w:w="3300" w:type="dxa"/>
            <w:vAlign w:val="bottom"/>
            <w:gridSpan w:val="4"/>
          </w:tcPr>
          <w:p>
            <w:pPr>
              <w:spacing w:after="0"/>
              <w:rPr>
                <w:sz w:val="18"/>
                <w:szCs w:val="18"/>
                <w:color w:val="auto"/>
              </w:rPr>
            </w:pPr>
          </w:p>
        </w:tc>
        <w:tc>
          <w:tcPr>
            <w:tcW w:w="236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Filed Electronically</w:t>
            </w:r>
          </w:p>
        </w:tc>
      </w:tr>
      <w:tr>
        <w:trPr>
          <w:trHeight w:val="196"/>
        </w:trPr>
        <w:tc>
          <w:tcPr>
            <w:tcW w:w="96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7440" w:type="dxa"/>
            <w:vAlign w:val="bottom"/>
            <w:gridSpan w:val="8"/>
          </w:tcPr>
          <w:p>
            <w:pPr>
              <w:spacing w:after="0" w:line="196" w:lineRule="exact"/>
              <w:rPr>
                <w:sz w:val="20"/>
                <w:szCs w:val="20"/>
                <w:color w:val="auto"/>
              </w:rPr>
            </w:pPr>
            <w:r>
              <w:rPr>
                <w:rFonts w:ascii="Arial" w:cs="Arial" w:eastAsia="Arial" w:hAnsi="Arial"/>
                <w:sz w:val="18"/>
                <w:szCs w:val="18"/>
                <w:color w:val="auto"/>
              </w:rPr>
              <w:t>Financial statements from the Quarterly Report on Form 10-Q of Hawkins, Inc. for the</w:t>
            </w:r>
          </w:p>
        </w:tc>
        <w:tc>
          <w:tcPr>
            <w:tcW w:w="2360" w:type="dxa"/>
            <w:vAlign w:val="bottom"/>
            <w:gridSpan w:val="3"/>
          </w:tcPr>
          <w:p>
            <w:pPr>
              <w:jc w:val="center"/>
              <w:ind w:left="170"/>
              <w:spacing w:after="0" w:line="196" w:lineRule="exact"/>
              <w:rPr>
                <w:sz w:val="20"/>
                <w:szCs w:val="20"/>
                <w:color w:val="auto"/>
              </w:rPr>
            </w:pPr>
            <w:r>
              <w:rPr>
                <w:rFonts w:ascii="Arial" w:cs="Arial" w:eastAsia="Arial" w:hAnsi="Arial"/>
                <w:sz w:val="18"/>
                <w:szCs w:val="18"/>
                <w:color w:val="auto"/>
                <w:w w:val="99"/>
              </w:rPr>
              <w:t>Filed Electronically</w:t>
            </w: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3" w:lineRule="exact"/>
              <w:rPr>
                <w:sz w:val="20"/>
                <w:szCs w:val="20"/>
                <w:color w:val="auto"/>
              </w:rPr>
            </w:pPr>
            <w:r>
              <w:rPr>
                <w:rFonts w:ascii="Arial" w:cs="Arial" w:eastAsia="Arial" w:hAnsi="Arial"/>
                <w:sz w:val="18"/>
                <w:szCs w:val="18"/>
                <w:color w:val="auto"/>
              </w:rPr>
              <w:t>period ended December 28, 2025 filed with the SEC on January 28, 2026 formatted in</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1" w:lineRule="exact"/>
              <w:rPr>
                <w:sz w:val="20"/>
                <w:szCs w:val="20"/>
                <w:color w:val="auto"/>
              </w:rPr>
            </w:pPr>
            <w:r>
              <w:rPr>
                <w:rFonts w:ascii="Arial" w:cs="Arial" w:eastAsia="Arial" w:hAnsi="Arial"/>
                <w:sz w:val="18"/>
                <w:szCs w:val="18"/>
                <w:color w:val="auto"/>
              </w:rPr>
              <w:t>Inline Extensible Business Reporting Language (iXBRL); (i) the Condensed Consolidated</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76" w:lineRule="exact"/>
              <w:rPr>
                <w:sz w:val="20"/>
                <w:szCs w:val="20"/>
                <w:color w:val="auto"/>
              </w:rPr>
            </w:pPr>
            <w:r>
              <w:rPr>
                <w:rFonts w:ascii="Arial" w:cs="Arial" w:eastAsia="Arial" w:hAnsi="Arial"/>
                <w:sz w:val="18"/>
                <w:szCs w:val="18"/>
                <w:color w:val="auto"/>
              </w:rPr>
              <w:t>Balance Sheets at December 28, 2025 and March 30, 2025, (ii) the Condensed</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3" w:lineRule="exact"/>
              <w:rPr>
                <w:sz w:val="20"/>
                <w:szCs w:val="20"/>
                <w:color w:val="auto"/>
              </w:rPr>
            </w:pPr>
            <w:r>
              <w:rPr>
                <w:rFonts w:ascii="Arial" w:cs="Arial" w:eastAsia="Arial" w:hAnsi="Arial"/>
                <w:sz w:val="18"/>
                <w:szCs w:val="18"/>
                <w:color w:val="auto"/>
              </w:rPr>
              <w:t>Consolidated Statements of Income for the three and nine months ended December 28,</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1" w:lineRule="exact"/>
              <w:rPr>
                <w:sz w:val="20"/>
                <w:szCs w:val="20"/>
                <w:color w:val="auto"/>
              </w:rPr>
            </w:pPr>
            <w:r>
              <w:rPr>
                <w:rFonts w:ascii="Arial" w:cs="Arial" w:eastAsia="Arial" w:hAnsi="Arial"/>
                <w:sz w:val="18"/>
                <w:szCs w:val="18"/>
                <w:color w:val="auto"/>
              </w:rPr>
              <w:t>2025 and December 29, 2024, (iii) the Condensed Consolidated Statements of</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76" w:lineRule="exact"/>
              <w:rPr>
                <w:sz w:val="20"/>
                <w:szCs w:val="20"/>
                <w:color w:val="auto"/>
              </w:rPr>
            </w:pPr>
            <w:r>
              <w:rPr>
                <w:rFonts w:ascii="Arial" w:cs="Arial" w:eastAsia="Arial" w:hAnsi="Arial"/>
                <w:sz w:val="18"/>
                <w:szCs w:val="18"/>
                <w:color w:val="auto"/>
              </w:rPr>
              <w:t>Comprehensive Income for the three and nine months ended December 28, 2025 and</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3" w:lineRule="exact"/>
              <w:rPr>
                <w:sz w:val="20"/>
                <w:szCs w:val="20"/>
                <w:color w:val="auto"/>
              </w:rPr>
            </w:pPr>
            <w:r>
              <w:rPr>
                <w:rFonts w:ascii="Arial" w:cs="Arial" w:eastAsia="Arial" w:hAnsi="Arial"/>
                <w:sz w:val="18"/>
                <w:szCs w:val="18"/>
                <w:color w:val="auto"/>
              </w:rPr>
              <w:t>December 29, 2024, (iv) the Condensed Consolidated Statements of Shareholder's Equity</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1"/>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1" w:lineRule="exact"/>
              <w:rPr>
                <w:sz w:val="20"/>
                <w:szCs w:val="20"/>
                <w:color w:val="auto"/>
              </w:rPr>
            </w:pPr>
            <w:r>
              <w:rPr>
                <w:rFonts w:ascii="Arial" w:cs="Arial" w:eastAsia="Arial" w:hAnsi="Arial"/>
                <w:sz w:val="18"/>
                <w:szCs w:val="18"/>
                <w:color w:val="auto"/>
              </w:rPr>
              <w:t>for the three and nine months ended December 28, 2025 and December 29, 2024, (v) the</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76" w:lineRule="exact"/>
              <w:rPr>
                <w:sz w:val="20"/>
                <w:szCs w:val="20"/>
                <w:color w:val="auto"/>
              </w:rPr>
            </w:pPr>
            <w:r>
              <w:rPr>
                <w:rFonts w:ascii="Arial" w:cs="Arial" w:eastAsia="Arial" w:hAnsi="Arial"/>
                <w:sz w:val="18"/>
                <w:szCs w:val="18"/>
                <w:color w:val="auto"/>
              </w:rPr>
              <w:t>Condensed Consolidated Statements of Cash Flows for the nine months ended December</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8"/>
          </w:tcPr>
          <w:p>
            <w:pPr>
              <w:spacing w:after="0" w:line="183" w:lineRule="exact"/>
              <w:rPr>
                <w:sz w:val="20"/>
                <w:szCs w:val="20"/>
                <w:color w:val="auto"/>
              </w:rPr>
            </w:pPr>
            <w:r>
              <w:rPr>
                <w:rFonts w:ascii="Arial" w:cs="Arial" w:eastAsia="Arial" w:hAnsi="Arial"/>
                <w:sz w:val="18"/>
                <w:szCs w:val="18"/>
                <w:color w:val="auto"/>
              </w:rPr>
              <w:t>28, 2025 and December 29, 2024, (vi) Notes to Condensed Consolidated Financial</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40" w:type="dxa"/>
            <w:vAlign w:val="bottom"/>
            <w:gridSpan w:val="8"/>
          </w:tcPr>
          <w:p>
            <w:pPr>
              <w:spacing w:after="0"/>
              <w:rPr>
                <w:sz w:val="20"/>
                <w:szCs w:val="20"/>
                <w:color w:val="auto"/>
              </w:rPr>
            </w:pPr>
            <w:r>
              <w:rPr>
                <w:rFonts w:ascii="Arial" w:cs="Arial" w:eastAsia="Arial" w:hAnsi="Arial"/>
                <w:sz w:val="18"/>
                <w:szCs w:val="18"/>
                <w:color w:val="auto"/>
              </w:rPr>
              <w:t>Statements and (vii) the information set forth in Part II, Item 5.</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9"/>
        </w:trPr>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744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60" w:type="dxa"/>
            <w:vAlign w:val="bottom"/>
            <w:gridSpan w:val="3"/>
          </w:tcPr>
          <w:p>
            <w:pPr>
              <w:jc w:val="center"/>
              <w:ind w:left="170"/>
              <w:spacing w:after="0"/>
              <w:rPr>
                <w:sz w:val="20"/>
                <w:szCs w:val="20"/>
                <w:color w:val="auto"/>
              </w:rPr>
            </w:pPr>
            <w:r>
              <w:rPr>
                <w:rFonts w:ascii="Arial" w:cs="Arial" w:eastAsia="Arial" w:hAnsi="Arial"/>
                <w:sz w:val="18"/>
                <w:szCs w:val="18"/>
                <w:color w:val="auto"/>
                <w:w w:val="99"/>
              </w:rPr>
              <w:t>Filed Electronically</w:t>
            </w:r>
          </w:p>
        </w:tc>
      </w:tr>
    </w:tbl>
    <w:p>
      <w:pPr>
        <w:spacing w:after="0" w:line="180" w:lineRule="exact"/>
        <w:rPr>
          <w:sz w:val="20"/>
          <w:szCs w:val="20"/>
          <w:color w:val="auto"/>
        </w:rPr>
      </w:pPr>
    </w:p>
    <w:p>
      <w:pPr>
        <w:ind w:left="600" w:hanging="349"/>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3.2 to our Current Report on Form 8-K dated February 26, 2021 and filed March 2, 2021.</w:t>
      </w:r>
    </w:p>
    <w:p>
      <w:pPr>
        <w:spacing w:after="0" w:line="117" w:lineRule="exact"/>
        <w:rPr>
          <w:rFonts w:ascii="Arial" w:cs="Arial" w:eastAsia="Arial" w:hAnsi="Arial"/>
          <w:sz w:val="18"/>
          <w:szCs w:val="18"/>
          <w:color w:val="auto"/>
        </w:rPr>
      </w:pPr>
    </w:p>
    <w:p>
      <w:pPr>
        <w:ind w:left="600" w:hanging="349"/>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our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90" w:right="71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p>
      <w:pPr>
        <w:ind w:left="80"/>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17780</wp:posOffset>
            </wp:positionV>
            <wp:extent cx="3265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Jeffrey P. Oldenkamp</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Executive Vice President and Chief Financial Officer</w:t>
      </w:r>
    </w:p>
    <w:p>
      <w:pPr>
        <w:ind w:left="1000"/>
        <w:spacing w:after="0"/>
        <w:rPr>
          <w:sz w:val="20"/>
          <w:szCs w:val="20"/>
          <w:color w:val="auto"/>
        </w:rPr>
      </w:pPr>
      <w:r>
        <w:rPr>
          <w:rFonts w:ascii="Arial" w:cs="Arial" w:eastAsia="Arial" w:hAnsi="Arial"/>
          <w:sz w:val="18"/>
          <w:szCs w:val="18"/>
          <w:color w:val="auto"/>
        </w:rPr>
        <w:t>(On behalf of the registrant as a duly authorized officer and as</w:t>
      </w:r>
    </w:p>
    <w:p>
      <w:pPr>
        <w:ind w:left="1840"/>
        <w:spacing w:after="0"/>
        <w:rPr>
          <w:sz w:val="20"/>
          <w:szCs w:val="20"/>
          <w:color w:val="auto"/>
        </w:rPr>
      </w:pPr>
      <w:r>
        <w:rPr>
          <w:rFonts w:ascii="Arial" w:cs="Arial" w:eastAsia="Arial" w:hAnsi="Arial"/>
          <w:sz w:val="18"/>
          <w:szCs w:val="18"/>
          <w:color w:val="auto"/>
        </w:rPr>
        <w:t>principal financial and accounting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2026</w:t>
      </w:r>
    </w:p>
    <w:p>
      <w:pPr>
        <w:sectPr>
          <w:pgSz w:w="11900" w:h="16838" w:orient="portrait"/>
          <w:cols w:equalWidth="0" w:num="1">
            <w:col w:w="11120"/>
          </w:cols>
          <w:pgMar w:left="320" w:top="890"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3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300" w:right="300" w:hanging="320"/>
        <w:spacing w:after="0" w:line="268" w:lineRule="auto"/>
        <w:tabs>
          <w:tab w:leader="none" w:pos="131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3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800" w:hanging="320"/>
        <w:spacing w:after="0" w:line="287"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2026</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17780</wp:posOffset>
            </wp:positionV>
            <wp:extent cx="3420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31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1300" w:right="300" w:hanging="644"/>
        <w:spacing w:after="0" w:line="268" w:lineRule="auto"/>
        <w:tabs>
          <w:tab w:leader="none" w:pos="131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1300" w:right="60" w:hanging="644"/>
        <w:spacing w:after="0" w:line="268"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jc w:val="both"/>
        <w:ind w:left="1300" w:right="440" w:hanging="644"/>
        <w:spacing w:after="0" w:line="268" w:lineRule="auto"/>
        <w:tabs>
          <w:tab w:leader="none" w:pos="131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1300" w:right="800" w:hanging="644"/>
        <w:spacing w:after="0" w:line="287" w:lineRule="auto"/>
        <w:tabs>
          <w:tab w:leader="none" w:pos="129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2026</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17780</wp:posOffset>
            </wp:positionV>
            <wp:extent cx="3326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28, 2025,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73" w:lineRule="auto"/>
        <w:tabs>
          <w:tab w:leader="none" w:pos="7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rFonts w:ascii="Arial" w:cs="Arial" w:eastAsia="Arial" w:hAnsi="Arial"/>
          <w:sz w:val="18"/>
          <w:szCs w:val="18"/>
          <w:color w:val="auto"/>
        </w:rPr>
      </w:pPr>
    </w:p>
    <w:p>
      <w:pPr>
        <w:ind w:left="80" w:right="9420"/>
        <w:spacing w:after="0" w:line="295" w:lineRule="auto"/>
        <w:rPr>
          <w:rFonts w:ascii="Arial" w:cs="Arial" w:eastAsia="Arial" w:hAnsi="Arial"/>
          <w:sz w:val="18"/>
          <w:szCs w:val="18"/>
          <w:color w:val="auto"/>
        </w:rPr>
      </w:pPr>
      <w:r>
        <w:rPr>
          <w:rFonts w:ascii="Arial" w:cs="Arial" w:eastAsia="Arial" w:hAnsi="Arial"/>
          <w:sz w:val="17"/>
          <w:szCs w:val="17"/>
          <w:color w:val="auto"/>
        </w:rPr>
        <w:t>/s/ Patrick H. Hawkins Patrick H. Hawkins</w:t>
      </w:r>
    </w:p>
    <w:p>
      <w:pPr>
        <w:spacing w:after="0" w:line="1" w:lineRule="exact"/>
        <w:rPr>
          <w:rFonts w:ascii="Arial" w:cs="Arial" w:eastAsia="Arial" w:hAnsi="Arial"/>
          <w:sz w:val="18"/>
          <w:szCs w:val="18"/>
          <w:color w:val="auto"/>
        </w:rPr>
      </w:pPr>
    </w:p>
    <w:p>
      <w:pPr>
        <w:ind w:left="80" w:right="8180"/>
        <w:spacing w:after="0" w:line="292" w:lineRule="auto"/>
        <w:rPr>
          <w:rFonts w:ascii="Arial" w:cs="Arial" w:eastAsia="Arial" w:hAnsi="Arial"/>
          <w:sz w:val="18"/>
          <w:szCs w:val="18"/>
          <w:color w:val="auto"/>
        </w:rPr>
      </w:pPr>
      <w:r>
        <w:rPr>
          <w:rFonts w:ascii="Arial" w:cs="Arial" w:eastAsia="Arial" w:hAnsi="Arial"/>
          <w:sz w:val="18"/>
          <w:szCs w:val="18"/>
          <w:color w:val="auto"/>
        </w:rPr>
        <w:t>Chief Executive Officer and President January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-476250</wp:posOffset>
            </wp:positionV>
            <wp:extent cx="2588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28, 2025,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73"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 w:lineRule="exact"/>
        <w:rPr>
          <w:rFonts w:ascii="Arial" w:cs="Arial" w:eastAsia="Arial" w:hAnsi="Arial"/>
          <w:sz w:val="18"/>
          <w:szCs w:val="18"/>
          <w:color w:val="auto"/>
        </w:rPr>
      </w:pPr>
    </w:p>
    <w:p>
      <w:pPr>
        <w:ind w:left="80" w:right="9220"/>
        <w:spacing w:after="0" w:line="295" w:lineRule="auto"/>
        <w:rPr>
          <w:rFonts w:ascii="Arial" w:cs="Arial" w:eastAsia="Arial" w:hAnsi="Arial"/>
          <w:sz w:val="18"/>
          <w:szCs w:val="18"/>
          <w:color w:val="auto"/>
        </w:rPr>
      </w:pPr>
      <w:r>
        <w:rPr>
          <w:rFonts w:ascii="Arial" w:cs="Arial" w:eastAsia="Arial" w:hAnsi="Arial"/>
          <w:sz w:val="17"/>
          <w:szCs w:val="17"/>
          <w:color w:val="auto"/>
        </w:rPr>
        <w:t>/s/ Jeffrey P. Oldenkamp Jeffrey P. Oldenkamp</w:t>
      </w:r>
    </w:p>
    <w:p>
      <w:pPr>
        <w:spacing w:after="0" w:line="1" w:lineRule="exact"/>
        <w:rPr>
          <w:rFonts w:ascii="Arial" w:cs="Arial" w:eastAsia="Arial" w:hAnsi="Arial"/>
          <w:sz w:val="18"/>
          <w:szCs w:val="18"/>
          <w:color w:val="auto"/>
        </w:rPr>
      </w:pPr>
    </w:p>
    <w:p>
      <w:pPr>
        <w:ind w:left="80" w:right="7020"/>
        <w:spacing w:after="0" w:line="292"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January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-476250</wp:posOffset>
            </wp:positionV>
            <wp:extent cx="3257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19" Type="http://schemas.openxmlformats.org/officeDocument/2006/relationships/hyperlink" Target="https://www.sec.gov/ix?doc=/Archives/edgar/data/46250/000004625025000025/hwkn-20250330.htm" TargetMode="External"/><Relationship Id="rId37" Type="http://schemas.openxmlformats.org/officeDocument/2006/relationships/hyperlink" Target="https://www.sec.gov/Archives/edgar/data/46250/000004625021000012/exhibit32.htm" TargetMode="External"/><Relationship Id="rId38" Type="http://schemas.openxmlformats.org/officeDocument/2006/relationships/hyperlink" Target="https://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2026-01-28T15:57:27Z</dcterms:created>
  <dcterms:modified xsi:type="dcterms:W3CDTF">2026-01-28T15:57:27Z</dcterms:modified>
</cp:coreProperties>
</file>