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 INFORMATION</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Exchange Act of 1934</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20" w:right="4100" w:firstLine="6"/>
        <w:spacing w:after="0" w:line="274" w:lineRule="exact"/>
        <w:tabs>
          <w:tab w:leader="none" w:pos="69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74"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96" w:lineRule="exact"/>
        <w:rPr>
          <w:sz w:val="24"/>
          <w:szCs w:val="24"/>
          <w:color w:val="auto"/>
        </w:rPr>
      </w:pPr>
    </w:p>
    <w:p>
      <w:pPr>
        <w:ind w:left="4900"/>
        <w:spacing w:after="0"/>
        <w:rPr>
          <w:sz w:val="20"/>
          <w:szCs w:val="20"/>
          <w:color w:val="auto"/>
        </w:rPr>
      </w:pPr>
      <w:r>
        <w:rPr>
          <w:rFonts w:ascii="Arial" w:cs="Arial" w:eastAsia="Arial" w:hAnsi="Arial"/>
          <w:sz w:val="29"/>
          <w:szCs w:val="29"/>
          <w:b w:val="1"/>
          <w:bCs w:val="1"/>
          <w:u w:val="single" w:color="auto"/>
          <w:color w:val="auto"/>
        </w:rPr>
        <w:t>HAWKINS,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90"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9"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49" w:lineRule="exact"/>
        <w:rPr>
          <w:rFonts w:ascii="MS PGothic" w:cs="MS PGothic" w:eastAsia="MS PGothic" w:hAnsi="MS PGothic"/>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49"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1480" w:right="580" w:hanging="914"/>
        <w:spacing w:after="0" w:line="246"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03" w:lineRule="exact"/>
        <w:rPr>
          <w:rFonts w:ascii="Arial" w:cs="Arial" w:eastAsia="Arial" w:hAnsi="Arial"/>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560" w:hanging="534"/>
        <w:spacing w:after="0" w:line="274" w:lineRule="auto"/>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 w:lineRule="exact"/>
        <w:rPr>
          <w:rFonts w:ascii="MS PGothic" w:cs="MS PGothic" w:eastAsia="MS PGothic" w:hAnsi="MS PGothic"/>
          <w:sz w:val="17"/>
          <w:szCs w:val="17"/>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49"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49"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49"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20"/>
          </w:cols>
          <w:pgMar w:left="320" w:top="987"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637540</wp:posOffset>
            </wp:positionV>
            <wp:extent cx="185991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599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HAWKINS,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2381 Rosegate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 55113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July 30,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Annual Meeting of Shareholders of Hawkins, Inc. will be held on Thursday, July 30, 2020, at 8:00 a.m., Central Time. The meeting will be completely virtual, incorporating technology designed to increase efficiency, allow for social distancing and provide greater opportunity for shareholder participation. In addition to on-line attendance, shareholders have an opportunity to hear all portions of the official meeting, submit written questions during the meeting, vote on-line during the open poll portion of the meeting, and listen to live responses to shareholder questions immediately following the formal meeting.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You may attend the meeting, vote your shares, and submit questions electronically during the meeting via live webcast by logging in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www.virtualshareholdermeeting.com/HWKN2020</w:t>
      </w:r>
      <w:r>
        <w:rPr>
          <w:rFonts w:ascii="Arial" w:cs="Arial" w:eastAsia="Arial" w:hAnsi="Arial"/>
          <w:sz w:val="18"/>
          <w:szCs w:val="18"/>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31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83" w:lineRule="exact"/>
        <w:rPr>
          <w:sz w:val="20"/>
          <w:szCs w:val="20"/>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w:t>
      </w:r>
    </w:p>
    <w:p>
      <w:pPr>
        <w:spacing w:after="0" w:line="103" w:lineRule="exact"/>
        <w:rPr>
          <w:rFonts w:ascii="Arial" w:cs="Arial" w:eastAsia="Arial" w:hAnsi="Arial"/>
          <w:sz w:val="18"/>
          <w:szCs w:val="18"/>
          <w:color w:val="auto"/>
        </w:rPr>
      </w:pPr>
    </w:p>
    <w:p>
      <w:pPr>
        <w:ind w:left="500" w:right="160" w:hanging="168"/>
        <w:spacing w:after="0" w:line="261"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executive officers as disclosed in the attached proxy statement, or a “say-on-pay” vote.</w:t>
      </w:r>
    </w:p>
    <w:p>
      <w:pPr>
        <w:spacing w:after="0" w:line="76" w:lineRule="exact"/>
        <w:rPr>
          <w:rFonts w:ascii="Arial" w:cs="Arial" w:eastAsia="Arial" w:hAnsi="Arial"/>
          <w:sz w:val="18"/>
          <w:szCs w:val="18"/>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49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Board of Directors has fixed the close of business on June 5, 2020 as the record date for determining the shareholders entitled to vote at the Annual Meeting. Accordingly, only shareholders of record at the close of business on that date will be entitled to vote. Our transfer books will not be closed.</w:t>
      </w:r>
    </w:p>
    <w:p>
      <w:pPr>
        <w:spacing w:after="0" w:line="33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23495</wp:posOffset>
            </wp:positionV>
            <wp:extent cx="1885950"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26, 2020</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IMPORTANT: To assure the necessary representation at the Annual Meeting, you are urged to VOTE YOUR SHARES PROMPTLY to save the company the expense of additional solicitation. You may revoke your proxy at any time prior to the Annual Meeting, and returning your proxy will not affect your right to vote by attending the virtual Annual Meeting via the website identified above.</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Page</w:t>
            </w:r>
          </w:p>
        </w:tc>
      </w:tr>
      <w:tr>
        <w:trPr>
          <w:trHeight w:val="290"/>
        </w:trPr>
        <w:tc>
          <w:tcPr>
            <w:tcW w:w="8940" w:type="dxa"/>
            <w:vAlign w:val="bottom"/>
          </w:tcPr>
          <w:p>
            <w:pPr>
              <w:spacing w:after="0"/>
              <w:rPr>
                <w:sz w:val="20"/>
                <w:szCs w:val="20"/>
                <w:color w:val="auto"/>
              </w:rPr>
            </w:pPr>
            <w:r>
              <w:rPr>
                <w:rFonts w:ascii="Arial" w:cs="Arial" w:eastAsia="Arial" w:hAnsi="Arial"/>
                <w:sz w:val="18"/>
                <w:szCs w:val="18"/>
                <w:b w:val="1"/>
                <w:bCs w:val="1"/>
                <w:color w:val="auto"/>
              </w:rPr>
              <w:t>Proxy Statement</w:t>
            </w:r>
          </w:p>
        </w:tc>
        <w:tc>
          <w:tcPr>
            <w:tcW w:w="42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About the Meeting</w:t>
            </w:r>
          </w:p>
        </w:tc>
        <w:tc>
          <w:tcPr>
            <w:tcW w:w="42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Proposal One – Election of Directors</w:t>
            </w:r>
          </w:p>
        </w:tc>
        <w:tc>
          <w:tcPr>
            <w:tcW w:w="42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4</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42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6</w:t>
              </w:r>
            </w:hyperlink>
          </w:p>
        </w:tc>
      </w:tr>
      <w:tr>
        <w:trPr>
          <w:trHeight w:val="256"/>
        </w:trPr>
        <w:tc>
          <w:tcPr>
            <w:tcW w:w="8940" w:type="dxa"/>
            <w:vAlign w:val="bottom"/>
          </w:tcPr>
          <w:p>
            <w:pPr>
              <w:spacing w:after="0"/>
              <w:rPr>
                <w:sz w:val="20"/>
                <w:szCs w:val="20"/>
                <w:color w:val="auto"/>
              </w:rPr>
            </w:pPr>
            <w:r>
              <w:rPr>
                <w:rFonts w:ascii="Arial" w:cs="Arial" w:eastAsia="Arial" w:hAnsi="Arial"/>
                <w:sz w:val="18"/>
                <w:szCs w:val="18"/>
                <w:b w:val="1"/>
                <w:bCs w:val="1"/>
                <w:color w:val="auto"/>
              </w:rPr>
              <w:t>Environmental, Social and Governance Principles</w:t>
            </w:r>
          </w:p>
        </w:tc>
        <w:tc>
          <w:tcPr>
            <w:tcW w:w="42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9</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420" w:type="dxa"/>
            <w:vAlign w:val="bottom"/>
          </w:tcPr>
          <w:p>
            <w:pPr>
              <w:jc w:val="center"/>
              <w:spacing w:after="0"/>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10</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420" w:type="dxa"/>
            <w:vAlign w:val="bottom"/>
          </w:tcPr>
          <w:p>
            <w:pPr>
              <w:jc w:val="center"/>
              <w:spacing w:after="0"/>
              <w:rPr>
                <w:rFonts w:ascii="Arial" w:cs="Arial" w:eastAsia="Arial" w:hAnsi="Arial"/>
                <w:sz w:val="18"/>
                <w:szCs w:val="18"/>
                <w:u w:val="single" w:color="auto"/>
                <w:color w:val="0000FF"/>
                <w:w w:val="89"/>
              </w:rPr>
            </w:pPr>
            <w:hyperlink w:anchor="page14">
              <w:r>
                <w:rPr>
                  <w:rFonts w:ascii="Arial" w:cs="Arial" w:eastAsia="Arial" w:hAnsi="Arial"/>
                  <w:sz w:val="18"/>
                  <w:szCs w:val="18"/>
                  <w:u w:val="single" w:color="auto"/>
                  <w:color w:val="0000FF"/>
                  <w:w w:val="89"/>
                </w:rPr>
                <w:t>11</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Compensation Discussion and Analysis</w:t>
            </w:r>
          </w:p>
        </w:tc>
        <w:tc>
          <w:tcPr>
            <w:tcW w:w="420" w:type="dxa"/>
            <w:vAlign w:val="bottom"/>
          </w:tcPr>
          <w:p>
            <w:pPr>
              <w:jc w:val="center"/>
              <w:spacing w:after="0"/>
              <w:rPr>
                <w:rFonts w:ascii="Arial" w:cs="Arial" w:eastAsia="Arial" w:hAnsi="Arial"/>
                <w:sz w:val="18"/>
                <w:szCs w:val="18"/>
                <w:u w:val="single" w:color="auto"/>
                <w:color w:val="0000FF"/>
                <w:w w:val="89"/>
              </w:rPr>
            </w:pPr>
            <w:hyperlink w:anchor="page14">
              <w:r>
                <w:rPr>
                  <w:rFonts w:ascii="Arial" w:cs="Arial" w:eastAsia="Arial" w:hAnsi="Arial"/>
                  <w:sz w:val="18"/>
                  <w:szCs w:val="18"/>
                  <w:u w:val="single" w:color="auto"/>
                  <w:color w:val="0000FF"/>
                  <w:w w:val="89"/>
                </w:rPr>
                <w:t>11</w:t>
              </w:r>
            </w:hyperlink>
          </w:p>
        </w:tc>
      </w:tr>
      <w:tr>
        <w:trPr>
          <w:trHeight w:val="256"/>
        </w:trPr>
        <w:tc>
          <w:tcPr>
            <w:tcW w:w="8940" w:type="dxa"/>
            <w:vAlign w:val="bottom"/>
          </w:tcPr>
          <w:p>
            <w:pPr>
              <w:ind w:left="340"/>
              <w:spacing w:after="0"/>
              <w:rPr>
                <w:sz w:val="20"/>
                <w:szCs w:val="20"/>
                <w:color w:val="auto"/>
              </w:rPr>
            </w:pPr>
            <w:r>
              <w:rPr>
                <w:rFonts w:ascii="Arial" w:cs="Arial" w:eastAsia="Arial" w:hAnsi="Arial"/>
                <w:sz w:val="18"/>
                <w:szCs w:val="18"/>
                <w:color w:val="auto"/>
              </w:rPr>
              <w:t>Compensation Committee Report</w:t>
            </w:r>
          </w:p>
        </w:tc>
        <w:tc>
          <w:tcPr>
            <w:tcW w:w="42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19</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Summary Compensation Table</w:t>
            </w:r>
          </w:p>
        </w:tc>
        <w:tc>
          <w:tcPr>
            <w:tcW w:w="42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19</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Grants of Plan-Based Awards</w:t>
            </w:r>
          </w:p>
        </w:tc>
        <w:tc>
          <w:tcPr>
            <w:tcW w:w="42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21</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Outstanding Equity Awards at 2020 Fiscal Year-End</w:t>
            </w:r>
          </w:p>
        </w:tc>
        <w:tc>
          <w:tcPr>
            <w:tcW w:w="42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22</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Stock Vested</w:t>
            </w:r>
          </w:p>
        </w:tc>
        <w:tc>
          <w:tcPr>
            <w:tcW w:w="42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22</w:t>
              </w:r>
            </w:hyperlink>
          </w:p>
        </w:tc>
      </w:tr>
      <w:tr>
        <w:trPr>
          <w:trHeight w:val="256"/>
        </w:trPr>
        <w:tc>
          <w:tcPr>
            <w:tcW w:w="8940" w:type="dxa"/>
            <w:vAlign w:val="bottom"/>
          </w:tcPr>
          <w:p>
            <w:pPr>
              <w:ind w:left="340"/>
              <w:spacing w:after="0"/>
              <w:rPr>
                <w:sz w:val="20"/>
                <w:szCs w:val="20"/>
                <w:color w:val="auto"/>
              </w:rPr>
            </w:pPr>
            <w:r>
              <w:rPr>
                <w:rFonts w:ascii="Arial" w:cs="Arial" w:eastAsia="Arial" w:hAnsi="Arial"/>
                <w:sz w:val="18"/>
                <w:szCs w:val="18"/>
                <w:color w:val="auto"/>
              </w:rPr>
              <w:t>Nonqualified Deferred Compensation</w:t>
            </w:r>
          </w:p>
        </w:tc>
        <w:tc>
          <w:tcPr>
            <w:tcW w:w="42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23</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Potential Payments Upon Termination or Change in Control</w:t>
            </w:r>
          </w:p>
        </w:tc>
        <w:tc>
          <w:tcPr>
            <w:tcW w:w="42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23</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CEO Pay Ratio</w:t>
            </w:r>
          </w:p>
        </w:tc>
        <w:tc>
          <w:tcPr>
            <w:tcW w:w="4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27</w:t>
              </w:r>
            </w:hyperlink>
          </w:p>
        </w:tc>
      </w:tr>
      <w:tr>
        <w:trPr>
          <w:trHeight w:val="257"/>
        </w:trPr>
        <w:tc>
          <w:tcPr>
            <w:tcW w:w="8940" w:type="dxa"/>
            <w:vAlign w:val="bottom"/>
          </w:tcPr>
          <w:p>
            <w:pPr>
              <w:ind w:left="340"/>
              <w:spacing w:after="0"/>
              <w:rPr>
                <w:sz w:val="20"/>
                <w:szCs w:val="20"/>
                <w:color w:val="auto"/>
              </w:rPr>
            </w:pPr>
            <w:r>
              <w:rPr>
                <w:rFonts w:ascii="Arial" w:cs="Arial" w:eastAsia="Arial" w:hAnsi="Arial"/>
                <w:sz w:val="18"/>
                <w:szCs w:val="18"/>
                <w:color w:val="auto"/>
              </w:rPr>
              <w:t>Director Compensation for Fiscal 2020</w:t>
            </w:r>
          </w:p>
        </w:tc>
        <w:tc>
          <w:tcPr>
            <w:tcW w:w="4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27</w:t>
              </w:r>
            </w:hyperlink>
          </w:p>
        </w:tc>
      </w:tr>
      <w:tr>
        <w:trPr>
          <w:trHeight w:val="256"/>
        </w:trPr>
        <w:tc>
          <w:tcPr>
            <w:tcW w:w="8940" w:type="dxa"/>
            <w:vAlign w:val="bottom"/>
          </w:tcPr>
          <w:p>
            <w:pPr>
              <w:ind w:left="340"/>
              <w:spacing w:after="0"/>
              <w:rPr>
                <w:sz w:val="20"/>
                <w:szCs w:val="20"/>
                <w:color w:val="auto"/>
              </w:rPr>
            </w:pPr>
            <w:r>
              <w:rPr>
                <w:rFonts w:ascii="Arial" w:cs="Arial" w:eastAsia="Arial" w:hAnsi="Arial"/>
                <w:sz w:val="18"/>
                <w:szCs w:val="18"/>
                <w:color w:val="auto"/>
              </w:rPr>
              <w:t>Compensation Committee Interlocks and Insider Participation</w:t>
            </w:r>
          </w:p>
        </w:tc>
        <w:tc>
          <w:tcPr>
            <w:tcW w:w="42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28</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42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28</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Security Ownership of Management and Beneficial Ownership</w:t>
            </w:r>
          </w:p>
        </w:tc>
        <w:tc>
          <w:tcPr>
            <w:tcW w:w="42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28</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Related Party Transactions</w:t>
            </w:r>
          </w:p>
        </w:tc>
        <w:tc>
          <w:tcPr>
            <w:tcW w:w="42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30</w:t>
              </w:r>
            </w:hyperlink>
          </w:p>
        </w:tc>
      </w:tr>
      <w:tr>
        <w:trPr>
          <w:trHeight w:val="256"/>
        </w:trPr>
        <w:tc>
          <w:tcPr>
            <w:tcW w:w="8940" w:type="dxa"/>
            <w:vAlign w:val="bottom"/>
          </w:tcPr>
          <w:p>
            <w:pPr>
              <w:spacing w:after="0"/>
              <w:rPr>
                <w:sz w:val="20"/>
                <w:szCs w:val="20"/>
                <w:color w:val="auto"/>
              </w:rPr>
            </w:pPr>
            <w:r>
              <w:rPr>
                <w:rFonts w:ascii="Arial" w:cs="Arial" w:eastAsia="Arial" w:hAnsi="Arial"/>
                <w:sz w:val="18"/>
                <w:szCs w:val="18"/>
                <w:b w:val="1"/>
                <w:bCs w:val="1"/>
                <w:color w:val="auto"/>
              </w:rPr>
              <w:t>Proposal Two – Advisory Vote on Executive Officer Compensation</w:t>
            </w:r>
          </w:p>
        </w:tc>
        <w:tc>
          <w:tcPr>
            <w:tcW w:w="42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31</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42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32</w:t>
              </w:r>
            </w:hyperlink>
          </w:p>
        </w:tc>
      </w:tr>
      <w:tr>
        <w:trPr>
          <w:trHeight w:val="256"/>
        </w:trPr>
        <w:tc>
          <w:tcPr>
            <w:tcW w:w="8940" w:type="dxa"/>
            <w:vAlign w:val="bottom"/>
          </w:tcPr>
          <w:p>
            <w:pPr>
              <w:spacing w:after="0"/>
              <w:rPr>
                <w:sz w:val="20"/>
                <w:szCs w:val="20"/>
                <w:color w:val="auto"/>
              </w:rPr>
            </w:pPr>
            <w:r>
              <w:rPr>
                <w:rFonts w:ascii="Arial" w:cs="Arial" w:eastAsia="Arial" w:hAnsi="Arial"/>
                <w:sz w:val="18"/>
                <w:szCs w:val="18"/>
                <w:b w:val="1"/>
                <w:bCs w:val="1"/>
                <w:color w:val="auto"/>
              </w:rPr>
              <w:t>Proposals by Shareholders</w:t>
            </w:r>
          </w:p>
        </w:tc>
        <w:tc>
          <w:tcPr>
            <w:tcW w:w="42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32</w:t>
              </w:r>
            </w:hyperlink>
          </w:p>
        </w:tc>
      </w:tr>
      <w:tr>
        <w:trPr>
          <w:trHeight w:val="257"/>
        </w:trPr>
        <w:tc>
          <w:tcPr>
            <w:tcW w:w="8940" w:type="dxa"/>
            <w:vAlign w:val="bottom"/>
          </w:tcPr>
          <w:p>
            <w:pPr>
              <w:spacing w:after="0"/>
              <w:rPr>
                <w:sz w:val="20"/>
                <w:szCs w:val="20"/>
                <w:color w:val="auto"/>
              </w:rPr>
            </w:pPr>
            <w:r>
              <w:rPr>
                <w:rFonts w:ascii="Arial" w:cs="Arial" w:eastAsia="Arial" w:hAnsi="Arial"/>
                <w:sz w:val="18"/>
                <w:szCs w:val="18"/>
                <w:b w:val="1"/>
                <w:bCs w:val="1"/>
                <w:color w:val="auto"/>
              </w:rPr>
              <w:t>Form 10-K</w:t>
            </w:r>
          </w:p>
        </w:tc>
        <w:tc>
          <w:tcPr>
            <w:tcW w:w="42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32</w:t>
              </w:r>
            </w:hyperlink>
          </w:p>
        </w:tc>
      </w:tr>
      <w:tr>
        <w:trPr>
          <w:trHeight w:val="256"/>
        </w:trPr>
        <w:tc>
          <w:tcPr>
            <w:tcW w:w="8940" w:type="dxa"/>
            <w:vAlign w:val="bottom"/>
          </w:tcPr>
          <w:p>
            <w:pPr>
              <w:spacing w:after="0"/>
              <w:rPr>
                <w:sz w:val="20"/>
                <w:szCs w:val="20"/>
                <w:color w:val="auto"/>
              </w:rPr>
            </w:pPr>
            <w:r>
              <w:rPr>
                <w:rFonts w:ascii="Arial" w:cs="Arial" w:eastAsia="Arial" w:hAnsi="Arial"/>
                <w:sz w:val="18"/>
                <w:szCs w:val="18"/>
                <w:b w:val="1"/>
                <w:bCs w:val="1"/>
                <w:color w:val="auto"/>
              </w:rPr>
              <w:t>Householding</w:t>
            </w:r>
          </w:p>
        </w:tc>
        <w:tc>
          <w:tcPr>
            <w:tcW w:w="42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32</w:t>
              </w:r>
            </w:hyperlink>
          </w:p>
        </w:tc>
      </w:tr>
    </w:tbl>
    <w:p>
      <w:pPr>
        <w:sectPr>
          <w:pgSz w:w="11900" w:h="16838" w:orient="portrait"/>
          <w:cols w:equalWidth="0" w:num="1">
            <w:col w:w="10139"/>
          </w:cols>
          <w:pgMar w:left="320" w:top="879" w:right="1440"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HAWKINS, INC.</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2381 Rosegate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Roseville, Minnesota 55113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26, 2020</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proxy statement is furnished in connection with the solicitation of proxies by the Board of Directors (the “Board”) of Hawkins, Inc. to be voted at its Annual Meeting of Shareholders (the “Annual Meeting”) to be held on Thursday, July 30, 2020, commencing at 8:00 a.m. Central Time. The meeting will be completely virtual, incorporating technology designed to increase efficiency, allow for social distancing and provide greater opportunities for shareholder participation. In addition to on-line attendance, shareholders have an opportunity to hear all portions of the official meeting, submit written questions during the meeting, vote on-line during the open poll portion of the meeting, and listen to live responses to shareholder questions immediately following the formal meeting. Distribution of proxy materials to shareholders for the Annual Meeting will begin on or about June 26, 2020.</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logging in at: </w:t>
      </w:r>
      <w:r>
        <w:rPr>
          <w:rFonts w:ascii="Arial" w:cs="Arial" w:eastAsia="Arial" w:hAnsi="Arial"/>
          <w:sz w:val="18"/>
          <w:szCs w:val="18"/>
          <w:b w:val="1"/>
          <w:bCs w:val="1"/>
          <w:color w:val="auto"/>
        </w:rPr>
        <w:t>www.virtualshareholdermeeting.com/HWKN2020</w:t>
      </w:r>
      <w:r>
        <w:rPr>
          <w:rFonts w:ascii="Arial" w:cs="Arial" w:eastAsia="Arial" w:hAnsi="Arial"/>
          <w:sz w:val="18"/>
          <w:szCs w:val="18"/>
          <w:color w:val="auto"/>
        </w:rPr>
        <w:t>. You will need the 16-digit control number included on your proxy card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that accompanied your proxy materials to join the online Annual Meeting. We recommend that you log in at least fifteen minutes before the meeting to ensure you are logged in when the meeting starts.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879" w:right="35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ABOUT THE ANNUAL MEETING</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did I receive this proxy statement?</w:t>
      </w:r>
    </w:p>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Board is soliciting your proxy to vote at the meeting because you were a shareholder of Hawkins, Inc. as of June 5, 2020, or the “record date,” and are entitled to vote. This proxy statement summarizes information you need to know to cast a vote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 are voting on two items:</w:t>
      </w:r>
    </w:p>
    <w:p>
      <w:pPr>
        <w:spacing w:after="0" w:line="9"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seven directors named in this proxy statement;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non-binding advisory vote, of the compensation of our named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there are four ways to vote:</w:t>
      </w:r>
    </w:p>
    <w:p>
      <w:pPr>
        <w:spacing w:after="0" w:line="9"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1-800-690-6903</w:t>
      </w:r>
    </w:p>
    <w:p>
      <w:pPr>
        <w:spacing w:after="0" w:line="9" w:lineRule="exact"/>
        <w:rPr>
          <w:rFonts w:ascii="Arial" w:cs="Arial" w:eastAsia="Arial" w:hAnsi="Arial"/>
          <w:sz w:val="18"/>
          <w:szCs w:val="18"/>
          <w:color w:val="auto"/>
        </w:rPr>
      </w:pPr>
    </w:p>
    <w:p>
      <w:pPr>
        <w:ind w:left="620" w:hanging="288"/>
        <w:spacing w:after="0" w:line="19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color w:val="0563C1"/>
        </w:rPr>
        <w:t>www.proxyvote.com</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complete and return your proxy card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Annual Meeting: </w:t>
      </w:r>
      <w:r>
        <w:rPr>
          <w:rFonts w:ascii="Arial" w:cs="Arial" w:eastAsia="Arial" w:hAnsi="Arial"/>
          <w:sz w:val="18"/>
          <w:szCs w:val="18"/>
          <w:b w:val="1"/>
          <w:bCs w:val="1"/>
          <w:color w:val="0563C1"/>
        </w:rPr>
        <w:t>www.virtualshareholdermeeting.com/HWKN2020</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spacing w:after="0" w:line="59" w:lineRule="exact"/>
        <w:rPr>
          <w:rFonts w:ascii="Arial" w:cs="Arial" w:eastAsia="Arial" w:hAnsi="Arial"/>
          <w:sz w:val="18"/>
          <w:szCs w:val="18"/>
          <w:color w:val="auto"/>
        </w:rPr>
      </w:pPr>
    </w:p>
    <w:p>
      <w:pPr>
        <w:ind w:left="900" w:hanging="244"/>
        <w:spacing w:after="0" w:line="261" w:lineRule="auto"/>
        <w:tabs>
          <w:tab w:leader="none" w:pos="927"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will need the 16-digit control number included on your proxy card or in the instructions that accompanied your proxy materials to vote on-line or to join the online Annual Meeting</w:t>
      </w:r>
    </w:p>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your shares are held in a brokerage account or by another nominee, your shares are said to be held in “street name” and you are considered the beneficial owner of the shares. Technically, the bank or broker is the shareholder of record with respect to those shares. In this case, the proxy materials will be forwarded to you by your broker, bank or other financial institution or its designated representative. Through this process, your bank or broker will collect the voting instructions from all their respective customers who hold our shares, including you, and then submit those votes to us.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voting recommendations of the Board of Directors?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Borders>
              <w:top w:val="single" w:sz="8" w:color="auto"/>
              <w:left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6"/>
              </w:rPr>
              <w:t>Matter</w:t>
            </w:r>
          </w:p>
        </w:tc>
        <w:tc>
          <w:tcPr>
            <w:tcW w:w="5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b w:val="1"/>
                <w:bCs w:val="1"/>
                <w:color w:val="auto"/>
                <w:w w:val="98"/>
              </w:rPr>
              <w:t>Board Recommendation</w:t>
            </w:r>
          </w:p>
        </w:tc>
        <w:tc>
          <w:tcPr>
            <w:tcW w:w="300" w:type="dxa"/>
            <w:vAlign w:val="bottom"/>
            <w:tcBorders>
              <w:top w:val="single" w:sz="8" w:color="auto"/>
              <w:right w:val="single" w:sz="8" w:color="auto"/>
            </w:tcBorders>
          </w:tcPr>
          <w:p>
            <w:pPr>
              <w:spacing w:after="0"/>
              <w:rPr>
                <w:sz w:val="19"/>
                <w:szCs w:val="19"/>
                <w:color w:val="auto"/>
              </w:rPr>
            </w:pPr>
          </w:p>
        </w:tc>
      </w:tr>
      <w:tr>
        <w:trPr>
          <w:trHeight w:val="277"/>
        </w:trPr>
        <w:tc>
          <w:tcPr>
            <w:tcW w:w="2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Election of the seven directors named in this proxy statement</w:t>
            </w:r>
          </w:p>
        </w:tc>
        <w:tc>
          <w:tcPr>
            <w:tcW w:w="840" w:type="dxa"/>
            <w:vAlign w:val="bottom"/>
          </w:tcPr>
          <w:p>
            <w:pPr>
              <w:spacing w:after="0"/>
              <w:rPr>
                <w:sz w:val="24"/>
                <w:szCs w:val="24"/>
                <w:color w:val="auto"/>
              </w:rPr>
            </w:pPr>
          </w:p>
        </w:tc>
        <w:tc>
          <w:tcPr>
            <w:tcW w:w="26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FOR EACH NOMINEE</w:t>
            </w:r>
          </w:p>
        </w:tc>
      </w:tr>
      <w:tr>
        <w:trPr>
          <w:trHeight w:val="263"/>
        </w:trPr>
        <w:tc>
          <w:tcPr>
            <w:tcW w:w="2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2.</w:t>
            </w:r>
          </w:p>
        </w:tc>
        <w:tc>
          <w:tcPr>
            <w:tcW w:w="5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Advisory vote to approve executive compensation</w:t>
            </w:r>
          </w:p>
        </w:tc>
        <w:tc>
          <w:tcPr>
            <w:tcW w:w="84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FOR</w:t>
            </w:r>
          </w:p>
        </w:tc>
      </w:tr>
    </w:tbl>
    <w:p>
      <w:pPr>
        <w:spacing w:after="0" w:line="10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If you return a properly executed proxy card without instructions, the persons named as proxy holders will vote your shares in accordance with the recommendations of the Board.</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any other matters be voted on?</w:t>
      </w:r>
    </w:p>
    <w:p>
      <w:pPr>
        <w:spacing w:after="0" w:line="13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do not know of any other matters that will be brought before the shareholders for a vote at the Annual Meeting. If any other matters properly come before the Annual Meeting calling for a vote of shareholders, proxies in the enclosed form returned to us will be voted in accordance with the recommendation of the Board or, in the absence of such a recommendation, in accordance with the judgment of the proxy holders.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Only shareholders of record at the close of business on the record date of June 5, 2020 are entitled to receive notice of and participate in the Annual Meeting. If you were a shareholder of record on that date, you will be entitled to vote all of the shares you held on that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have?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each share of our common stock you owned as of the close of business on the record date.</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can be cast by all shareholders?</w:t>
      </w:r>
    </w:p>
    <w:p>
      <w:pPr>
        <w:spacing w:after="0" w:line="13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On the record date there were 10,657,908 outstanding shares of our common stock, each of which is entitled to one vote at the Annual Meeting. There is no cumulative voting for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Meeting?</w:t>
      </w:r>
    </w:p>
    <w:p>
      <w:pPr>
        <w:spacing w:after="0" w:line="13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holders of a majority of the aggregate voting power of our commons stock outstanding and entitled to vote on the record date, must be present in person, or by proxy, at the Annual Meeting to constitute a quorum necessary to conduct the meeting.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Abstentions and broker non-votes will be counted as present for purposes of determining the existence of a quorum at the meeting. However, shares of a shareholder who abstains, withholds authority to vote for the election of directors or does not otherwise vote online at the Annual Meeting or by proxy (including broker non-votes) will not be counted for the election of directors or the determination of the outcomes of the Say-on-Pay proposal.</w:t>
      </w:r>
    </w:p>
    <w:p>
      <w:pPr>
        <w:spacing w:after="0" w:line="2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urge you to vote by proxy even if you plan to attend the virtual Annual Meeting so that we will know as soon as possible that a quorum has been achieved.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w:t>
      </w:r>
    </w:p>
    <w:p>
      <w:pPr>
        <w:spacing w:after="0" w:line="11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With respect to Proposal One, </w:t>
      </w:r>
      <w:r>
        <w:rPr>
          <w:rFonts w:ascii="Arial" w:cs="Arial" w:eastAsia="Arial" w:hAnsi="Arial"/>
          <w:sz w:val="18"/>
          <w:szCs w:val="18"/>
          <w:i w:val="1"/>
          <w:iCs w:val="1"/>
          <w:color w:val="auto"/>
        </w:rPr>
        <w:t>Election of Directors</w:t>
      </w:r>
      <w:r>
        <w:rPr>
          <w:rFonts w:ascii="Arial" w:cs="Arial" w:eastAsia="Arial" w:hAnsi="Arial"/>
          <w:sz w:val="18"/>
          <w:szCs w:val="18"/>
          <w:color w:val="auto"/>
        </w:rPr>
        <w:t>,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With respect to Proposal Two, </w:t>
      </w:r>
      <w:r>
        <w:rPr>
          <w:rFonts w:ascii="Arial" w:cs="Arial" w:eastAsia="Arial" w:hAnsi="Arial"/>
          <w:sz w:val="17"/>
          <w:szCs w:val="17"/>
          <w:i w:val="1"/>
          <w:iCs w:val="1"/>
          <w:color w:val="auto"/>
        </w:rPr>
        <w:t>Advisory Vote to Approve Executive Compensation</w:t>
      </w:r>
      <w:r>
        <w:rPr>
          <w:rFonts w:ascii="Arial" w:cs="Arial" w:eastAsia="Arial" w:hAnsi="Arial"/>
          <w:sz w:val="17"/>
          <w:szCs w:val="17"/>
          <w:color w:val="auto"/>
        </w:rPr>
        <w:t>, we will consider our shareholders to have approved our executive 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13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that proxy unless the proxy is properly revoked prior to the meeting. Any shareholder giving a proxy may revoke it prior to its exercise at the meeting by: (1) delivering a written notice expressly revoking the proxy to our Secretary at our principal executive offices, (2) signing and forwarding to us at our principal executive offices a later dated proxy, or (3) attending the Annual Meeting via the Internet and voting during the Annual Meeting.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 xml:space="preserve">PROPOSAL ONE </w:t>
      </w:r>
      <w:r>
        <w:rPr>
          <w:rFonts w:ascii="Arial" w:cs="Arial" w:eastAsia="Arial" w:hAnsi="Arial"/>
          <w:sz w:val="25"/>
          <w:szCs w:val="25"/>
          <w:color w:val="auto"/>
        </w:rPr>
        <w:t>—</w:t>
      </w:r>
      <w:r>
        <w:rPr>
          <w:rFonts w:ascii="Arial" w:cs="Arial" w:eastAsia="Arial" w:hAnsi="Arial"/>
          <w:sz w:val="25"/>
          <w:szCs w:val="25"/>
          <w:b w:val="1"/>
          <w:bCs w:val="1"/>
          <w:color w:val="auto"/>
        </w:rPr>
        <w:t xml:space="preserve"> ELECTION OF DIRECTORS</w:t>
      </w:r>
    </w:p>
    <w:p>
      <w:pPr>
        <w:spacing w:after="0" w:line="2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has fixed at seven the number of directors to be elected at the Annual Meeting. Our Amended and Restated By-Laws (our "By-Laws") provide for a Board of not fewer than three and not more than eleven directors. Our Board currently consists of eight directors, but the Board has approved by resolution a reduction in its size to seven directors upon the expiration of the term of Duane M. Jergenson, who is retiring from the Board and not standing for re-election. His present term as director will expire at the Annual Meeting.</w:t>
      </w:r>
    </w:p>
    <w:p>
      <w:pPr>
        <w:spacing w:after="0" w:line="2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Board has nominated James A. Faulconbridge, Patrick H. Hawkins, John S. McKeon, Mary J. Schumacher, Daniel J. Stauber, James T. Thompson and Jeffrey L. Wright for election to the Board, each to hold office for the ensuing year and until his/her successor is duly elected and qualified.</w:t>
      </w:r>
    </w:p>
    <w:p>
      <w:pPr>
        <w:spacing w:after="0" w:line="22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Executed and delivered proxies will be voted for the election of all nominees unless you direct otherwise. Should any nominee decline or be unable to accept such nomination or to serve as a director (an event which our management does not expect to occur), proxies will be voted for a substitute nominee or nominees in accordance with the best judgment of the person or persons acting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151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BOARD RECOMMENDS THAT SHAREHOLDERS VOTE “FOR” THE ELECTION OF ALL NOMINEES FOR 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Directors</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director nominee brings unique capabilities to our Board.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Set forth below for each director nominee are the name, age, principal occupation, and the year of their first election as a director of our Board.</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800" w:type="dxa"/>
            <w:vAlign w:val="bottom"/>
            <w:tcBorders>
              <w:left w:val="single" w:sz="8" w:color="auto"/>
              <w:right w:val="single" w:sz="8" w:color="auto"/>
            </w:tcBorders>
            <w:shd w:val="clear" w:color="auto" w:fill="000000"/>
          </w:tcPr>
          <w:p>
            <w:pPr>
              <w:spacing w:after="0"/>
              <w:rPr>
                <w:sz w:val="21"/>
                <w:szCs w:val="21"/>
                <w:color w:val="auto"/>
              </w:rPr>
            </w:pPr>
          </w:p>
        </w:tc>
        <w:tc>
          <w:tcPr>
            <w:tcW w:w="800" w:type="dxa"/>
            <w:vAlign w:val="bottom"/>
            <w:tcBorders>
              <w:right w:val="single" w:sz="8" w:color="auto"/>
            </w:tcBorders>
            <w:shd w:val="clear" w:color="auto" w:fill="000000"/>
          </w:tcPr>
          <w:p>
            <w:pPr>
              <w:spacing w:after="0"/>
              <w:rPr>
                <w:sz w:val="21"/>
                <w:szCs w:val="21"/>
                <w:color w:val="auto"/>
              </w:rPr>
            </w:pPr>
          </w:p>
        </w:tc>
        <w:tc>
          <w:tcPr>
            <w:tcW w:w="6480" w:type="dxa"/>
            <w:vAlign w:val="bottom"/>
            <w:tcBorders>
              <w:right w:val="single" w:sz="8" w:color="auto"/>
            </w:tcBorders>
            <w:shd w:val="clear" w:color="auto" w:fill="000000"/>
          </w:tcPr>
          <w:p>
            <w:pPr>
              <w:spacing w:after="0"/>
              <w:rPr>
                <w:sz w:val="21"/>
                <w:szCs w:val="21"/>
                <w:color w:val="auto"/>
              </w:rPr>
            </w:pPr>
          </w:p>
        </w:tc>
        <w:tc>
          <w:tcPr>
            <w:tcW w:w="11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Director</w:t>
            </w:r>
          </w:p>
        </w:tc>
      </w:tr>
      <w:tr>
        <w:trPr>
          <w:trHeight w:val="296"/>
        </w:trPr>
        <w:tc>
          <w:tcPr>
            <w:tcW w:w="280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Name of Nominee</w:t>
            </w:r>
          </w:p>
        </w:tc>
        <w:tc>
          <w:tcPr>
            <w:tcW w:w="8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Age</w:t>
            </w:r>
          </w:p>
        </w:tc>
        <w:tc>
          <w:tcPr>
            <w:tcW w:w="6480" w:type="dxa"/>
            <w:vAlign w:val="bottom"/>
            <w:tcBorders>
              <w:bottom w:val="single" w:sz="8" w:color="auto"/>
              <w:right w:val="single" w:sz="8" w:color="auto"/>
            </w:tcBorders>
            <w:shd w:val="clear" w:color="auto" w:fill="000000"/>
          </w:tcPr>
          <w:p>
            <w:pPr>
              <w:ind w:left="2140"/>
              <w:spacing w:after="0"/>
              <w:rPr>
                <w:sz w:val="20"/>
                <w:szCs w:val="20"/>
                <w:color w:val="auto"/>
              </w:rPr>
            </w:pPr>
            <w:r>
              <w:rPr>
                <w:rFonts w:ascii="Arial" w:cs="Arial" w:eastAsia="Arial" w:hAnsi="Arial"/>
                <w:sz w:val="22"/>
                <w:szCs w:val="22"/>
                <w:b w:val="1"/>
                <w:bCs w:val="1"/>
                <w:color w:val="FFFFFF"/>
              </w:rPr>
              <w:t>Principal Occupation</w:t>
            </w:r>
          </w:p>
        </w:tc>
        <w:tc>
          <w:tcPr>
            <w:tcW w:w="11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Since</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52</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President, Karges-Faulconbridge, Inc</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2006</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49</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President and Chief Executive Officer, Hawkins, Inc.</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S. McKeon</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Chairman of the Board, Retired Executive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1984</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2012</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58</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Chief Brand Officer, Stauber Performance Ingredients, Inc.</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69</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5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6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certain additional information regarding each director nominee.</w:t>
      </w:r>
    </w:p>
    <w:p>
      <w:pPr>
        <w:spacing w:after="0" w:line="230"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b w:val="1"/>
          <w:bCs w:val="1"/>
          <w:i w:val="1"/>
          <w:iCs w:val="1"/>
          <w:color w:val="auto"/>
        </w:rPr>
        <w:t xml:space="preserve">James A. Faulconbridge </w:t>
      </w:r>
      <w:r>
        <w:rPr>
          <w:rFonts w:ascii="Arial" w:cs="Arial" w:eastAsia="Arial" w:hAnsi="Arial"/>
          <w:sz w:val="18"/>
          <w:szCs w:val="18"/>
          <w:color w:val="auto"/>
        </w:rPr>
        <w:t>has been a member of our Board since 2006. Mr. Faulconbridge has been President of Karges-Faulconbridge,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since 2006, an engineering and technical services firm that services a broad variety of industries, including the ethanol industry. His background provides the company with technical expertise and insight into ethanol and other industries we serve.</w:t>
      </w:r>
    </w:p>
    <w:p>
      <w:pPr>
        <w:spacing w:after="0" w:line="198" w:lineRule="exact"/>
        <w:rPr>
          <w:sz w:val="20"/>
          <w:szCs w:val="20"/>
          <w:color w:val="auto"/>
        </w:rPr>
      </w:pPr>
    </w:p>
    <w:p>
      <w:pPr>
        <w:ind w:left="340" w:right="700"/>
        <w:spacing w:after="0" w:line="287" w:lineRule="auto"/>
        <w:rPr>
          <w:sz w:val="20"/>
          <w:szCs w:val="20"/>
          <w:color w:val="auto"/>
        </w:rPr>
      </w:pPr>
      <w:r>
        <w:rPr>
          <w:rFonts w:ascii="Arial" w:cs="Arial" w:eastAsia="Arial" w:hAnsi="Arial"/>
          <w:sz w:val="18"/>
          <w:szCs w:val="18"/>
          <w:b w:val="1"/>
          <w:bCs w:val="1"/>
          <w:i w:val="1"/>
          <w:iCs w:val="1"/>
          <w:color w:val="auto"/>
        </w:rPr>
        <w:t xml:space="preserve">Patrick H. Hawkins </w:t>
      </w:r>
      <w:r>
        <w:rPr>
          <w:rFonts w:ascii="Arial" w:cs="Arial" w:eastAsia="Arial" w:hAnsi="Arial"/>
          <w:sz w:val="18"/>
          <w:szCs w:val="18"/>
          <w:color w:val="auto"/>
        </w:rPr>
        <w:t>has been a member of our Board since 2011 and has served as our Chief Executive Officer since 2011.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Hawkins has been with the company since 1992 having served as President since 2010; Business Director - Food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79" w:right="339" w:bottom="1440" w:gutter="0" w:footer="0" w:header="0"/>
        </w:sectPr>
      </w:pPr>
    </w:p>
    <w:bookmarkStart w:id="7" w:name="page8"/>
    <w:bookmarkEnd w:id="7"/>
    <w:p>
      <w:pPr>
        <w:ind w:left="340" w:right="240"/>
        <w:spacing w:after="0" w:line="256" w:lineRule="auto"/>
        <w:rPr>
          <w:sz w:val="20"/>
          <w:szCs w:val="20"/>
          <w:color w:val="auto"/>
        </w:rPr>
      </w:pPr>
      <w:r>
        <w:rPr>
          <w:rFonts w:ascii="Arial" w:cs="Arial" w:eastAsia="Arial" w:hAnsi="Arial"/>
          <w:sz w:val="18"/>
          <w:szCs w:val="18"/>
          <w:color w:val="auto"/>
        </w:rPr>
        <w:t>Pharmaceuticals from 2009 to 2010; Business Manager - Food and Co-Extrusion Products from 2007 to 2009; Sales Representative - Food Ingredients from 2002 to 2009; and, various other positions with the company from 1992 to 2002. His vast experience with our company has given him an intimate knowledge of our company and its business and a deep passion for our continued success.</w:t>
      </w:r>
    </w:p>
    <w:p>
      <w:pPr>
        <w:spacing w:after="0" w:line="207"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b w:val="1"/>
          <w:bCs w:val="1"/>
          <w:i w:val="1"/>
          <w:iCs w:val="1"/>
          <w:color w:val="auto"/>
        </w:rPr>
        <w:t xml:space="preserve">John S. McKeon </w:t>
      </w:r>
      <w:r>
        <w:rPr>
          <w:rFonts w:ascii="Arial" w:cs="Arial" w:eastAsia="Arial" w:hAnsi="Arial"/>
          <w:sz w:val="18"/>
          <w:szCs w:val="18"/>
          <w:color w:val="auto"/>
        </w:rPr>
        <w:t>has been a member of our Board since 1984 and has served as Chairman of the Board since 2005. Mr. McKeon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and Chief Operating Officer of ConAgra Foods, Inc. Venture Development Group from 2003 to 2005; President and Chief Operating Officer of ConAgra Foods Snack Group (formerly Golden Valley Microwave Foods, Inc.) from 1993 to 2003; President of McKeon Associates, Inc. (corporate finance consulting) from 1991 to 1993; and, Vice President of Northstar Industries, Inc. from 1976 to 1990. His extensive experience in management, manufacturing and corporate finance, along with his knowledge of our company and our business, is valuable in formulating and executing our business plans and growth strategies.</w:t>
      </w:r>
    </w:p>
    <w:p>
      <w:pPr>
        <w:spacing w:after="0" w:line="209"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b w:val="1"/>
          <w:bCs w:val="1"/>
          <w:i w:val="1"/>
          <w:iCs w:val="1"/>
          <w:color w:val="auto"/>
        </w:rPr>
        <w:t xml:space="preserve">Mary J. Schumacher </w:t>
      </w:r>
      <w:r>
        <w:rPr>
          <w:rFonts w:ascii="Arial" w:cs="Arial" w:eastAsia="Arial" w:hAnsi="Arial"/>
          <w:sz w:val="18"/>
          <w:szCs w:val="18"/>
          <w:color w:val="auto"/>
        </w:rPr>
        <w:t>has been a member of our Board since 2012. Ms. Schumacher served as Chief Operating Officer of Twin 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Habitat for Humanity from 2010 to 2016; Senior Vice President and General Manager at Andersen Corporation from 2008 to 2010 and Senior Vice President, Research, Technology, Quality and Engineering from 2003 to 2008; various positions at Ecolab Inc. from 1992 to 2003; and, various positions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209"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b w:val="1"/>
          <w:bCs w:val="1"/>
          <w:i w:val="1"/>
          <w:iCs w:val="1"/>
          <w:color w:val="auto"/>
        </w:rPr>
        <w:t xml:space="preserve">Daniel J. Stauber </w:t>
      </w:r>
      <w:r>
        <w:rPr>
          <w:rFonts w:ascii="Arial" w:cs="Arial" w:eastAsia="Arial" w:hAnsi="Arial"/>
          <w:sz w:val="18"/>
          <w:szCs w:val="18"/>
          <w:color w:val="auto"/>
        </w:rPr>
        <w:t>has been a member of our Board since 2016 and has served as Chief Brand Officer of Stauber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Ingredients, Inc, (“Stauber”), a wholly owned subsidiary of the company, since March 2019. Mr. Stauber served as Vice President - Health and Nutrition and as President of Stauber, from February 2018 through March 2019 and as Chief Brand Officer for Stauber since our acquisition of Stauber in December 2015 through January 2018; Chief Executive Officer of Stauber from 1998 until its acquisition in December 2015; President from 1994 to 1998 and various other positions with Stauber from 1984 to 1994. His extensive knowledge of the health and nutrition industry is valuable in formulating and executing our business plans and growth strategies for this segment of our business.</w:t>
      </w:r>
    </w:p>
    <w:p>
      <w:pPr>
        <w:spacing w:after="0" w:line="210" w:lineRule="exact"/>
        <w:rPr>
          <w:sz w:val="20"/>
          <w:szCs w:val="20"/>
          <w:color w:val="auto"/>
        </w:rPr>
      </w:pPr>
    </w:p>
    <w:p>
      <w:pPr>
        <w:jc w:val="both"/>
        <w:ind w:left="340" w:right="300"/>
        <w:spacing w:after="0" w:line="262" w:lineRule="auto"/>
        <w:rPr>
          <w:sz w:val="20"/>
          <w:szCs w:val="20"/>
          <w:color w:val="auto"/>
        </w:rPr>
      </w:pPr>
      <w:r>
        <w:rPr>
          <w:rFonts w:ascii="Arial" w:cs="Arial" w:eastAsia="Arial" w:hAnsi="Arial"/>
          <w:sz w:val="18"/>
          <w:szCs w:val="18"/>
          <w:b w:val="1"/>
          <w:bCs w:val="1"/>
          <w:i w:val="1"/>
          <w:iCs w:val="1"/>
          <w:color w:val="auto"/>
        </w:rPr>
        <w:t xml:space="preserve">James T. Thompson </w:t>
      </w:r>
      <w:r>
        <w:rPr>
          <w:rFonts w:ascii="Arial" w:cs="Arial" w:eastAsia="Arial" w:hAnsi="Arial"/>
          <w:sz w:val="18"/>
          <w:szCs w:val="18"/>
          <w:color w:val="auto"/>
        </w:rPr>
        <w:t>has been a member of our Board since 2009 and has been a board member of Sims Metal Management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Mr. Thompson served as Executive Vice President - Commercial of The Mosaic Company from 2004 to 2007, and held various positions at Cargill, Inc. from 1974 to 2004, most recently as President of Cargill Steel from 1996 to 2004. His experience with major manufacturing and commodity companies is valuable to us in our commodity chemicals business.</w:t>
      </w:r>
    </w:p>
    <w:p>
      <w:pPr>
        <w:spacing w:after="0" w:line="203"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b w:val="1"/>
          <w:bCs w:val="1"/>
          <w:i w:val="1"/>
          <w:iCs w:val="1"/>
          <w:color w:val="auto"/>
        </w:rPr>
        <w:t xml:space="preserve">Jeffrey L. Wright </w:t>
      </w:r>
      <w:r>
        <w:rPr>
          <w:rFonts w:ascii="Arial" w:cs="Arial" w:eastAsia="Arial" w:hAnsi="Arial"/>
          <w:sz w:val="18"/>
          <w:szCs w:val="18"/>
          <w:color w:val="auto"/>
        </w:rPr>
        <w:t>has been a member of our Board since 2009. Mr. Wright served as Chief Financial Officer of G&amp;K Services, Inc.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1999 to 2014, Executive Vice President and Director from 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Board has determined that, of the director nominees, each of Messrs. Faulconbridge, McKeon, Thompson and Wright, and Ms. Schumacher, are “independent directors” as that term is defined under the applicable listing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908" w:right="37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CORPORATE GOVERNANCE</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of Directors</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Board held six meetings during the fiscal year ended March 29, 2020 (“fiscal 2020”). All directors attended at least 75% of the meetings of our Board and the committees on which they served. All directors attended our Annual Meeting of Shareholders in 2019. Our Board encourages, but does not require, director attendance at annual meetings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of the Board of Directors</w:t>
      </w:r>
    </w:p>
    <w:p>
      <w:pPr>
        <w:spacing w:after="0" w:line="13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Board does not have a policy regarding the separation of the roles of Chief Executive Officer and Chairman of the Board, as the Board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3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Board has an Audit Committee, Compensation Committee and Governance and Nominating Committee, each of which is described in more detail below. The current members of each of the committees of the Board are as follows: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180" w:type="dxa"/>
            <w:vAlign w:val="bottom"/>
            <w:tcBorders>
              <w:left w:val="single" w:sz="8" w:color="auto"/>
              <w:right w:val="single" w:sz="8" w:color="auto"/>
            </w:tcBorders>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120" w:type="dxa"/>
            <w:vAlign w:val="bottom"/>
            <w:tcBorders>
              <w:right w:val="single" w:sz="8" w:color="auto"/>
            </w:tcBorders>
            <w:shd w:val="clear" w:color="auto" w:fill="000000"/>
          </w:tcPr>
          <w:p>
            <w:pPr>
              <w:spacing w:after="0"/>
              <w:rPr>
                <w:sz w:val="21"/>
                <w:szCs w:val="21"/>
                <w:color w:val="auto"/>
              </w:rPr>
            </w:pPr>
          </w:p>
        </w:tc>
        <w:tc>
          <w:tcPr>
            <w:tcW w:w="400" w:type="dxa"/>
            <w:vAlign w:val="bottom"/>
            <w:tcBorders>
              <w:right w:val="single" w:sz="8" w:color="auto"/>
            </w:tcBorders>
            <w:shd w:val="clear" w:color="auto" w:fill="000000"/>
          </w:tcPr>
          <w:p>
            <w:pPr>
              <w:spacing w:after="0"/>
              <w:rPr>
                <w:sz w:val="21"/>
                <w:szCs w:val="21"/>
                <w:color w:val="auto"/>
              </w:rPr>
            </w:pPr>
          </w:p>
        </w:tc>
        <w:tc>
          <w:tcPr>
            <w:tcW w:w="25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w:t>
            </w:r>
          </w:p>
        </w:tc>
        <w:tc>
          <w:tcPr>
            <w:tcW w:w="26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Governance and</w:t>
            </w:r>
          </w:p>
        </w:tc>
      </w:tr>
      <w:tr>
        <w:trPr>
          <w:trHeight w:val="296"/>
        </w:trPr>
        <w:tc>
          <w:tcPr>
            <w:tcW w:w="318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Board Member</w:t>
            </w:r>
          </w:p>
        </w:tc>
        <w:tc>
          <w:tcPr>
            <w:tcW w:w="340" w:type="dxa"/>
            <w:vAlign w:val="bottom"/>
            <w:tcBorders>
              <w:bottom w:val="single" w:sz="8" w:color="auto"/>
            </w:tcBorders>
            <w:shd w:val="clear" w:color="auto" w:fill="000000"/>
          </w:tcPr>
          <w:p>
            <w:pPr>
              <w:spacing w:after="0"/>
              <w:rPr>
                <w:sz w:val="24"/>
                <w:szCs w:val="24"/>
                <w:color w:val="auto"/>
              </w:rPr>
            </w:pPr>
          </w:p>
        </w:tc>
        <w:tc>
          <w:tcPr>
            <w:tcW w:w="212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Audit Committee</w:t>
            </w:r>
          </w:p>
        </w:tc>
        <w:tc>
          <w:tcPr>
            <w:tcW w:w="400" w:type="dxa"/>
            <w:vAlign w:val="bottom"/>
            <w:tcBorders>
              <w:bottom w:val="single" w:sz="8" w:color="auto"/>
              <w:right w:val="single" w:sz="8" w:color="auto"/>
            </w:tcBorders>
            <w:shd w:val="clear" w:color="auto" w:fill="000000"/>
          </w:tcPr>
          <w:p>
            <w:pPr>
              <w:spacing w:after="0"/>
              <w:rPr>
                <w:sz w:val="24"/>
                <w:szCs w:val="24"/>
                <w:color w:val="auto"/>
              </w:rPr>
            </w:pPr>
          </w:p>
        </w:tc>
        <w:tc>
          <w:tcPr>
            <w:tcW w:w="25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26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Nominating Committee</w:t>
            </w: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John S. McKeon, Chairman (I)</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Patrick H. Hawkins</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A. Faulconbridge (I)</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Mary J. Schumacher (I)</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bottom w:val="single" w:sz="8" w:color="auto"/>
              <w:right w:val="single" w:sz="8" w:color="auto"/>
            </w:tcBorders>
          </w:tcPr>
          <w:p>
            <w:pPr>
              <w:spacing w:after="0"/>
              <w:rPr>
                <w:sz w:val="21"/>
                <w:szCs w:val="21"/>
                <w:color w:val="auto"/>
              </w:rPr>
            </w:pP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Daniel J. Stauber</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T. Thompson (I)</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r>
      <w:tr>
        <w:trPr>
          <w:trHeight w:val="250"/>
        </w:trPr>
        <w:tc>
          <w:tcPr>
            <w:tcW w:w="3180" w:type="dxa"/>
            <w:vAlign w:val="bottom"/>
            <w:tcBorders>
              <w:left w:val="single" w:sz="8" w:color="auto"/>
              <w:bottom w:val="single" w:sz="8" w:color="auto"/>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L. Wright (I)</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4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w:t>
            </w:r>
          </w:p>
        </w:tc>
      </w:tr>
      <w:tr>
        <w:trPr>
          <w:trHeight w:val="458"/>
        </w:trPr>
        <w:tc>
          <w:tcPr>
            <w:tcW w:w="3520" w:type="dxa"/>
            <w:vAlign w:val="bottom"/>
            <w:gridSpan w:val="2"/>
          </w:tcPr>
          <w:p>
            <w:pPr>
              <w:spacing w:after="0"/>
              <w:rPr>
                <w:sz w:val="20"/>
                <w:szCs w:val="20"/>
                <w:color w:val="auto"/>
              </w:rPr>
            </w:pPr>
            <w:r>
              <w:rPr>
                <w:rFonts w:ascii="Arial" w:cs="Arial" w:eastAsia="Arial" w:hAnsi="Arial"/>
                <w:sz w:val="18"/>
                <w:szCs w:val="18"/>
                <w:color w:val="auto"/>
              </w:rPr>
              <w:t>I: Independent Director</w:t>
            </w: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 Chair</w:t>
            </w: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7"/>
        </w:trPr>
        <w:tc>
          <w:tcPr>
            <w:tcW w:w="3520" w:type="dxa"/>
            <w:vAlign w:val="bottom"/>
            <w:gridSpan w:val="2"/>
          </w:tcPr>
          <w:p>
            <w:pPr>
              <w:spacing w:after="0"/>
              <w:rPr>
                <w:sz w:val="20"/>
                <w:szCs w:val="20"/>
                <w:color w:val="auto"/>
              </w:rPr>
            </w:pPr>
            <w:r>
              <w:rPr>
                <w:rFonts w:ascii="Arial" w:cs="Arial" w:eastAsia="Arial" w:hAnsi="Arial"/>
                <w:sz w:val="18"/>
                <w:szCs w:val="18"/>
                <w:color w:val="auto"/>
              </w:rPr>
              <w:t>M: Member</w:t>
            </w: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499"/>
        </w:trPr>
        <w:tc>
          <w:tcPr>
            <w:tcW w:w="3520" w:type="dxa"/>
            <w:vAlign w:val="bottom"/>
            <w:gridSpan w:val="2"/>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04"/>
        </w:trPr>
        <w:tc>
          <w:tcPr>
            <w:tcW w:w="3520" w:type="dxa"/>
            <w:vAlign w:val="bottom"/>
            <w:tcBorders>
              <w:left w:val="single" w:sz="8" w:color="auto"/>
              <w:bottom w:val="single" w:sz="8" w:color="auto"/>
            </w:tcBorders>
            <w:gridSpan w:val="2"/>
            <w:shd w:val="clear" w:color="auto" w:fill="000000"/>
          </w:tcPr>
          <w:p>
            <w:pPr>
              <w:ind w:left="40"/>
              <w:spacing w:after="0"/>
              <w:rPr>
                <w:sz w:val="20"/>
                <w:szCs w:val="20"/>
                <w:color w:val="auto"/>
              </w:rPr>
            </w:pPr>
            <w:r>
              <w:rPr>
                <w:rFonts w:ascii="Arial" w:cs="Arial" w:eastAsia="Arial" w:hAnsi="Arial"/>
                <w:sz w:val="22"/>
                <w:szCs w:val="22"/>
                <w:b w:val="1"/>
                <w:bCs w:val="1"/>
                <w:color w:val="FFFFFF"/>
              </w:rPr>
              <w:t>AUDIT COMMITTEE</w:t>
            </w:r>
          </w:p>
        </w:tc>
        <w:tc>
          <w:tcPr>
            <w:tcW w:w="2120" w:type="dxa"/>
            <w:vAlign w:val="bottom"/>
            <w:tcBorders>
              <w:bottom w:val="single" w:sz="8" w:color="auto"/>
              <w:right w:val="single" w:sz="8" w:color="auto"/>
            </w:tcBorders>
            <w:shd w:val="clear" w:color="auto" w:fill="000000"/>
          </w:tcPr>
          <w:p>
            <w:pPr>
              <w:spacing w:after="0"/>
              <w:rPr>
                <w:sz w:val="24"/>
                <w:szCs w:val="24"/>
                <w:color w:val="auto"/>
              </w:rPr>
            </w:pPr>
          </w:p>
        </w:tc>
        <w:tc>
          <w:tcPr>
            <w:tcW w:w="400" w:type="dxa"/>
            <w:vAlign w:val="bottom"/>
            <w:tcBorders>
              <w:bottom w:val="single" w:sz="8" w:color="auto"/>
              <w:right w:val="single" w:sz="8" w:color="auto"/>
            </w:tcBorders>
            <w:shd w:val="clear" w:color="auto" w:fill="000000"/>
          </w:tcPr>
          <w:p>
            <w:pPr>
              <w:spacing w:after="0"/>
              <w:rPr>
                <w:sz w:val="24"/>
                <w:szCs w:val="24"/>
                <w:color w:val="auto"/>
              </w:rPr>
            </w:pPr>
          </w:p>
        </w:tc>
        <w:tc>
          <w:tcPr>
            <w:tcW w:w="2540" w:type="dxa"/>
            <w:vAlign w:val="bottom"/>
            <w:tcBorders>
              <w:bottom w:val="single" w:sz="8" w:color="auto"/>
              <w:right w:val="single" w:sz="8" w:color="auto"/>
            </w:tcBorders>
            <w:shd w:val="clear" w:color="auto" w:fill="000000"/>
          </w:tcPr>
          <w:p>
            <w:pPr>
              <w:spacing w:after="0"/>
              <w:rPr>
                <w:sz w:val="24"/>
                <w:szCs w:val="24"/>
                <w:color w:val="auto"/>
              </w:rPr>
            </w:pPr>
          </w:p>
        </w:tc>
        <w:tc>
          <w:tcPr>
            <w:tcW w:w="2640" w:type="dxa"/>
            <w:vAlign w:val="bottom"/>
            <w:tcBorders>
              <w:bottom w:val="single" w:sz="8" w:color="auto"/>
              <w:right w:val="single" w:sz="8" w:color="auto"/>
            </w:tcBorders>
            <w:shd w:val="clear" w:color="auto" w:fill="000000"/>
          </w:tcPr>
          <w:p>
            <w:pPr>
              <w:spacing w:after="0"/>
              <w:rPr>
                <w:sz w:val="24"/>
                <w:szCs w:val="24"/>
                <w:color w:val="auto"/>
              </w:rPr>
            </w:pPr>
          </w:p>
        </w:tc>
      </w:tr>
      <w:tr>
        <w:trPr>
          <w:trHeight w:val="291"/>
        </w:trPr>
        <w:tc>
          <w:tcPr>
            <w:tcW w:w="35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b w:val="1"/>
                <w:bCs w:val="1"/>
                <w:color w:val="auto"/>
              </w:rPr>
              <w:t>Audit Committee Members</w:t>
            </w:r>
          </w:p>
        </w:tc>
        <w:tc>
          <w:tcPr>
            <w:tcW w:w="2120" w:type="dxa"/>
            <w:vAlign w:val="bottom"/>
            <w:tcBorders>
              <w:bottom w:val="single" w:sz="8" w:color="auto"/>
              <w:right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b w:val="1"/>
                <w:bCs w:val="1"/>
                <w:color w:val="auto"/>
              </w:rPr>
              <w:t>Representative Functions of the Audit Committee</w:t>
            </w:r>
          </w:p>
        </w:tc>
      </w:tr>
      <w:tr>
        <w:trPr>
          <w:trHeight w:val="228"/>
        </w:trPr>
        <w:tc>
          <w:tcPr>
            <w:tcW w:w="35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L. Wright, Chair</w:t>
            </w:r>
          </w:p>
        </w:tc>
        <w:tc>
          <w:tcPr>
            <w:tcW w:w="21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Select and appoint our independent auditors and meet with</w:t>
            </w:r>
          </w:p>
        </w:tc>
      </w:tr>
      <w:tr>
        <w:trPr>
          <w:trHeight w:val="203"/>
        </w:trPr>
        <w:tc>
          <w:tcPr>
            <w:tcW w:w="31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the independent auditors and financial management to</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James A. Faulconbridge</w:t>
            </w:r>
          </w:p>
        </w:tc>
        <w:tc>
          <w:tcPr>
            <w:tcW w:w="2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review the scope of the audit and the audit procedures.</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21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Provide independent, objective oversight with respect to our</w:t>
            </w:r>
          </w:p>
        </w:tc>
      </w:tr>
      <w:tr>
        <w:trPr>
          <w:trHeight w:val="202"/>
        </w:trPr>
        <w:tc>
          <w:tcPr>
            <w:tcW w:w="31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company’s accounting and financial reporting functions,</w:t>
            </w:r>
          </w:p>
        </w:tc>
      </w:tr>
      <w:tr>
        <w:trPr>
          <w:trHeight w:val="203"/>
        </w:trPr>
        <w:tc>
          <w:tcPr>
            <w:tcW w:w="31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internal and external audit functions, systems of internal</w:t>
            </w:r>
          </w:p>
        </w:tc>
      </w:tr>
      <w:tr>
        <w:trPr>
          <w:trHeight w:val="203"/>
        </w:trPr>
        <w:tc>
          <w:tcPr>
            <w:tcW w:w="31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controls regarding financial matters, and compliance.</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Number of meetings during fiscal 2020: 4</w:t>
            </w:r>
          </w:p>
        </w:tc>
        <w:tc>
          <w:tcPr>
            <w:tcW w:w="21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Review annually the responsibilities of the Audit Committee</w:t>
            </w:r>
          </w:p>
        </w:tc>
      </w:tr>
      <w:tr>
        <w:trPr>
          <w:trHeight w:val="203"/>
        </w:trPr>
        <w:tc>
          <w:tcPr>
            <w:tcW w:w="318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and recommend to our Board any changes to these</w:t>
            </w:r>
          </w:p>
        </w:tc>
      </w:tr>
      <w:tr>
        <w:trPr>
          <w:trHeight w:val="224"/>
        </w:trPr>
        <w:tc>
          <w:tcPr>
            <w:tcW w:w="318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responsibilities.</w:t>
            </w:r>
          </w:p>
        </w:tc>
        <w:tc>
          <w:tcPr>
            <w:tcW w:w="2640" w:type="dxa"/>
            <w:vAlign w:val="bottom"/>
            <w:tcBorders>
              <w:bottom w:val="single" w:sz="8" w:color="auto"/>
              <w:right w:val="single" w:sz="8" w:color="auto"/>
            </w:tcBorders>
          </w:tcPr>
          <w:p>
            <w:pPr>
              <w:spacing w:after="0"/>
              <w:rPr>
                <w:sz w:val="19"/>
                <w:szCs w:val="19"/>
                <w:color w:val="auto"/>
              </w:rPr>
            </w:pPr>
          </w:p>
        </w:tc>
      </w:tr>
    </w:tbl>
    <w:p>
      <w:pPr>
        <w:spacing w:after="0" w:line="242" w:lineRule="exact"/>
        <w:rPr>
          <w:sz w:val="20"/>
          <w:szCs w:val="20"/>
          <w:color w:val="auto"/>
        </w:rPr>
      </w:pPr>
    </w:p>
    <w:p>
      <w:pPr>
        <w:ind w:left="660" w:right="140" w:hanging="328"/>
        <w:spacing w:after="0" w:line="261"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has determined that all members of the Audit Committee are “independent” as that term is used in Section 10A(m) of the Securities Exchange Act of 1934 and “Independent Directors” as that term is defined under the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879" w:right="359" w:bottom="1440" w:gutter="0" w:footer="0" w:header="0"/>
        </w:sectPr>
      </w:pPr>
    </w:p>
    <w:bookmarkStart w:id="9" w:name="page10"/>
    <w:bookmarkEnd w:id="9"/>
    <w:p>
      <w:pPr>
        <w:ind w:left="660" w:right="20"/>
        <w:spacing w:after="0" w:line="256" w:lineRule="auto"/>
        <w:rPr>
          <w:sz w:val="20"/>
          <w:szCs w:val="20"/>
          <w:color w:val="auto"/>
        </w:rPr>
      </w:pPr>
      <w:r>
        <w:rPr>
          <w:rFonts w:ascii="Arial" w:cs="Arial" w:eastAsia="Arial" w:hAnsi="Arial"/>
          <w:sz w:val="18"/>
          <w:szCs w:val="18"/>
          <w:color w:val="auto"/>
        </w:rPr>
        <w:t>applicable listing standards of Nasdaq. Our Board has determined that Messrs. Wright and Faulconbridge, and Ms. Schumacher, are “audit committee financial experts,” as the term is defined by regulations promulgated by the Securities and Exchange Commission ("SEC").</w:t>
      </w:r>
    </w:p>
    <w:p>
      <w:pPr>
        <w:spacing w:after="0" w:line="229" w:lineRule="exact"/>
        <w:rPr>
          <w:sz w:val="20"/>
          <w:szCs w:val="20"/>
          <w:color w:val="auto"/>
        </w:rPr>
      </w:pPr>
    </w:p>
    <w:p>
      <w:pPr>
        <w:ind w:left="660" w:right="100" w:hanging="328"/>
        <w:spacing w:after="0" w:line="26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15175" cy="1500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500505"/>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COMPENSATION COMMITTEE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tcPr>
          <w:p>
            <w:pPr>
              <w:ind w:left="40"/>
              <w:spacing w:after="0"/>
              <w:rPr>
                <w:sz w:val="20"/>
                <w:szCs w:val="20"/>
                <w:color w:val="auto"/>
              </w:rPr>
            </w:pPr>
            <w:r>
              <w:rPr>
                <w:rFonts w:ascii="Arial" w:cs="Arial" w:eastAsia="Arial" w:hAnsi="Arial"/>
                <w:sz w:val="22"/>
                <w:szCs w:val="22"/>
                <w:b w:val="1"/>
                <w:bCs w:val="1"/>
                <w:color w:val="auto"/>
              </w:rPr>
              <w:t>Compensation Committee Members</w:t>
            </w:r>
          </w:p>
        </w:tc>
        <w:tc>
          <w:tcPr>
            <w:tcW w:w="6540" w:type="dxa"/>
            <w:vAlign w:val="bottom"/>
          </w:tcPr>
          <w:p>
            <w:pPr>
              <w:ind w:left="980"/>
              <w:spacing w:after="0"/>
              <w:rPr>
                <w:sz w:val="20"/>
                <w:szCs w:val="20"/>
                <w:color w:val="auto"/>
              </w:rPr>
            </w:pPr>
            <w:r>
              <w:rPr>
                <w:rFonts w:ascii="Arial" w:cs="Arial" w:eastAsia="Arial" w:hAnsi="Arial"/>
                <w:sz w:val="22"/>
                <w:szCs w:val="22"/>
                <w:b w:val="1"/>
                <w:bCs w:val="1"/>
                <w:color w:val="auto"/>
              </w:rPr>
              <w:t>Representative Functions of the Compensation</w:t>
            </w:r>
          </w:p>
        </w:tc>
        <w:tc>
          <w:tcPr>
            <w:tcW w:w="0" w:type="dxa"/>
            <w:vAlign w:val="bottom"/>
          </w:tcPr>
          <w:p>
            <w:pPr>
              <w:spacing w:after="0"/>
              <w:rPr>
                <w:sz w:val="1"/>
                <w:szCs w:val="1"/>
                <w:color w:val="auto"/>
              </w:rPr>
            </w:pPr>
          </w:p>
        </w:tc>
      </w:tr>
      <w:tr>
        <w:trPr>
          <w:trHeight w:val="296"/>
        </w:trPr>
        <w:tc>
          <w:tcPr>
            <w:tcW w:w="46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ind w:left="980"/>
              <w:spacing w:after="0"/>
              <w:rPr>
                <w:sz w:val="20"/>
                <w:szCs w:val="20"/>
                <w:color w:val="auto"/>
              </w:rPr>
            </w:pPr>
            <w:r>
              <w:rPr>
                <w:rFonts w:ascii="Arial" w:cs="Arial" w:eastAsia="Arial" w:hAnsi="Arial"/>
                <w:sz w:val="22"/>
                <w:szCs w:val="22"/>
                <w:b w:val="1"/>
                <w:bCs w:val="1"/>
                <w:color w:val="auto"/>
              </w:rPr>
              <w:t>Committee</w:t>
            </w: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James T. Thompson, Chair</w:t>
            </w:r>
          </w:p>
        </w:tc>
        <w:tc>
          <w:tcPr>
            <w:tcW w:w="6540" w:type="dxa"/>
            <w:vAlign w:val="bottom"/>
          </w:tcPr>
          <w:p>
            <w:pPr>
              <w:ind w:left="1300"/>
              <w:spacing w:after="0"/>
              <w:rPr>
                <w:sz w:val="20"/>
                <w:szCs w:val="20"/>
                <w:color w:val="auto"/>
              </w:rPr>
            </w:pPr>
            <w:r>
              <w:rPr>
                <w:rFonts w:ascii="Arial" w:cs="Arial" w:eastAsia="Arial" w:hAnsi="Arial"/>
                <w:sz w:val="18"/>
                <w:szCs w:val="18"/>
                <w:color w:val="auto"/>
              </w:rPr>
              <w:t>•   Establish compensation policies for our company.</w:t>
            </w:r>
          </w:p>
        </w:tc>
        <w:tc>
          <w:tcPr>
            <w:tcW w:w="0" w:type="dxa"/>
            <w:vAlign w:val="bottom"/>
          </w:tcPr>
          <w:p>
            <w:pPr>
              <w:spacing w:after="0"/>
              <w:rPr>
                <w:sz w:val="1"/>
                <w:szCs w:val="1"/>
                <w:color w:val="auto"/>
              </w:rPr>
            </w:pPr>
          </w:p>
        </w:tc>
      </w:tr>
      <w:tr>
        <w:trPr>
          <w:trHeight w:val="217"/>
        </w:trPr>
        <w:tc>
          <w:tcPr>
            <w:tcW w:w="4680" w:type="dxa"/>
            <w:vAlign w:val="bottom"/>
            <w:vMerge w:val="restart"/>
          </w:tcPr>
          <w:p>
            <w:pPr>
              <w:ind w:left="40"/>
              <w:spacing w:after="0"/>
              <w:rPr>
                <w:sz w:val="20"/>
                <w:szCs w:val="20"/>
                <w:color w:val="auto"/>
              </w:rPr>
            </w:pPr>
            <w:r>
              <w:rPr>
                <w:rFonts w:ascii="Arial" w:cs="Arial" w:eastAsia="Arial" w:hAnsi="Arial"/>
                <w:sz w:val="18"/>
                <w:szCs w:val="18"/>
                <w:color w:val="auto"/>
              </w:rPr>
              <w:t>Mary J. Schumacher</w:t>
            </w:r>
          </w:p>
        </w:tc>
        <w:tc>
          <w:tcPr>
            <w:tcW w:w="6540" w:type="dxa"/>
            <w:vAlign w:val="bottom"/>
          </w:tcPr>
          <w:p>
            <w:pPr>
              <w:ind w:left="1300"/>
              <w:spacing w:after="0"/>
              <w:rPr>
                <w:sz w:val="20"/>
                <w:szCs w:val="20"/>
                <w:color w:val="auto"/>
              </w:rPr>
            </w:pPr>
            <w:r>
              <w:rPr>
                <w:rFonts w:ascii="Arial" w:cs="Arial" w:eastAsia="Arial" w:hAnsi="Arial"/>
                <w:sz w:val="18"/>
                <w:szCs w:val="18"/>
                <w:color w:val="auto"/>
              </w:rPr>
              <w:t>•   Review and set compensation for our executive officers.</w:t>
            </w:r>
          </w:p>
        </w:tc>
        <w:tc>
          <w:tcPr>
            <w:tcW w:w="0" w:type="dxa"/>
            <w:vAlign w:val="bottom"/>
          </w:tcPr>
          <w:p>
            <w:pPr>
              <w:spacing w:after="0"/>
              <w:rPr>
                <w:sz w:val="1"/>
                <w:szCs w:val="1"/>
                <w:color w:val="auto"/>
              </w:rPr>
            </w:pPr>
          </w:p>
        </w:tc>
      </w:tr>
      <w:tr>
        <w:trPr>
          <w:trHeight w:val="188"/>
        </w:trPr>
        <w:tc>
          <w:tcPr>
            <w:tcW w:w="4680" w:type="dxa"/>
            <w:vAlign w:val="bottom"/>
            <w:vMerge w:val="continue"/>
          </w:tcPr>
          <w:p>
            <w:pPr>
              <w:spacing w:after="0"/>
              <w:rPr>
                <w:sz w:val="16"/>
                <w:szCs w:val="16"/>
                <w:color w:val="auto"/>
              </w:rPr>
            </w:pPr>
          </w:p>
        </w:tc>
        <w:tc>
          <w:tcPr>
            <w:tcW w:w="6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40"/>
              <w:spacing w:after="0"/>
              <w:rPr>
                <w:sz w:val="20"/>
                <w:szCs w:val="20"/>
                <w:color w:val="auto"/>
              </w:rPr>
            </w:pPr>
            <w:r>
              <w:rPr>
                <w:rFonts w:ascii="Arial" w:cs="Arial" w:eastAsia="Arial" w:hAnsi="Arial"/>
                <w:sz w:val="18"/>
                <w:szCs w:val="18"/>
                <w:color w:val="auto"/>
              </w:rPr>
              <w:t>Jeffrey L. Wright</w:t>
            </w: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meetings during fiscal 2020: 4</w:t>
      </w:r>
    </w:p>
    <w:p>
      <w:pPr>
        <w:spacing w:after="0" w:line="279" w:lineRule="exact"/>
        <w:rPr>
          <w:sz w:val="20"/>
          <w:szCs w:val="20"/>
          <w:color w:val="auto"/>
        </w:rPr>
      </w:pPr>
    </w:p>
    <w:p>
      <w:pPr>
        <w:ind w:left="660" w:right="340" w:hanging="328"/>
        <w:spacing w:after="0" w:line="256"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has determined that all members of the Compensation Committee are “independent directors” as that term is defined under the applicable listing standards of Nasdaq and “non-employee directors” as that term is defined in Rule 16b-3 promulgated under the Securities Exchange Act of 1934.</w:t>
      </w:r>
    </w:p>
    <w:p>
      <w:pPr>
        <w:spacing w:after="0" w:line="228" w:lineRule="exact"/>
        <w:rPr>
          <w:rFonts w:ascii="Arial" w:cs="Arial" w:eastAsia="Arial" w:hAnsi="Arial"/>
          <w:sz w:val="18"/>
          <w:szCs w:val="18"/>
          <w:color w:val="auto"/>
        </w:rPr>
      </w:pPr>
    </w:p>
    <w:p>
      <w:pPr>
        <w:ind w:left="660" w:right="40" w:hanging="328"/>
        <w:spacing w:after="0" w:line="267" w:lineRule="auto"/>
        <w:tabs>
          <w:tab w:leader="none" w:pos="62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Compensation Committee retained independent compensation consultant McLagan, which is part of the Rewards Solutions practice at Aon plc ("McLagan"), to provide the Compensation Committee with independent advice regarding industry practices for fiscal 2020. No member of the Board or any executive officer has any affiliation with McLagan. McLagan provides no other services to the company, and reports to the chair of the Compensation Committee. The Compensation Committee has assessed the independence of McLagan in accordance with SEC and Nasdaq rules and regulations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2020.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225" w:lineRule="exact"/>
        <w:rPr>
          <w:rFonts w:ascii="Arial" w:cs="Arial" w:eastAsia="Arial" w:hAnsi="Arial"/>
          <w:sz w:val="17"/>
          <w:szCs w:val="17"/>
          <w:color w:val="auto"/>
        </w:rPr>
      </w:pPr>
    </w:p>
    <w:p>
      <w:pPr>
        <w:ind w:left="660" w:right="120" w:hanging="328"/>
        <w:spacing w:after="0" w:line="253"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Compensation Committee also regularly consults with our Chief Executive Officer, who makes recommendations to the Compensation Committee regarding compensation of our executive officers other than the Chief Executive Officer, but the Chief Executive Officer is not present during voting or deliberations relating to his own compensation. Additional information on the role of the compensation consultants and management in the Compensation Committee’s processes and procedures can be found in the Compensation Discussion and Analysis section below.</w:t>
      </w:r>
    </w:p>
    <w:p>
      <w:pPr>
        <w:spacing w:after="0" w:line="232" w:lineRule="exact"/>
        <w:rPr>
          <w:rFonts w:ascii="Arial" w:cs="Arial" w:eastAsia="Arial" w:hAnsi="Arial"/>
          <w:sz w:val="18"/>
          <w:szCs w:val="18"/>
          <w:color w:val="auto"/>
        </w:rPr>
      </w:pPr>
    </w:p>
    <w:p>
      <w:pPr>
        <w:ind w:left="660" w:right="400" w:hanging="328"/>
        <w:spacing w:after="0" w:line="261"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908" w:right="359" w:bottom="1440" w:gutter="0" w:footer="0" w:header="0"/>
        </w:sectPr>
      </w:pPr>
    </w:p>
    <w:bookmarkStart w:id="10" w:name="page11"/>
    <w:bookmarkEnd w:id="1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1628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28775"/>
                    </a:xfrm>
                    <a:prstGeom prst="rect">
                      <a:avLst/>
                    </a:prstGeom>
                    <a:noFill/>
                  </pic:spPr>
                </pic:pic>
              </a:graphicData>
            </a:graphic>
          </wp:anchor>
        </w:drawing>
        <w:t>GOVERNANCE AND NOMINATING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40" w:type="dxa"/>
            <w:vAlign w:val="bottom"/>
            <w:tcBorders>
              <w:top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Governance and Nominating Committee Members</w:t>
            </w:r>
          </w:p>
        </w:tc>
        <w:tc>
          <w:tcPr>
            <w:tcW w:w="5580" w:type="dxa"/>
            <w:vAlign w:val="bottom"/>
            <w:tcBorders>
              <w:top w:val="single" w:sz="8" w:color="auto"/>
            </w:tcBorders>
          </w:tcPr>
          <w:p>
            <w:pPr>
              <w:ind w:left="20"/>
              <w:spacing w:after="0" w:line="248" w:lineRule="exact"/>
              <w:rPr>
                <w:sz w:val="20"/>
                <w:szCs w:val="20"/>
                <w:color w:val="auto"/>
              </w:rPr>
            </w:pPr>
            <w:r>
              <w:rPr>
                <w:rFonts w:ascii="Arial" w:cs="Arial" w:eastAsia="Arial" w:hAnsi="Arial"/>
                <w:sz w:val="22"/>
                <w:szCs w:val="22"/>
                <w:b w:val="1"/>
                <w:bCs w:val="1"/>
                <w:color w:val="auto"/>
              </w:rPr>
              <w:t>Representative Functions of the Governance and</w:t>
            </w:r>
          </w:p>
        </w:tc>
      </w:tr>
      <w:tr>
        <w:trPr>
          <w:trHeight w:val="296"/>
        </w:trPr>
        <w:tc>
          <w:tcPr>
            <w:tcW w:w="5640" w:type="dxa"/>
            <w:vAlign w:val="bottom"/>
            <w:tcBorders>
              <w:bottom w:val="single" w:sz="8" w:color="auto"/>
              <w:right w:val="single" w:sz="8" w:color="auto"/>
            </w:tcBorders>
          </w:tcPr>
          <w:p>
            <w:pPr>
              <w:spacing w:after="0"/>
              <w:rPr>
                <w:sz w:val="24"/>
                <w:szCs w:val="24"/>
                <w:color w:val="auto"/>
              </w:rPr>
            </w:pP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Nominating Committee</w:t>
            </w:r>
          </w:p>
        </w:tc>
      </w:tr>
      <w:tr>
        <w:trPr>
          <w:trHeight w:val="229"/>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A. Faulconbridge, Chair</w:t>
            </w:r>
          </w:p>
        </w:tc>
        <w:tc>
          <w:tcPr>
            <w:tcW w:w="5580" w:type="dxa"/>
            <w:vAlign w:val="bottom"/>
          </w:tcPr>
          <w:p>
            <w:pPr>
              <w:ind w:left="340"/>
              <w:spacing w:after="0"/>
              <w:rPr>
                <w:sz w:val="20"/>
                <w:szCs w:val="20"/>
                <w:color w:val="auto"/>
              </w:rPr>
            </w:pPr>
            <w:r>
              <w:rPr>
                <w:rFonts w:ascii="Arial" w:cs="Arial" w:eastAsia="Arial" w:hAnsi="Arial"/>
                <w:sz w:val="18"/>
                <w:szCs w:val="18"/>
                <w:color w:val="auto"/>
              </w:rPr>
              <w:t>•   Identify individuals qualified to become directors and</w:t>
            </w:r>
          </w:p>
        </w:tc>
      </w:tr>
      <w:tr>
        <w:trPr>
          <w:trHeight w:val="203"/>
        </w:trPr>
        <w:tc>
          <w:tcPr>
            <w:tcW w:w="5640" w:type="dxa"/>
            <w:vAlign w:val="bottom"/>
            <w:tcBorders>
              <w:right w:val="single" w:sz="8" w:color="auto"/>
            </w:tcBorders>
          </w:tcPr>
          <w:p>
            <w:pPr>
              <w:spacing w:after="0"/>
              <w:rPr>
                <w:sz w:val="17"/>
                <w:szCs w:val="17"/>
                <w:color w:val="auto"/>
              </w:rPr>
            </w:pP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recommend nominees to our Board for election at annual</w:t>
            </w:r>
          </w:p>
        </w:tc>
      </w:tr>
      <w:tr>
        <w:trPr>
          <w:trHeight w:val="203"/>
        </w:trPr>
        <w:tc>
          <w:tcPr>
            <w:tcW w:w="56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John S. McKeon</w:t>
            </w: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meetings of shareholders and to fill vacancies</w:t>
            </w:r>
          </w:p>
        </w:tc>
      </w:tr>
      <w:tr>
        <w:trPr>
          <w:trHeight w:val="203"/>
        </w:trPr>
        <w:tc>
          <w:tcPr>
            <w:tcW w:w="56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Monitor developments in director compensation.</w:t>
            </w:r>
          </w:p>
        </w:tc>
      </w:tr>
      <w:tr>
        <w:trPr>
          <w:trHeight w:val="203"/>
        </w:trPr>
        <w:tc>
          <w:tcPr>
            <w:tcW w:w="56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Jeffrey L. Wright</w:t>
            </w: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Develop and recommend to our Board corporate governance</w:t>
            </w:r>
          </w:p>
        </w:tc>
      </w:tr>
      <w:tr>
        <w:trPr>
          <w:trHeight w:val="203"/>
        </w:trPr>
        <w:tc>
          <w:tcPr>
            <w:tcW w:w="5640" w:type="dxa"/>
            <w:vAlign w:val="bottom"/>
            <w:tcBorders>
              <w:right w:val="single" w:sz="8" w:color="auto"/>
            </w:tcBorders>
          </w:tcPr>
          <w:p>
            <w:pPr>
              <w:spacing w:after="0"/>
              <w:rPr>
                <w:sz w:val="17"/>
                <w:szCs w:val="17"/>
                <w:color w:val="auto"/>
              </w:rPr>
            </w:pPr>
          </w:p>
        </w:tc>
        <w:tc>
          <w:tcPr>
            <w:tcW w:w="5580" w:type="dxa"/>
            <w:vAlign w:val="bottom"/>
          </w:tcPr>
          <w:p>
            <w:pPr>
              <w:ind w:left="660"/>
              <w:spacing w:after="0" w:line="202" w:lineRule="exact"/>
              <w:rPr>
                <w:sz w:val="20"/>
                <w:szCs w:val="20"/>
                <w:color w:val="auto"/>
              </w:rPr>
            </w:pPr>
            <w:r>
              <w:rPr>
                <w:rFonts w:ascii="Arial" w:cs="Arial" w:eastAsia="Arial" w:hAnsi="Arial"/>
                <w:sz w:val="18"/>
                <w:szCs w:val="18"/>
                <w:color w:val="auto"/>
              </w:rPr>
              <w:t>principles applicable to us.</w:t>
            </w:r>
          </w:p>
        </w:tc>
      </w:tr>
      <w:tr>
        <w:trPr>
          <w:trHeight w:val="203"/>
        </w:trPr>
        <w:tc>
          <w:tcPr>
            <w:tcW w:w="5640" w:type="dxa"/>
            <w:vAlign w:val="bottom"/>
            <w:tcBorders>
              <w:right w:val="single" w:sz="8" w:color="auto"/>
            </w:tcBorders>
          </w:tcPr>
          <w:p>
            <w:pPr>
              <w:spacing w:after="0"/>
              <w:rPr>
                <w:sz w:val="17"/>
                <w:szCs w:val="17"/>
                <w:color w:val="auto"/>
              </w:rPr>
            </w:pP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rPr>
              <w:t>•   Oversee public policy matters and compliance with our Code</w:t>
            </w:r>
          </w:p>
        </w:tc>
      </w:tr>
      <w:tr>
        <w:trPr>
          <w:trHeight w:val="224"/>
        </w:trPr>
        <w:tc>
          <w:tcPr>
            <w:tcW w:w="5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meetings during fiscal 2020: 3</w:t>
            </w:r>
          </w:p>
        </w:tc>
        <w:tc>
          <w:tcPr>
            <w:tcW w:w="55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of Conduct.</w:t>
            </w:r>
          </w:p>
        </w:tc>
      </w:tr>
    </w:tbl>
    <w:p>
      <w:pPr>
        <w:spacing w:after="0" w:line="242" w:lineRule="exact"/>
        <w:rPr>
          <w:sz w:val="20"/>
          <w:szCs w:val="20"/>
          <w:color w:val="auto"/>
        </w:rPr>
      </w:pPr>
    </w:p>
    <w:p>
      <w:pPr>
        <w:jc w:val="both"/>
        <w:ind w:left="660" w:right="60" w:hanging="328"/>
        <w:spacing w:after="0" w:line="256"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228" w:lineRule="exact"/>
        <w:rPr>
          <w:rFonts w:ascii="Arial" w:cs="Arial" w:eastAsia="Arial" w:hAnsi="Arial"/>
          <w:sz w:val="18"/>
          <w:szCs w:val="18"/>
          <w:color w:val="auto"/>
        </w:rPr>
      </w:pPr>
    </w:p>
    <w:p>
      <w:pPr>
        <w:ind w:left="660" w:right="560" w:hanging="328"/>
        <w:spacing w:after="0" w:line="26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Process</w:t>
      </w:r>
    </w:p>
    <w:p>
      <w:pPr>
        <w:spacing w:after="0" w:line="13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To maintain flexibility in its consideration of candidates, our Board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has reported to the Board and its Audit Committee on various risk management matters during fiscal 2020. The Audit Committee, in turn, reports on the matters discussed at the committee level to the full Board. The Audit Committee and the Board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Communications with Directors</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Shareholders can contact the full Board,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SOCIAL AND GOVERNANCE PRINCIPLES</w:t>
      </w:r>
    </w:p>
    <w:p>
      <w:pPr>
        <w:spacing w:after="0" w:line="282"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We are committed to strong environmental, social and governance ("ESG") principles. We recognize that the way we do business impacts our results. Accordingly, we promote and support business practices that are environmentally sustainable, socially conscious, and aligned with strong corporate governance practices. In fiscal 2020 we engaged a third-party firm to assist us in preparing our first ESG report. The report, available on our website (www.hawkinsinc.com), highlights our commitment to ESG principles.</w:t>
      </w:r>
    </w:p>
    <w:p>
      <w:pPr>
        <w:spacing w:after="0" w:line="23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work to improve the quality of people's lives--from employees, to customers, to the communities where we operate. Recent initiatives have focused on:</w:t>
      </w:r>
    </w:p>
    <w:p>
      <w:pPr>
        <w:spacing w:after="0" w:line="1" w:lineRule="exact"/>
        <w:rPr>
          <w:sz w:val="20"/>
          <w:szCs w:val="20"/>
          <w:color w:val="auto"/>
        </w:rPr>
      </w:pPr>
    </w:p>
    <w:p>
      <w:pPr>
        <w:ind w:left="660" w:right="20" w:hanging="328"/>
        <w:spacing w:after="0" w:line="265" w:lineRule="auto"/>
        <w:tabs>
          <w:tab w:leader="none" w:pos="62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People </w:t>
      </w:r>
      <w:r>
        <w:rPr>
          <w:rFonts w:ascii="Arial" w:cs="Arial" w:eastAsia="Arial" w:hAnsi="Arial"/>
          <w:sz w:val="17"/>
          <w:szCs w:val="17"/>
          <w:color w:val="auto"/>
        </w:rPr>
        <w:t>- our employees are the heart of our business and our long-term success. Safety is our core value and we work to achieve</w:t>
      </w:r>
      <w:r>
        <w:rPr>
          <w:rFonts w:ascii="Arial" w:cs="Arial" w:eastAsia="Arial" w:hAnsi="Arial"/>
          <w:sz w:val="17"/>
          <w:szCs w:val="17"/>
          <w:i w:val="1"/>
          <w:iCs w:val="1"/>
          <w:color w:val="auto"/>
        </w:rPr>
        <w:t xml:space="preserve"> </w:t>
      </w:r>
      <w:r>
        <w:rPr>
          <w:rFonts w:ascii="Arial" w:cs="Arial" w:eastAsia="Arial" w:hAnsi="Arial"/>
          <w:sz w:val="17"/>
          <w:szCs w:val="17"/>
          <w:color w:val="auto"/>
        </w:rPr>
        <w:t>zero recordable injuries. Over the past year, we improved our total recordable incident rate by 21% and reduced our recordable injuries by 5%. We continue to assess and adopt new processes to improve the safety of our employees. The health of our employees is also critical and that is why we moved aggressively to implement protective measures to address the COVID-19 pandemic. We seek to retain our employees through competitive compensation and benefits package and our values-driven culture.</w:t>
      </w:r>
    </w:p>
    <w:p>
      <w:pPr>
        <w:ind w:left="660" w:right="280" w:hanging="328"/>
        <w:spacing w:after="0" w:line="250"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Environment </w:t>
      </w:r>
      <w:r>
        <w:rPr>
          <w:rFonts w:ascii="Arial" w:cs="Arial" w:eastAsia="Arial" w:hAnsi="Arial"/>
          <w:sz w:val="18"/>
          <w:szCs w:val="18"/>
          <w:color w:val="auto"/>
        </w:rPr>
        <w:t>- Many of our products are crucial in assisting our customers in reducing their impact on the environment. Our 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chemistry ensures that millions of Americans have safe drinking water every day and cleans the wastewater before it enters our lakes and streams. Many of our products help our customers meet their environmental sustainability goals.</w:t>
      </w:r>
    </w:p>
    <w:p>
      <w:pPr>
        <w:spacing w:after="0" w:line="1" w:lineRule="exact"/>
        <w:rPr>
          <w:rFonts w:ascii="Arial" w:cs="Arial" w:eastAsia="Arial" w:hAnsi="Arial"/>
          <w:sz w:val="18"/>
          <w:szCs w:val="18"/>
          <w:color w:val="auto"/>
        </w:rPr>
      </w:pPr>
    </w:p>
    <w:p>
      <w:pPr>
        <w:ind w:left="660" w:right="240" w:hanging="328"/>
        <w:spacing w:after="0" w:line="254"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Community Impact </w:t>
      </w:r>
      <w:r>
        <w:rPr>
          <w:rFonts w:ascii="Arial" w:cs="Arial" w:eastAsia="Arial" w:hAnsi="Arial"/>
          <w:sz w:val="18"/>
          <w:szCs w:val="18"/>
          <w:color w:val="auto"/>
        </w:rPr>
        <w:t>- With more than 650 employees, we believe our greatest asset for driving change is the commitment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driving positive impact in their communities. We sponsor and support numerous charitable organizations and our employees donate their time. These contributions help to support the work of nonprofit organizations of all sizes, working in areas such as youth activities, disaster response, hunger prevention, and food safety.</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the Board level, our Governance and Nominating Committee oversees sustainability and social responsibility. At the management level, our Chief Financial Officer and General Counsel, who report directly to our Chief Executive Officer, have general oversight responsibility with respect to matters of sustainability and social responsibility.</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890" w:right="41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8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Audit Committee has (i) reviewed and discussed our audited financial statements for fiscal 2020 with both our management and KPMG LLP (“KPMG”); (ii) discussed with KPMG the matters required to be discussed by the applicable requirements of the Public Company Accounting Oversight Board and the Commission;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235"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financial statements be included in our Annual Report on Form 10-K for fiscal 2020 for filing with the SEC.</w:t>
      </w:r>
    </w:p>
    <w:p>
      <w:pPr>
        <w:spacing w:after="0" w:line="58" w:lineRule="exact"/>
        <w:rPr>
          <w:sz w:val="20"/>
          <w:szCs w:val="20"/>
          <w:color w:val="auto"/>
        </w:rPr>
      </w:pPr>
    </w:p>
    <w:p>
      <w:pPr>
        <w:ind w:left="2420"/>
        <w:spacing w:after="0"/>
        <w:tabs>
          <w:tab w:leader="none" w:pos="4760" w:val="left"/>
          <w:tab w:leader="none" w:pos="716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7"/>
          <w:szCs w:val="17"/>
          <w:i w:val="1"/>
          <w:iCs w:val="1"/>
          <w:color w:val="auto"/>
        </w:rPr>
        <w:t>Mary J. Schumacher</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shows the aggregate fees charged to us by our independent registered public accounting firm, KPMG LLP ("KPMG"), for services rendered during fiscal 2020 and fiscal 2019. The Audit Committee pre-approved all of the services described below.</w:t>
      </w:r>
    </w:p>
    <w:tbl>
      <w:tblPr>
        <w:tblLayout w:type="fixed"/>
        <w:tblInd w:w="10" w:type="dxa"/>
        <w:tblCellMar>
          <w:top w:w="0" w:type="dxa"/>
          <w:left w:w="0" w:type="dxa"/>
          <w:bottom w:w="0" w:type="dxa"/>
          <w:right w:w="0" w:type="dxa"/>
        </w:tblCellMar>
      </w:tblPr>
      <w:tr>
        <w:trPr>
          <w:trHeight w:val="210"/>
        </w:trPr>
        <w:tc>
          <w:tcPr>
            <w:tcW w:w="40" w:type="dxa"/>
            <w:vAlign w:val="bottom"/>
            <w:tcBorders>
              <w:top w:val="single" w:sz="8" w:color="auto"/>
              <w:left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9"/>
              </w:rPr>
              <w:t>Fiscal 2020</w:t>
            </w:r>
          </w:p>
        </w:tc>
        <w:tc>
          <w:tcPr>
            <w:tcW w:w="28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Fiscal 2019</w:t>
            </w:r>
          </w:p>
        </w:tc>
      </w:tr>
      <w:tr>
        <w:trPr>
          <w:trHeight w:val="198"/>
        </w:trPr>
        <w:tc>
          <w:tcPr>
            <w:tcW w:w="7380" w:type="dxa"/>
            <w:vAlign w:val="bottom"/>
            <w:tcBorders>
              <w:left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Description of Fees</w:t>
            </w:r>
          </w:p>
        </w:tc>
        <w:tc>
          <w:tcPr>
            <w:tcW w:w="280" w:type="dxa"/>
            <w:vAlign w:val="bottom"/>
          </w:tcPr>
          <w:p>
            <w:pPr>
              <w:spacing w:after="0"/>
              <w:rPr>
                <w:sz w:val="17"/>
                <w:szCs w:val="17"/>
                <w:color w:val="auto"/>
              </w:rPr>
            </w:pPr>
          </w:p>
        </w:tc>
        <w:tc>
          <w:tcPr>
            <w:tcW w:w="16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17"/>
                <w:szCs w:val="17"/>
                <w:color w:val="auto"/>
              </w:rPr>
            </w:pPr>
          </w:p>
        </w:tc>
        <w:tc>
          <w:tcPr>
            <w:tcW w:w="1600" w:type="dxa"/>
            <w:vAlign w:val="bottom"/>
            <w:tcBorders>
              <w:right w:val="single" w:sz="8" w:color="auto"/>
            </w:tcBorders>
          </w:tcPr>
          <w:p>
            <w:pPr>
              <w:jc w:val="right"/>
              <w:ind w:right="530"/>
              <w:spacing w:after="0" w:line="198" w:lineRule="exact"/>
              <w:rPr>
                <w:sz w:val="20"/>
                <w:szCs w:val="20"/>
                <w:color w:val="auto"/>
              </w:rPr>
            </w:pPr>
            <w:r>
              <w:rPr>
                <w:rFonts w:ascii="Arial" w:cs="Arial" w:eastAsia="Arial" w:hAnsi="Arial"/>
                <w:sz w:val="18"/>
                <w:szCs w:val="18"/>
                <w:b w:val="1"/>
                <w:bCs w:val="1"/>
                <w:color w:val="auto"/>
              </w:rPr>
              <w:t>Amount</w:t>
            </w:r>
          </w:p>
        </w:tc>
      </w:tr>
      <w:tr>
        <w:trPr>
          <w:trHeight w:val="34"/>
        </w:trPr>
        <w:tc>
          <w:tcPr>
            <w:tcW w:w="40" w:type="dxa"/>
            <w:vAlign w:val="bottom"/>
            <w:tcBorders>
              <w:left w:val="single" w:sz="8" w:color="auto"/>
              <w:bottom w:val="single" w:sz="8" w:color="B3B3B3"/>
            </w:tcBorders>
          </w:tcPr>
          <w:p>
            <w:pPr>
              <w:spacing w:after="0"/>
              <w:rPr>
                <w:sz w:val="2"/>
                <w:szCs w:val="2"/>
                <w:color w:val="auto"/>
              </w:rPr>
            </w:pPr>
          </w:p>
        </w:tc>
        <w:tc>
          <w:tcPr>
            <w:tcW w:w="1660" w:type="dxa"/>
            <w:vAlign w:val="bottom"/>
            <w:tcBorders>
              <w:top w:val="single" w:sz="8" w:color="auto"/>
              <w:bottom w:val="single" w:sz="8" w:color="B3B3B3"/>
            </w:tcBorders>
          </w:tcPr>
          <w:p>
            <w:pPr>
              <w:spacing w:after="0"/>
              <w:rPr>
                <w:sz w:val="2"/>
                <w:szCs w:val="2"/>
                <w:color w:val="auto"/>
              </w:rPr>
            </w:pPr>
          </w:p>
        </w:tc>
        <w:tc>
          <w:tcPr>
            <w:tcW w:w="5680" w:type="dxa"/>
            <w:vAlign w:val="bottom"/>
            <w:tcBorders>
              <w:bottom w:val="single" w:sz="8" w:color="B3B3B3"/>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0"/>
        </w:trPr>
        <w:tc>
          <w:tcPr>
            <w:tcW w:w="738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Audit fees</w:t>
            </w:r>
          </w:p>
        </w:tc>
        <w:tc>
          <w:tcPr>
            <w:tcW w:w="28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B3B3B3"/>
          </w:tcPr>
          <w:p>
            <w:pPr>
              <w:jc w:val="right"/>
              <w:ind w:right="50"/>
              <w:spacing w:after="0"/>
              <w:rPr>
                <w:sz w:val="20"/>
                <w:szCs w:val="20"/>
                <w:color w:val="auto"/>
              </w:rPr>
            </w:pPr>
            <w:r>
              <w:rPr>
                <w:rFonts w:ascii="Arial" w:cs="Arial" w:eastAsia="Arial" w:hAnsi="Arial"/>
                <w:sz w:val="18"/>
                <w:szCs w:val="18"/>
                <w:color w:val="auto"/>
              </w:rPr>
              <w:t>520,000</w:t>
            </w:r>
          </w:p>
        </w:tc>
        <w:tc>
          <w:tcPr>
            <w:tcW w:w="120" w:type="dxa"/>
            <w:vAlign w:val="bottom"/>
            <w:shd w:val="clear" w:color="auto" w:fill="B3B3B3"/>
          </w:tcPr>
          <w:p>
            <w:pPr>
              <w:spacing w:after="0"/>
              <w:rPr>
                <w:sz w:val="21"/>
                <w:szCs w:val="21"/>
                <w:color w:val="auto"/>
              </w:rPr>
            </w:pPr>
          </w:p>
        </w:tc>
        <w:tc>
          <w:tcPr>
            <w:tcW w:w="28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right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556,000</w:t>
            </w:r>
          </w:p>
        </w:tc>
      </w:tr>
      <w:tr>
        <w:trPr>
          <w:trHeight w:val="257"/>
        </w:trPr>
        <w:tc>
          <w:tcPr>
            <w:tcW w:w="7380" w:type="dxa"/>
            <w:vAlign w:val="bottom"/>
            <w:tcBorders>
              <w:left w:val="single" w:sz="8" w:color="auto"/>
            </w:tcBorders>
            <w:gridSpan w:val="3"/>
          </w:tcPr>
          <w:p>
            <w:pPr>
              <w:ind w:left="40"/>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(1)</w:t>
            </w:r>
          </w:p>
        </w:tc>
        <w:tc>
          <w:tcPr>
            <w:tcW w:w="280" w:type="dxa"/>
            <w:vAlign w:val="bottom"/>
          </w:tcPr>
          <w:p>
            <w:pPr>
              <w:spacing w:after="0"/>
              <w:rPr>
                <w:sz w:val="22"/>
                <w:szCs w:val="22"/>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5,000</w:t>
            </w:r>
          </w:p>
        </w:tc>
      </w:tr>
      <w:tr>
        <w:trPr>
          <w:trHeight w:val="257"/>
        </w:trPr>
        <w:tc>
          <w:tcPr>
            <w:tcW w:w="738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B3B3B3"/>
          </w:tcPr>
          <w:p>
            <w:pPr>
              <w:spacing w:after="0"/>
              <w:rPr>
                <w:sz w:val="22"/>
                <w:szCs w:val="22"/>
                <w:color w:val="auto"/>
              </w:rPr>
            </w:pPr>
          </w:p>
        </w:tc>
        <w:tc>
          <w:tcPr>
            <w:tcW w:w="168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B3B3B3"/>
          </w:tcPr>
          <w:p>
            <w:pPr>
              <w:spacing w:after="0"/>
              <w:rPr>
                <w:sz w:val="22"/>
                <w:szCs w:val="22"/>
                <w:color w:val="auto"/>
              </w:rPr>
            </w:pPr>
          </w:p>
        </w:tc>
        <w:tc>
          <w:tcPr>
            <w:tcW w:w="1600" w:type="dxa"/>
            <w:vAlign w:val="bottom"/>
            <w:tcBorders>
              <w:right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w:t>
            </w:r>
          </w:p>
        </w:tc>
      </w:tr>
      <w:tr>
        <w:trPr>
          <w:trHeight w:val="256"/>
        </w:trPr>
        <w:tc>
          <w:tcPr>
            <w:tcW w:w="7380" w:type="dxa"/>
            <w:vAlign w:val="bottom"/>
            <w:tcBorders>
              <w:left w:val="single" w:sz="8" w:color="auto"/>
              <w:bottom w:val="single" w:sz="8" w:color="B3B3B3"/>
            </w:tcBorders>
            <w:gridSpan w:val="3"/>
          </w:tcPr>
          <w:p>
            <w:pPr>
              <w:ind w:left="40"/>
              <w:spacing w:after="0" w:line="25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B3B3B3"/>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2,100</w:t>
            </w:r>
          </w:p>
        </w:tc>
      </w:tr>
      <w:tr>
        <w:trPr>
          <w:trHeight w:val="244"/>
        </w:trPr>
        <w:tc>
          <w:tcPr>
            <w:tcW w:w="40" w:type="dxa"/>
            <w:vAlign w:val="bottom"/>
            <w:tcBorders>
              <w:left w:val="single" w:sz="8" w:color="auto"/>
              <w:bottom w:val="single" w:sz="8" w:color="auto"/>
            </w:tcBorders>
            <w:shd w:val="clear" w:color="auto" w:fill="B3B3B3"/>
          </w:tcPr>
          <w:p>
            <w:pPr>
              <w:spacing w:after="0"/>
              <w:rPr>
                <w:sz w:val="21"/>
                <w:szCs w:val="21"/>
                <w:color w:val="auto"/>
              </w:rPr>
            </w:pPr>
          </w:p>
        </w:tc>
        <w:tc>
          <w:tcPr>
            <w:tcW w:w="7340" w:type="dxa"/>
            <w:vAlign w:val="bottom"/>
            <w:tcBorders>
              <w:bottom w:val="single" w:sz="8" w:color="auto"/>
            </w:tcBorders>
            <w:gridSpan w:val="2"/>
            <w:shd w:val="clear" w:color="auto" w:fill="B3B3B3"/>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B3B3B3"/>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B3B3B3"/>
          </w:tcPr>
          <w:p>
            <w:pPr>
              <w:jc w:val="right"/>
              <w:ind w:right="50"/>
              <w:spacing w:after="0"/>
              <w:rPr>
                <w:sz w:val="20"/>
                <w:szCs w:val="20"/>
                <w:color w:val="auto"/>
              </w:rPr>
            </w:pPr>
            <w:r>
              <w:rPr>
                <w:rFonts w:ascii="Arial" w:cs="Arial" w:eastAsia="Arial" w:hAnsi="Arial"/>
                <w:sz w:val="18"/>
                <w:szCs w:val="18"/>
                <w:color w:val="auto"/>
              </w:rPr>
              <w:t>527,100</w:t>
            </w:r>
          </w:p>
        </w:tc>
        <w:tc>
          <w:tcPr>
            <w:tcW w:w="120" w:type="dxa"/>
            <w:vAlign w:val="bottom"/>
            <w:tcBorders>
              <w:bottom w:val="single" w:sz="8" w:color="auto"/>
            </w:tcBorders>
            <w:shd w:val="clear" w:color="auto" w:fill="B3B3B3"/>
          </w:tcPr>
          <w:p>
            <w:pPr>
              <w:spacing w:after="0"/>
              <w:rPr>
                <w:sz w:val="21"/>
                <w:szCs w:val="21"/>
                <w:color w:val="auto"/>
              </w:rPr>
            </w:pPr>
          </w:p>
        </w:tc>
        <w:tc>
          <w:tcPr>
            <w:tcW w:w="280" w:type="dxa"/>
            <w:vAlign w:val="bottom"/>
            <w:tcBorders>
              <w:bottom w:val="single" w:sz="8" w:color="auto"/>
            </w:tcBorders>
            <w:shd w:val="clear" w:color="auto" w:fill="B3B3B3"/>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563,100</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(1) - These fees relate to a Form 8-K filed by the company and access to KPMG's accounting research tool.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 annually all audit services, as well as the nature and extent of specific types of audit-related, tax and other non-audit services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by the independent registered public accounting firm during the year. The Audit Committee reviews each non-audit service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and assesses the impact of the service on the auditors’ independence. As the need arises, other specific permitted services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pre-approved on a case-by-case basis during the year. The Audit Committee has delegated to its chair pre-approval authority between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Audit Committee.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pre-approvals made by the chair must be reported to the Audit Committee.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Accountants</w:t>
      </w:r>
    </w:p>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May 20, 2020, the Audit Committee dismissed KPMG effective on that date and approved the engagement of Grant Thornton LLP ("Grant Thornton") as our independent registered public accounting firm for fiscal 2021.</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Neither of KPMG’s reports on the financial statements of the company for the fiscal years 2019 or 2020 contained an adverse opinion or disclaimer of opinion, or was qualified or modified as to uncertainty, audit scope or accounting principles.</w:t>
      </w:r>
    </w:p>
    <w:p>
      <w:pPr>
        <w:spacing w:after="0" w:line="22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During fiscal years 2019 and 2020 and through May 20, 2020, there were no disagreements with KPMG on any matter of accounting principles or practices, financial statement disclosure, or auditing scope or procedure which, if not resolved to KPMG’s satisfaction, would have caused KPMG to make reference to the subject matter in connection with its reports on the company’s financial statements for such periods. During the same periods, there were no reportable events of the type set forth in Item 304(a)(1)(v) of Regulation S-K.</w:t>
      </w: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fiscal years 2019 and 2020 and through May 20, 2020, we did not consult with Grant Thornton with respect to any of the matters or reportable events set forth in Item 304(a)(2)(i) or (ii) or Regulation S-K.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9" w:right="339" w:bottom="1440" w:gutter="0" w:footer="0" w:header="0"/>
        </w:sectPr>
      </w:pPr>
    </w:p>
    <w:bookmarkStart w:id="13" w:name="page14"/>
    <w:bookmarkEnd w:id="13"/>
    <w:p>
      <w:pPr>
        <w:spacing w:after="0" w:line="256" w:lineRule="auto"/>
        <w:rPr>
          <w:sz w:val="20"/>
          <w:szCs w:val="20"/>
          <w:color w:val="auto"/>
        </w:rPr>
      </w:pPr>
      <w:r>
        <w:rPr>
          <w:rFonts w:ascii="Arial" w:cs="Arial" w:eastAsia="Arial" w:hAnsi="Arial"/>
          <w:sz w:val="18"/>
          <w:szCs w:val="18"/>
          <w:color w:val="auto"/>
        </w:rPr>
        <w:t>We provided KPMG and Grant Thornton with a copy of the statements made in this section in conjunction with our Current Report on Form 8-K, dated February 11, 2020. A copy of the letter from KPMG, dated February 11, 2020, was included as Exhibit 16.1 to that Current Report on Form 8-K.</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OF EXECUTIVE OFFICERS AND DIRECTORS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3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2020:</w:t>
      </w:r>
    </w:p>
    <w:p>
      <w:pPr>
        <w:spacing w:after="0" w:line="76" w:lineRule="exact"/>
        <w:rPr>
          <w:sz w:val="20"/>
          <w:szCs w:val="20"/>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Jeffrey P. Oldenkamp, Vice President, Chief Financial Officer and Treasurer;</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Thomas J. Keller, Vice President - Water Treatment; and,</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John R. Sevenich, Vice President - Industrial.</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3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 interests of our shareholders. During fiscal 2020, the compensation committee did not make any significant changes to its executive compensation policies or to the structure of our executive compensation program, having taken into account, among other things, the fact that the holders of approximately 95% of the shares voted at each of our last five annual meeting of shareholders approved, on an advisory basis, the compensation of our named executive officers as disclosed in the proxy statement for that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143500" cy="171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corporate performance measure for fiscal 2020 for purposes of both the non-equity and equity-based incentive arrangements was income before income taxes. Because actual performance significantly exceeded both the threshold and target performance levels, our named executive officers received payouts of 179% of the targeted payout level under the corporate performance measure of our annual non-equity incentive compensation arrangement, and earned 140% of the targeted number of restricted shares issuable in settlement of the performance-based restricted stock units granted for fiscal 2020, each as described below.</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Gross profit for our Water Treatment segment was $41.9 million for fiscal 2020, as compared to $38.0 million for fiscal 2019. Gross profit for our Industrial segment was $38.9 million for fiscal 2020, as compared to $ 34.9 million for fiscal 2019.The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was above target for</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908" w:right="339" w:bottom="1440" w:gutter="0" w:footer="0" w:header="0"/>
          <w:type w:val="continuous"/>
        </w:sectPr>
      </w:pPr>
    </w:p>
    <w:bookmarkStart w:id="14" w:name="page15"/>
    <w:bookmarkEnd w:id="14"/>
    <w:p>
      <w:pPr>
        <w:ind w:right="160"/>
        <w:spacing w:after="0" w:line="256" w:lineRule="auto"/>
        <w:rPr>
          <w:sz w:val="20"/>
          <w:szCs w:val="20"/>
          <w:color w:val="auto"/>
        </w:rPr>
      </w:pPr>
      <w:r>
        <w:rPr>
          <w:rFonts w:ascii="Arial" w:cs="Arial" w:eastAsia="Arial" w:hAnsi="Arial"/>
          <w:sz w:val="18"/>
          <w:szCs w:val="18"/>
          <w:color w:val="auto"/>
        </w:rPr>
        <w:t>both the Water Treatment and Industrial segments, and as a result our Vice President - Water Treatment and our Vice President - Industrial each received an above-target payout under the business unit performance measure of our annual non-equity incentive compensation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098030" cy="2177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17741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Fiscal 2020 Performance-Based Compensation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180" w:type="dxa"/>
            <w:vAlign w:val="bottom"/>
            <w:shd w:val="clear" w:color="auto" w:fill="000000"/>
          </w:tcPr>
          <w:p>
            <w:pPr>
              <w:spacing w:after="0"/>
              <w:rPr>
                <w:sz w:val="2"/>
                <w:szCs w:val="2"/>
                <w:color w:val="auto"/>
              </w:rPr>
            </w:pPr>
          </w:p>
        </w:tc>
        <w:tc>
          <w:tcPr>
            <w:tcW w:w="2160" w:type="dxa"/>
            <w:vAlign w:val="bottom"/>
            <w:tcBorders>
              <w:right w:val="single" w:sz="8" w:color="auto"/>
            </w:tcBorders>
            <w:shd w:val="clear" w:color="auto" w:fill="000000"/>
          </w:tcPr>
          <w:p>
            <w:pPr>
              <w:spacing w:after="0"/>
              <w:rPr>
                <w:sz w:val="2"/>
                <w:szCs w:val="2"/>
                <w:color w:val="auto"/>
              </w:rPr>
            </w:pPr>
          </w:p>
        </w:tc>
        <w:tc>
          <w:tcPr>
            <w:tcW w:w="1880" w:type="dxa"/>
            <w:vAlign w:val="bottom"/>
            <w:tcBorders>
              <w:right w:val="single" w:sz="8" w:color="auto"/>
            </w:tcBorders>
            <w:shd w:val="clear" w:color="auto" w:fill="000000"/>
          </w:tcPr>
          <w:p>
            <w:pPr>
              <w:spacing w:after="0"/>
              <w:rPr>
                <w:sz w:val="2"/>
                <w:szCs w:val="2"/>
                <w:color w:val="auto"/>
              </w:rPr>
            </w:pPr>
          </w:p>
        </w:tc>
        <w:tc>
          <w:tcPr>
            <w:tcW w:w="1780" w:type="dxa"/>
            <w:vAlign w:val="bottom"/>
            <w:tcBorders>
              <w:right w:val="single" w:sz="8" w:color="auto"/>
            </w:tcBorders>
            <w:shd w:val="clear" w:color="auto" w:fill="000000"/>
          </w:tcPr>
          <w:p>
            <w:pPr>
              <w:spacing w:after="0"/>
              <w:rPr>
                <w:sz w:val="2"/>
                <w:szCs w:val="2"/>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152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0" w:type="dxa"/>
            <w:vAlign w:val="bottom"/>
          </w:tcPr>
          <w:p>
            <w:pPr>
              <w:spacing w:after="0" w:line="20" w:lineRule="exact"/>
              <w:rPr>
                <w:sz w:val="1"/>
                <w:szCs w:val="1"/>
                <w:color w:val="auto"/>
              </w:rPr>
            </w:pPr>
          </w:p>
        </w:tc>
      </w:tr>
      <w:tr>
        <w:trPr>
          <w:trHeight w:val="228"/>
        </w:trPr>
        <w:tc>
          <w:tcPr>
            <w:tcW w:w="2180" w:type="dxa"/>
            <w:vAlign w:val="bottom"/>
            <w:shd w:val="clear" w:color="auto" w:fill="000000"/>
          </w:tcPr>
          <w:p>
            <w:pPr>
              <w:spacing w:after="0"/>
              <w:rPr>
                <w:sz w:val="19"/>
                <w:szCs w:val="19"/>
                <w:color w:val="auto"/>
              </w:rPr>
            </w:pPr>
          </w:p>
        </w:tc>
        <w:tc>
          <w:tcPr>
            <w:tcW w:w="2160" w:type="dxa"/>
            <w:vAlign w:val="bottom"/>
            <w:tcBorders>
              <w:right w:val="single" w:sz="8" w:color="auto"/>
            </w:tcBorders>
            <w:shd w:val="clear" w:color="auto" w:fill="000000"/>
          </w:tcPr>
          <w:p>
            <w:pPr>
              <w:spacing w:after="0"/>
              <w:rPr>
                <w:sz w:val="19"/>
                <w:szCs w:val="19"/>
                <w:color w:val="auto"/>
              </w:rPr>
            </w:pPr>
          </w:p>
        </w:tc>
        <w:tc>
          <w:tcPr>
            <w:tcW w:w="1880" w:type="dxa"/>
            <w:vAlign w:val="bottom"/>
            <w:tcBorders>
              <w:right w:val="single" w:sz="8" w:color="auto"/>
            </w:tcBorders>
            <w:shd w:val="clear" w:color="auto" w:fill="000000"/>
          </w:tcPr>
          <w:p>
            <w:pPr>
              <w:spacing w:after="0"/>
              <w:rPr>
                <w:sz w:val="19"/>
                <w:szCs w:val="19"/>
                <w:color w:val="auto"/>
              </w:rPr>
            </w:pPr>
          </w:p>
        </w:tc>
        <w:tc>
          <w:tcPr>
            <w:tcW w:w="1780" w:type="dxa"/>
            <w:vAlign w:val="bottom"/>
            <w:tcBorders>
              <w:right w:val="single" w:sz="8" w:color="auto"/>
            </w:tcBorders>
            <w:shd w:val="clear" w:color="auto" w:fill="000000"/>
          </w:tcPr>
          <w:p>
            <w:pPr>
              <w:spacing w:after="0"/>
              <w:rPr>
                <w:sz w:val="19"/>
                <w:szCs w:val="19"/>
                <w:color w:val="auto"/>
              </w:rPr>
            </w:pPr>
          </w:p>
        </w:tc>
        <w:tc>
          <w:tcPr>
            <w:tcW w:w="1660" w:type="dxa"/>
            <w:vAlign w:val="bottom"/>
            <w:tcBorders>
              <w:right w:val="single" w:sz="8" w:color="auto"/>
            </w:tcBorders>
            <w:vMerge w:val="continue"/>
            <w:shd w:val="clear" w:color="auto" w:fill="000000"/>
          </w:tcPr>
          <w:p>
            <w:pPr>
              <w:spacing w:after="0"/>
              <w:rPr>
                <w:sz w:val="19"/>
                <w:szCs w:val="19"/>
                <w:color w:val="auto"/>
              </w:rPr>
            </w:pPr>
          </w:p>
        </w:tc>
        <w:tc>
          <w:tcPr>
            <w:tcW w:w="1520" w:type="dxa"/>
            <w:vAlign w:val="bottom"/>
            <w:vMerge w:val="continue"/>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000000"/>
          </w:tcPr>
          <w:p>
            <w:pPr>
              <w:spacing w:after="0"/>
              <w:rPr>
                <w:sz w:val="21"/>
                <w:szCs w:val="21"/>
                <w:color w:val="auto"/>
              </w:rPr>
            </w:pPr>
          </w:p>
        </w:tc>
        <w:tc>
          <w:tcPr>
            <w:tcW w:w="2160" w:type="dxa"/>
            <w:vAlign w:val="bottom"/>
            <w:tcBorders>
              <w:right w:val="single" w:sz="8" w:color="auto"/>
            </w:tcBorders>
            <w:shd w:val="clear" w:color="auto" w:fill="000000"/>
          </w:tcPr>
          <w:p>
            <w:pPr>
              <w:spacing w:after="0"/>
              <w:rPr>
                <w:sz w:val="21"/>
                <w:szCs w:val="21"/>
                <w:color w:val="auto"/>
              </w:rPr>
            </w:pPr>
          </w:p>
        </w:tc>
        <w:tc>
          <w:tcPr>
            <w:tcW w:w="1880" w:type="dxa"/>
            <w:vAlign w:val="bottom"/>
            <w:tcBorders>
              <w:right w:val="single" w:sz="8" w:color="auto"/>
            </w:tcBorders>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5"/>
              </w:rPr>
              <w:t>Target</w:t>
            </w:r>
          </w:p>
        </w:tc>
        <w:tc>
          <w:tcPr>
            <w:tcW w:w="17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Actual</w:t>
            </w:r>
          </w:p>
        </w:tc>
        <w:tc>
          <w:tcPr>
            <w:tcW w:w="1660" w:type="dxa"/>
            <w:vAlign w:val="bottom"/>
            <w:tcBorders>
              <w:right w:val="single" w:sz="8" w:color="auto"/>
            </w:tcBorders>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6"/>
              </w:rPr>
              <w:t>Targeted Non-</w:t>
            </w:r>
          </w:p>
        </w:tc>
        <w:tc>
          <w:tcPr>
            <w:tcW w:w="1520" w:type="dxa"/>
            <w:vAlign w:val="bottom"/>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6"/>
              </w:rPr>
              <w:t>Targeted</w:t>
            </w:r>
          </w:p>
        </w:tc>
        <w:tc>
          <w:tcPr>
            <w:tcW w:w="0" w:type="dxa"/>
            <w:vAlign w:val="bottom"/>
          </w:tcPr>
          <w:p>
            <w:pPr>
              <w:spacing w:after="0"/>
              <w:rPr>
                <w:sz w:val="1"/>
                <w:szCs w:val="1"/>
                <w:color w:val="auto"/>
              </w:rPr>
            </w:pPr>
          </w:p>
        </w:tc>
      </w:tr>
      <w:tr>
        <w:trPr>
          <w:trHeight w:val="122"/>
        </w:trPr>
        <w:tc>
          <w:tcPr>
            <w:tcW w:w="4340" w:type="dxa"/>
            <w:vAlign w:val="bottom"/>
            <w:tcBorders>
              <w:right w:val="single" w:sz="8" w:color="auto"/>
            </w:tcBorders>
            <w:gridSpan w:val="2"/>
            <w:vMerge w:val="restart"/>
            <w:shd w:val="clear" w:color="auto" w:fill="000000"/>
          </w:tcPr>
          <w:p>
            <w:pPr>
              <w:ind w:left="1040"/>
              <w:spacing w:after="0" w:line="243" w:lineRule="exact"/>
              <w:rPr>
                <w:sz w:val="20"/>
                <w:szCs w:val="20"/>
                <w:color w:val="auto"/>
              </w:rPr>
            </w:pPr>
            <w:r>
              <w:rPr>
                <w:rFonts w:ascii="Arial" w:cs="Arial" w:eastAsia="Arial" w:hAnsi="Arial"/>
                <w:sz w:val="22"/>
                <w:szCs w:val="22"/>
                <w:b w:val="1"/>
                <w:bCs w:val="1"/>
                <w:color w:val="FFFFFF"/>
              </w:rPr>
              <w:t>Performance Measure</w:t>
            </w:r>
          </w:p>
        </w:tc>
        <w:tc>
          <w:tcPr>
            <w:tcW w:w="1880" w:type="dxa"/>
            <w:vAlign w:val="bottom"/>
            <w:tcBorders>
              <w:right w:val="single" w:sz="8" w:color="auto"/>
            </w:tcBorders>
            <w:vMerge w:val="restart"/>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8"/>
              </w:rPr>
              <w:t>Performance</w:t>
            </w:r>
          </w:p>
        </w:tc>
        <w:tc>
          <w:tcPr>
            <w:tcW w:w="1780" w:type="dxa"/>
            <w:vAlign w:val="bottom"/>
            <w:tcBorders>
              <w:right w:val="single" w:sz="8" w:color="auto"/>
            </w:tcBorders>
            <w:vMerge w:val="continue"/>
            <w:shd w:val="clear" w:color="auto" w:fill="000000"/>
          </w:tcPr>
          <w:p>
            <w:pPr>
              <w:spacing w:after="0"/>
              <w:rPr>
                <w:sz w:val="10"/>
                <w:szCs w:val="10"/>
                <w:color w:val="auto"/>
              </w:rPr>
            </w:pPr>
          </w:p>
        </w:tc>
        <w:tc>
          <w:tcPr>
            <w:tcW w:w="1660" w:type="dxa"/>
            <w:vAlign w:val="bottom"/>
            <w:tcBorders>
              <w:right w:val="single" w:sz="8" w:color="auto"/>
            </w:tcBorders>
            <w:vMerge w:val="restart"/>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8"/>
              </w:rPr>
              <w:t>Equity</w:t>
            </w:r>
          </w:p>
        </w:tc>
        <w:tc>
          <w:tcPr>
            <w:tcW w:w="1520" w:type="dxa"/>
            <w:vAlign w:val="bottom"/>
            <w:vMerge w:val="restart"/>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8"/>
              </w:rPr>
              <w:t>Restricted</w:t>
            </w:r>
          </w:p>
        </w:tc>
        <w:tc>
          <w:tcPr>
            <w:tcW w:w="0" w:type="dxa"/>
            <w:vAlign w:val="bottom"/>
          </w:tcPr>
          <w:p>
            <w:pPr>
              <w:spacing w:after="0"/>
              <w:rPr>
                <w:sz w:val="1"/>
                <w:szCs w:val="1"/>
                <w:color w:val="auto"/>
              </w:rPr>
            </w:pPr>
          </w:p>
        </w:tc>
      </w:tr>
      <w:tr>
        <w:trPr>
          <w:trHeight w:val="122"/>
        </w:trPr>
        <w:tc>
          <w:tcPr>
            <w:tcW w:w="4340" w:type="dxa"/>
            <w:vAlign w:val="bottom"/>
            <w:tcBorders>
              <w:right w:val="single" w:sz="8" w:color="auto"/>
            </w:tcBorders>
            <w:gridSpan w:val="2"/>
            <w:vMerge w:val="continue"/>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7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660" w:type="dxa"/>
            <w:vAlign w:val="bottom"/>
            <w:tcBorders>
              <w:right w:val="single" w:sz="8" w:color="auto"/>
            </w:tcBorders>
            <w:vMerge w:val="continue"/>
            <w:shd w:val="clear" w:color="auto" w:fill="000000"/>
          </w:tcPr>
          <w:p>
            <w:pPr>
              <w:spacing w:after="0"/>
              <w:rPr>
                <w:sz w:val="10"/>
                <w:szCs w:val="10"/>
                <w:color w:val="auto"/>
              </w:rPr>
            </w:pPr>
          </w:p>
        </w:tc>
        <w:tc>
          <w:tcPr>
            <w:tcW w:w="152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80" w:type="dxa"/>
            <w:vAlign w:val="bottom"/>
            <w:shd w:val="clear" w:color="auto" w:fill="000000"/>
          </w:tcPr>
          <w:p>
            <w:pPr>
              <w:spacing w:after="0"/>
              <w:rPr>
                <w:sz w:val="14"/>
                <w:szCs w:val="14"/>
                <w:color w:val="auto"/>
              </w:rPr>
            </w:pPr>
          </w:p>
        </w:tc>
        <w:tc>
          <w:tcPr>
            <w:tcW w:w="2160" w:type="dxa"/>
            <w:vAlign w:val="bottom"/>
            <w:tcBorders>
              <w:right w:val="single" w:sz="8" w:color="auto"/>
            </w:tcBorders>
            <w:shd w:val="clear" w:color="auto" w:fill="000000"/>
          </w:tcPr>
          <w:p>
            <w:pPr>
              <w:spacing w:after="0"/>
              <w:rPr>
                <w:sz w:val="14"/>
                <w:szCs w:val="14"/>
                <w:color w:val="auto"/>
              </w:rPr>
            </w:pPr>
          </w:p>
        </w:tc>
        <w:tc>
          <w:tcPr>
            <w:tcW w:w="1880" w:type="dxa"/>
            <w:vAlign w:val="bottom"/>
            <w:tcBorders>
              <w:right w:val="single" w:sz="8" w:color="auto"/>
            </w:tcBorders>
            <w:vMerge w:val="restart"/>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5"/>
              </w:rPr>
              <w:t>Level</w:t>
            </w:r>
          </w:p>
        </w:tc>
        <w:tc>
          <w:tcPr>
            <w:tcW w:w="1780" w:type="dxa"/>
            <w:vAlign w:val="bottom"/>
            <w:tcBorders>
              <w:right w:val="single" w:sz="8" w:color="auto"/>
            </w:tcBorders>
            <w:vMerge w:val="continue"/>
            <w:shd w:val="clear" w:color="auto" w:fill="000000"/>
          </w:tcPr>
          <w:p>
            <w:pPr>
              <w:spacing w:after="0"/>
              <w:rPr>
                <w:sz w:val="14"/>
                <w:szCs w:val="14"/>
                <w:color w:val="auto"/>
              </w:rPr>
            </w:pPr>
          </w:p>
        </w:tc>
        <w:tc>
          <w:tcPr>
            <w:tcW w:w="1660" w:type="dxa"/>
            <w:vAlign w:val="bottom"/>
            <w:tcBorders>
              <w:right w:val="single" w:sz="8" w:color="auto"/>
            </w:tcBorders>
            <w:vMerge w:val="restart"/>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8"/>
              </w:rPr>
              <w:t>Incentive</w:t>
            </w:r>
          </w:p>
        </w:tc>
        <w:tc>
          <w:tcPr>
            <w:tcW w:w="1520" w:type="dxa"/>
            <w:vAlign w:val="bottom"/>
            <w:vMerge w:val="restart"/>
            <w:shd w:val="clear" w:color="auto" w:fill="000000"/>
          </w:tcPr>
          <w:p>
            <w:pPr>
              <w:jc w:val="center"/>
              <w:spacing w:after="0" w:line="243" w:lineRule="exact"/>
              <w:rPr>
                <w:sz w:val="20"/>
                <w:szCs w:val="20"/>
                <w:color w:val="auto"/>
              </w:rPr>
            </w:pPr>
            <w:r>
              <w:rPr>
                <w:rFonts w:ascii="Arial" w:cs="Arial" w:eastAsia="Arial" w:hAnsi="Arial"/>
                <w:sz w:val="22"/>
                <w:szCs w:val="22"/>
                <w:b w:val="1"/>
                <w:bCs w:val="1"/>
                <w:color w:val="FFFFFF"/>
                <w:w w:val="98"/>
              </w:rPr>
              <w:t>Shares</w:t>
            </w:r>
          </w:p>
        </w:tc>
        <w:tc>
          <w:tcPr>
            <w:tcW w:w="0" w:type="dxa"/>
            <w:vAlign w:val="bottom"/>
          </w:tcPr>
          <w:p>
            <w:pPr>
              <w:spacing w:after="0"/>
              <w:rPr>
                <w:sz w:val="1"/>
                <w:szCs w:val="1"/>
                <w:color w:val="auto"/>
              </w:rPr>
            </w:pPr>
          </w:p>
        </w:tc>
      </w:tr>
      <w:tr>
        <w:trPr>
          <w:trHeight w:val="79"/>
        </w:trPr>
        <w:tc>
          <w:tcPr>
            <w:tcW w:w="2180" w:type="dxa"/>
            <w:vAlign w:val="bottom"/>
            <w:shd w:val="clear" w:color="auto" w:fill="000000"/>
          </w:tcPr>
          <w:p>
            <w:pPr>
              <w:spacing w:after="0"/>
              <w:rPr>
                <w:sz w:val="6"/>
                <w:szCs w:val="6"/>
                <w:color w:val="auto"/>
              </w:rPr>
            </w:pPr>
          </w:p>
        </w:tc>
        <w:tc>
          <w:tcPr>
            <w:tcW w:w="2160" w:type="dxa"/>
            <w:vAlign w:val="bottom"/>
            <w:tcBorders>
              <w:right w:val="single" w:sz="8" w:color="auto"/>
            </w:tcBorders>
            <w:shd w:val="clear" w:color="auto" w:fill="000000"/>
          </w:tcPr>
          <w:p>
            <w:pPr>
              <w:spacing w:after="0"/>
              <w:rPr>
                <w:sz w:val="6"/>
                <w:szCs w:val="6"/>
                <w:color w:val="auto"/>
              </w:rPr>
            </w:pPr>
          </w:p>
        </w:tc>
        <w:tc>
          <w:tcPr>
            <w:tcW w:w="1880" w:type="dxa"/>
            <w:vAlign w:val="bottom"/>
            <w:tcBorders>
              <w:right w:val="single" w:sz="8" w:color="auto"/>
            </w:tcBorders>
            <w:vMerge w:val="continue"/>
            <w:shd w:val="clear" w:color="auto" w:fill="000000"/>
          </w:tcPr>
          <w:p>
            <w:pPr>
              <w:spacing w:after="0"/>
              <w:rPr>
                <w:sz w:val="6"/>
                <w:szCs w:val="6"/>
                <w:color w:val="auto"/>
              </w:rPr>
            </w:pPr>
          </w:p>
        </w:tc>
        <w:tc>
          <w:tcPr>
            <w:tcW w:w="1780" w:type="dxa"/>
            <w:vAlign w:val="bottom"/>
            <w:tcBorders>
              <w:right w:val="single" w:sz="8" w:color="auto"/>
            </w:tcBorders>
            <w:shd w:val="clear" w:color="auto" w:fill="000000"/>
          </w:tcPr>
          <w:p>
            <w:pPr>
              <w:spacing w:after="0"/>
              <w:rPr>
                <w:sz w:val="6"/>
                <w:szCs w:val="6"/>
                <w:color w:val="auto"/>
              </w:rPr>
            </w:pPr>
          </w:p>
        </w:tc>
        <w:tc>
          <w:tcPr>
            <w:tcW w:w="1660" w:type="dxa"/>
            <w:vAlign w:val="bottom"/>
            <w:tcBorders>
              <w:right w:val="single" w:sz="8" w:color="auto"/>
            </w:tcBorders>
            <w:vMerge w:val="continue"/>
            <w:shd w:val="clear" w:color="auto" w:fill="000000"/>
          </w:tcPr>
          <w:p>
            <w:pPr>
              <w:spacing w:after="0"/>
              <w:rPr>
                <w:sz w:val="6"/>
                <w:szCs w:val="6"/>
                <w:color w:val="auto"/>
              </w:rPr>
            </w:pPr>
          </w:p>
        </w:tc>
        <w:tc>
          <w:tcPr>
            <w:tcW w:w="1520" w:type="dxa"/>
            <w:vAlign w:val="bottom"/>
            <w:vMerge w:val="continue"/>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180" w:type="dxa"/>
            <w:vAlign w:val="bottom"/>
            <w:tcBorders>
              <w:bottom w:val="single" w:sz="8" w:color="auto"/>
            </w:tcBorders>
            <w:shd w:val="clear" w:color="auto" w:fill="000000"/>
          </w:tcPr>
          <w:p>
            <w:pPr>
              <w:spacing w:after="0"/>
              <w:rPr>
                <w:sz w:val="24"/>
                <w:szCs w:val="24"/>
                <w:color w:val="auto"/>
              </w:rPr>
            </w:pPr>
          </w:p>
        </w:tc>
        <w:tc>
          <w:tcPr>
            <w:tcW w:w="2160" w:type="dxa"/>
            <w:vAlign w:val="bottom"/>
            <w:tcBorders>
              <w:bottom w:val="single" w:sz="8" w:color="auto"/>
              <w:right w:val="single" w:sz="8" w:color="auto"/>
            </w:tcBorders>
            <w:shd w:val="clear" w:color="auto" w:fill="000000"/>
          </w:tcPr>
          <w:p>
            <w:pPr>
              <w:spacing w:after="0"/>
              <w:rPr>
                <w:sz w:val="24"/>
                <w:szCs w:val="24"/>
                <w:color w:val="auto"/>
              </w:rPr>
            </w:pPr>
          </w:p>
        </w:tc>
        <w:tc>
          <w:tcPr>
            <w:tcW w:w="1880" w:type="dxa"/>
            <w:vAlign w:val="bottom"/>
            <w:tcBorders>
              <w:bottom w:val="single" w:sz="8" w:color="auto"/>
              <w:right w:val="single" w:sz="8" w:color="auto"/>
            </w:tcBorders>
            <w:shd w:val="clear" w:color="auto" w:fill="000000"/>
          </w:tcPr>
          <w:p>
            <w:pPr>
              <w:spacing w:after="0"/>
              <w:rPr>
                <w:sz w:val="24"/>
                <w:szCs w:val="24"/>
                <w:color w:val="auto"/>
              </w:rPr>
            </w:pPr>
          </w:p>
        </w:tc>
        <w:tc>
          <w:tcPr>
            <w:tcW w:w="1780" w:type="dxa"/>
            <w:vAlign w:val="bottom"/>
            <w:tcBorders>
              <w:bottom w:val="single" w:sz="8" w:color="auto"/>
              <w:right w:val="single" w:sz="8" w:color="auto"/>
            </w:tcBorders>
            <w:shd w:val="clear" w:color="auto" w:fill="000000"/>
          </w:tcPr>
          <w:p>
            <w:pPr>
              <w:spacing w:after="0"/>
              <w:rPr>
                <w:sz w:val="24"/>
                <w:szCs w:val="24"/>
                <w:color w:val="auto"/>
              </w:rPr>
            </w:pP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15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0" w:type="dxa"/>
            <w:vAlign w:val="bottom"/>
          </w:tcPr>
          <w:p>
            <w:pPr>
              <w:spacing w:after="0"/>
              <w:rPr>
                <w:sz w:val="1"/>
                <w:szCs w:val="1"/>
                <w:color w:val="auto"/>
              </w:rPr>
            </w:pPr>
          </w:p>
        </w:tc>
      </w:tr>
      <w:tr>
        <w:trPr>
          <w:trHeight w:val="229"/>
        </w:trPr>
        <w:tc>
          <w:tcPr>
            <w:tcW w:w="2180" w:type="dxa"/>
            <w:vAlign w:val="bottom"/>
            <w:shd w:val="clear" w:color="auto" w:fill="000000"/>
          </w:tcPr>
          <w:p>
            <w:pPr>
              <w:ind w:left="40"/>
              <w:spacing w:after="0" w:line="228" w:lineRule="exact"/>
              <w:rPr>
                <w:sz w:val="20"/>
                <w:szCs w:val="20"/>
                <w:color w:val="auto"/>
              </w:rPr>
            </w:pPr>
            <w:r>
              <w:rPr>
                <w:rFonts w:ascii="Arial" w:cs="Arial" w:eastAsia="Arial" w:hAnsi="Arial"/>
                <w:sz w:val="22"/>
                <w:szCs w:val="22"/>
                <w:b w:val="1"/>
                <w:bCs w:val="1"/>
                <w:color w:val="FFFFFF"/>
              </w:rPr>
              <w:t>Corporate Objective</w:t>
            </w:r>
          </w:p>
        </w:tc>
        <w:tc>
          <w:tcPr>
            <w:tcW w:w="2160" w:type="dxa"/>
            <w:vAlign w:val="bottom"/>
            <w:tcBorders>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Income before income</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$33,625,000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$38,956,000</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179.3%</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139.6%</w:t>
            </w:r>
          </w:p>
        </w:tc>
        <w:tc>
          <w:tcPr>
            <w:tcW w:w="0" w:type="dxa"/>
            <w:vAlign w:val="bottom"/>
          </w:tcPr>
          <w:p>
            <w:pPr>
              <w:spacing w:after="0"/>
              <w:rPr>
                <w:sz w:val="1"/>
                <w:szCs w:val="1"/>
                <w:color w:val="auto"/>
              </w:rPr>
            </w:pPr>
          </w:p>
        </w:tc>
      </w:tr>
      <w:tr>
        <w:trPr>
          <w:trHeight w:val="109"/>
        </w:trPr>
        <w:tc>
          <w:tcPr>
            <w:tcW w:w="2180" w:type="dxa"/>
            <w:vAlign w:val="bottom"/>
            <w:shd w:val="clear" w:color="auto" w:fill="000000"/>
          </w:tcPr>
          <w:p>
            <w:pPr>
              <w:spacing w:after="0"/>
              <w:rPr>
                <w:sz w:val="9"/>
                <w:szCs w:val="9"/>
                <w:color w:val="auto"/>
              </w:rPr>
            </w:pPr>
          </w:p>
        </w:tc>
        <w:tc>
          <w:tcPr>
            <w:tcW w:w="216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7"/>
              </w:rPr>
              <w:t>taxes</w:t>
            </w:r>
          </w:p>
        </w:tc>
        <w:tc>
          <w:tcPr>
            <w:tcW w:w="18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shd w:val="clear" w:color="auto" w:fill="000000"/>
          </w:tcPr>
          <w:p>
            <w:pPr>
              <w:spacing w:after="0"/>
              <w:rPr>
                <w:sz w:val="10"/>
                <w:szCs w:val="10"/>
                <w:color w:val="auto"/>
              </w:rPr>
            </w:pPr>
          </w:p>
        </w:tc>
        <w:tc>
          <w:tcPr>
            <w:tcW w:w="2160" w:type="dxa"/>
            <w:vAlign w:val="bottom"/>
            <w:tcBorders>
              <w:bottom w:val="single" w:sz="8" w:color="auto"/>
              <w:right w:val="single" w:sz="8" w:color="auto"/>
            </w:tcBorders>
            <w:vMerge w:val="continue"/>
            <w:shd w:val="clear" w:color="auto" w:fill="707070"/>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000000"/>
          </w:tcPr>
          <w:p>
            <w:pPr>
              <w:spacing w:after="0"/>
              <w:rPr>
                <w:sz w:val="19"/>
                <w:szCs w:val="19"/>
                <w:color w:val="auto"/>
              </w:rPr>
            </w:pPr>
          </w:p>
        </w:tc>
        <w:tc>
          <w:tcPr>
            <w:tcW w:w="2160" w:type="dxa"/>
            <w:vAlign w:val="bottom"/>
            <w:tcBorders>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8"/>
              </w:rPr>
              <w:t>Water Treatment Group</w:t>
            </w:r>
          </w:p>
        </w:tc>
        <w:tc>
          <w:tcPr>
            <w:tcW w:w="18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000000"/>
          </w:tcPr>
          <w:p>
            <w:pPr>
              <w:ind w:left="40"/>
              <w:spacing w:after="0" w:line="203" w:lineRule="exact"/>
              <w:rPr>
                <w:sz w:val="20"/>
                <w:szCs w:val="20"/>
                <w:color w:val="auto"/>
              </w:rPr>
            </w:pPr>
            <w:r>
              <w:rPr>
                <w:rFonts w:ascii="Arial" w:cs="Arial" w:eastAsia="Arial" w:hAnsi="Arial"/>
                <w:sz w:val="22"/>
                <w:szCs w:val="22"/>
                <w:b w:val="1"/>
                <w:bCs w:val="1"/>
                <w:color w:val="FFFFFF"/>
              </w:rPr>
              <w:t>Business Unit</w:t>
            </w:r>
          </w:p>
        </w:tc>
        <w:tc>
          <w:tcPr>
            <w:tcW w:w="2160" w:type="dxa"/>
            <w:vAlign w:val="bottom"/>
            <w:tcBorders>
              <w:right w:val="single" w:sz="8" w:color="auto"/>
            </w:tcBorders>
            <w:shd w:val="clear" w:color="auto" w:fill="707070"/>
          </w:tcPr>
          <w:p>
            <w:pPr>
              <w:jc w:val="center"/>
              <w:spacing w:after="0" w:line="202" w:lineRule="exact"/>
              <w:rPr>
                <w:sz w:val="20"/>
                <w:szCs w:val="20"/>
                <w:color w:val="auto"/>
              </w:rPr>
            </w:pPr>
            <w:r>
              <w:rPr>
                <w:rFonts w:ascii="Arial" w:cs="Arial" w:eastAsia="Arial" w:hAnsi="Arial"/>
                <w:sz w:val="18"/>
                <w:szCs w:val="18"/>
                <w:color w:val="FFFFFF"/>
                <w:w w:val="99"/>
              </w:rPr>
              <w:t>Operational Profitability</w:t>
            </w:r>
          </w:p>
        </w:tc>
        <w:tc>
          <w:tcPr>
            <w:tcW w:w="1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$29,640,000</w:t>
            </w:r>
          </w:p>
        </w:tc>
        <w:tc>
          <w:tcPr>
            <w:tcW w:w="1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$34,178,000</w:t>
            </w:r>
          </w:p>
        </w:tc>
        <w:tc>
          <w:tcPr>
            <w:tcW w:w="1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176.6%</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24"/>
        </w:trPr>
        <w:tc>
          <w:tcPr>
            <w:tcW w:w="2180" w:type="dxa"/>
            <w:vAlign w:val="bottom"/>
            <w:tcBorders>
              <w:bottom w:val="single" w:sz="8" w:color="auto"/>
            </w:tcBorders>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Objective</w:t>
            </w:r>
          </w:p>
        </w:tc>
        <w:tc>
          <w:tcPr>
            <w:tcW w:w="2160" w:type="dxa"/>
            <w:vAlign w:val="bottom"/>
            <w:tcBorders>
              <w:bottom w:val="single" w:sz="8" w:color="auto"/>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Measure</w:t>
            </w:r>
          </w:p>
        </w:tc>
        <w:tc>
          <w:tcPr>
            <w:tcW w:w="18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180" w:type="dxa"/>
            <w:vAlign w:val="bottom"/>
            <w:vMerge w:val="continue"/>
            <w:shd w:val="clear" w:color="auto" w:fill="000000"/>
          </w:tcPr>
          <w:p>
            <w:pPr>
              <w:spacing w:after="0"/>
              <w:rPr>
                <w:sz w:val="7"/>
                <w:szCs w:val="7"/>
                <w:color w:val="auto"/>
              </w:rPr>
            </w:pPr>
          </w:p>
        </w:tc>
        <w:tc>
          <w:tcPr>
            <w:tcW w:w="216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9"/>
              </w:rPr>
              <w:t>Industrial Group</w:t>
            </w:r>
          </w:p>
        </w:tc>
        <w:tc>
          <w:tcPr>
            <w:tcW w:w="188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180" w:type="dxa"/>
            <w:vAlign w:val="bottom"/>
            <w:shd w:val="clear" w:color="auto" w:fill="000000"/>
          </w:tcPr>
          <w:p>
            <w:pPr>
              <w:spacing w:after="0"/>
              <w:rPr>
                <w:sz w:val="11"/>
                <w:szCs w:val="11"/>
                <w:color w:val="auto"/>
              </w:rPr>
            </w:pPr>
          </w:p>
        </w:tc>
        <w:tc>
          <w:tcPr>
            <w:tcW w:w="2160" w:type="dxa"/>
            <w:vAlign w:val="bottom"/>
            <w:tcBorders>
              <w:right w:val="single" w:sz="8" w:color="auto"/>
            </w:tcBorders>
            <w:vMerge w:val="continue"/>
            <w:shd w:val="clear" w:color="auto" w:fill="707070"/>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000000"/>
          </w:tcPr>
          <w:p>
            <w:pPr>
              <w:spacing w:after="0"/>
              <w:rPr>
                <w:sz w:val="17"/>
                <w:szCs w:val="17"/>
                <w:color w:val="auto"/>
              </w:rPr>
            </w:pPr>
          </w:p>
        </w:tc>
        <w:tc>
          <w:tcPr>
            <w:tcW w:w="2160" w:type="dxa"/>
            <w:vAlign w:val="bottom"/>
            <w:tcBorders>
              <w:right w:val="single" w:sz="8" w:color="auto"/>
            </w:tcBorders>
            <w:shd w:val="clear" w:color="auto" w:fill="707070"/>
          </w:tcPr>
          <w:p>
            <w:pPr>
              <w:jc w:val="center"/>
              <w:spacing w:after="0" w:line="202" w:lineRule="exact"/>
              <w:rPr>
                <w:sz w:val="20"/>
                <w:szCs w:val="20"/>
                <w:color w:val="auto"/>
              </w:rPr>
            </w:pPr>
            <w:r>
              <w:rPr>
                <w:rFonts w:ascii="Arial" w:cs="Arial" w:eastAsia="Arial" w:hAnsi="Arial"/>
                <w:sz w:val="18"/>
                <w:szCs w:val="18"/>
                <w:color w:val="FFFFFF"/>
                <w:w w:val="99"/>
              </w:rPr>
              <w:t>Operational Profitability</w:t>
            </w:r>
          </w:p>
        </w:tc>
        <w:tc>
          <w:tcPr>
            <w:tcW w:w="18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$55,942,000</w:t>
            </w:r>
          </w:p>
        </w:tc>
        <w:tc>
          <w:tcPr>
            <w:tcW w:w="1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$58,929,000</w:t>
            </w:r>
          </w:p>
        </w:tc>
        <w:tc>
          <w:tcPr>
            <w:tcW w:w="1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126.7%</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24"/>
        </w:trPr>
        <w:tc>
          <w:tcPr>
            <w:tcW w:w="2180" w:type="dxa"/>
            <w:vAlign w:val="bottom"/>
            <w:tcBorders>
              <w:bottom w:val="single" w:sz="8" w:color="auto"/>
            </w:tcBorders>
            <w:shd w:val="clear" w:color="auto" w:fill="000000"/>
          </w:tcPr>
          <w:p>
            <w:pPr>
              <w:spacing w:after="0"/>
              <w:rPr>
                <w:sz w:val="19"/>
                <w:szCs w:val="19"/>
                <w:color w:val="auto"/>
              </w:rPr>
            </w:pPr>
          </w:p>
        </w:tc>
        <w:tc>
          <w:tcPr>
            <w:tcW w:w="2160" w:type="dxa"/>
            <w:vAlign w:val="bottom"/>
            <w:tcBorders>
              <w:bottom w:val="single" w:sz="8" w:color="auto"/>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Measure</w:t>
            </w:r>
          </w:p>
        </w:tc>
        <w:tc>
          <w:tcPr>
            <w:tcW w:w="18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Determining Executive Compensation for Fiscal 2020</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McLagan provided no other services to the company in fiscal 2020.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23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 Our Chief Executive Officer is not present during voting or deliberations relating to his own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Elements of Executive Officer Compensation</w:t>
      </w:r>
    </w:p>
    <w:p>
      <w:pPr>
        <w:spacing w:after="0" w:line="1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outlines the key components of our compensation program for our named executive officers (excluding health and similar benefits, which are generally available to all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908" w:right="35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324"/>
        </w:trPr>
        <w:tc>
          <w:tcPr>
            <w:tcW w:w="1700" w:type="dxa"/>
            <w:vAlign w:val="bottom"/>
            <w:tcBorders>
              <w:left w:val="single" w:sz="8" w:color="auto"/>
              <w:right w:val="single" w:sz="8" w:color="auto"/>
            </w:tcBorders>
            <w:shd w:val="clear" w:color="auto" w:fill="000000"/>
          </w:tcPr>
          <w:p>
            <w:pPr>
              <w:spacing w:after="0"/>
              <w:rPr>
                <w:sz w:val="24"/>
                <w:szCs w:val="24"/>
                <w:color w:val="auto"/>
              </w:rPr>
            </w:pPr>
          </w:p>
        </w:tc>
        <w:tc>
          <w:tcPr>
            <w:tcW w:w="2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 Element</w:t>
            </w:r>
          </w:p>
        </w:tc>
        <w:tc>
          <w:tcPr>
            <w:tcW w:w="3140" w:type="dxa"/>
            <w:vAlign w:val="bottom"/>
            <w:tcBorders>
              <w:right w:val="single" w:sz="8" w:color="auto"/>
            </w:tcBorders>
            <w:shd w:val="clear" w:color="auto" w:fill="000000"/>
          </w:tcPr>
          <w:p>
            <w:pPr>
              <w:ind w:left="1120"/>
              <w:spacing w:after="0"/>
              <w:rPr>
                <w:sz w:val="20"/>
                <w:szCs w:val="20"/>
                <w:color w:val="auto"/>
              </w:rPr>
            </w:pPr>
            <w:r>
              <w:rPr>
                <w:rFonts w:ascii="Arial" w:cs="Arial" w:eastAsia="Arial" w:hAnsi="Arial"/>
                <w:sz w:val="22"/>
                <w:szCs w:val="22"/>
                <w:b w:val="1"/>
                <w:bCs w:val="1"/>
                <w:color w:val="FFFFFF"/>
              </w:rPr>
              <w:t>Purpose</w:t>
            </w:r>
          </w:p>
        </w:tc>
        <w:tc>
          <w:tcPr>
            <w:tcW w:w="2800" w:type="dxa"/>
            <w:vAlign w:val="bottom"/>
            <w:tcBorders>
              <w:right w:val="single" w:sz="8" w:color="auto"/>
            </w:tcBorders>
            <w:shd w:val="clear" w:color="auto" w:fill="000000"/>
          </w:tcPr>
          <w:p>
            <w:pPr>
              <w:ind w:left="380"/>
              <w:spacing w:after="0"/>
              <w:rPr>
                <w:sz w:val="20"/>
                <w:szCs w:val="20"/>
                <w:color w:val="auto"/>
              </w:rPr>
            </w:pPr>
            <w:r>
              <w:rPr>
                <w:rFonts w:ascii="Arial" w:cs="Arial" w:eastAsia="Arial" w:hAnsi="Arial"/>
                <w:sz w:val="22"/>
                <w:szCs w:val="22"/>
                <w:b w:val="1"/>
                <w:bCs w:val="1"/>
                <w:color w:val="FFFFFF"/>
              </w:rPr>
              <w:t>Key Characteristics</w:t>
            </w:r>
          </w:p>
        </w:tc>
        <w:tc>
          <w:tcPr>
            <w:tcW w:w="0" w:type="dxa"/>
            <w:vAlign w:val="bottom"/>
          </w:tcPr>
          <w:p>
            <w:pPr>
              <w:spacing w:after="0"/>
              <w:rPr>
                <w:sz w:val="1"/>
                <w:szCs w:val="1"/>
                <w:color w:val="auto"/>
              </w:rPr>
            </w:pPr>
          </w:p>
        </w:tc>
      </w:tr>
      <w:tr>
        <w:trPr>
          <w:trHeight w:val="229"/>
        </w:trPr>
        <w:tc>
          <w:tcPr>
            <w:tcW w:w="1700" w:type="dxa"/>
            <w:vAlign w:val="bottom"/>
            <w:tcBorders>
              <w:left w:val="single" w:sz="8" w:color="auto"/>
              <w:right w:val="single" w:sz="8" w:color="auto"/>
            </w:tcBorders>
            <w:shd w:val="clear" w:color="auto" w:fill="CBCBCB"/>
          </w:tcPr>
          <w:p>
            <w:pPr>
              <w:spacing w:after="0"/>
              <w:rPr>
                <w:sz w:val="19"/>
                <w:szCs w:val="19"/>
                <w:color w:val="auto"/>
              </w:rPr>
            </w:pPr>
          </w:p>
        </w:tc>
        <w:tc>
          <w:tcPr>
            <w:tcW w:w="2680" w:type="dxa"/>
            <w:vAlign w:val="bottom"/>
            <w:tcBorders>
              <w:right w:val="single" w:sz="8" w:color="auto"/>
            </w:tcBorders>
            <w:shd w:val="clear" w:color="auto" w:fill="CBCBCB"/>
          </w:tcPr>
          <w:p>
            <w:pPr>
              <w:spacing w:after="0"/>
              <w:rPr>
                <w:sz w:val="19"/>
                <w:szCs w:val="19"/>
                <w:color w:val="auto"/>
              </w:rPr>
            </w:pPr>
          </w:p>
        </w:tc>
        <w:tc>
          <w:tcPr>
            <w:tcW w:w="314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Provides a pay opportunity that is</w:t>
            </w:r>
          </w:p>
        </w:tc>
        <w:tc>
          <w:tcPr>
            <w:tcW w:w="280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Determined by responsibility, level</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CBCBCB"/>
          </w:tcPr>
          <w:p>
            <w:pPr>
              <w:jc w:val="center"/>
              <w:spacing w:after="0" w:line="203" w:lineRule="exact"/>
              <w:rPr>
                <w:sz w:val="20"/>
                <w:szCs w:val="20"/>
                <w:color w:val="auto"/>
              </w:rPr>
            </w:pPr>
            <w:r>
              <w:rPr>
                <w:rFonts w:ascii="Arial" w:cs="Arial" w:eastAsia="Arial" w:hAnsi="Arial"/>
                <w:sz w:val="22"/>
                <w:szCs w:val="22"/>
                <w:b w:val="1"/>
                <w:bCs w:val="1"/>
                <w:color w:val="auto"/>
              </w:rPr>
              <w:t>Fixed</w:t>
            </w:r>
          </w:p>
        </w:tc>
        <w:tc>
          <w:tcPr>
            <w:tcW w:w="2680" w:type="dxa"/>
            <w:vAlign w:val="bottom"/>
            <w:tcBorders>
              <w:right w:val="single" w:sz="8" w:color="auto"/>
            </w:tcBorders>
            <w:shd w:val="clear" w:color="auto" w:fill="CBCBCB"/>
          </w:tcPr>
          <w:p>
            <w:pPr>
              <w:jc w:val="center"/>
              <w:spacing w:after="0" w:line="202" w:lineRule="exact"/>
              <w:rPr>
                <w:sz w:val="20"/>
                <w:szCs w:val="20"/>
                <w:color w:val="auto"/>
              </w:rPr>
            </w:pPr>
            <w:r>
              <w:rPr>
                <w:rFonts w:ascii="Arial" w:cs="Arial" w:eastAsia="Arial" w:hAnsi="Arial"/>
                <w:sz w:val="18"/>
                <w:szCs w:val="18"/>
                <w:color w:val="auto"/>
              </w:rPr>
              <w:t>Base Salary</w:t>
            </w:r>
          </w:p>
        </w:tc>
        <w:tc>
          <w:tcPr>
            <w:tcW w:w="3140" w:type="dxa"/>
            <w:vAlign w:val="bottom"/>
            <w:tcBorders>
              <w:right w:val="single" w:sz="8" w:color="auto"/>
            </w:tcBorders>
            <w:shd w:val="clear" w:color="auto" w:fill="CBCBCB"/>
          </w:tcPr>
          <w:p>
            <w:pPr>
              <w:spacing w:after="0" w:line="202" w:lineRule="exact"/>
              <w:rPr>
                <w:sz w:val="20"/>
                <w:szCs w:val="20"/>
                <w:color w:val="auto"/>
              </w:rPr>
            </w:pPr>
            <w:r>
              <w:rPr>
                <w:rFonts w:ascii="Arial" w:cs="Arial" w:eastAsia="Arial" w:hAnsi="Arial"/>
                <w:sz w:val="18"/>
                <w:szCs w:val="18"/>
                <w:color w:val="auto"/>
              </w:rPr>
              <w:t>generally competitive with the</w:t>
            </w:r>
          </w:p>
        </w:tc>
        <w:tc>
          <w:tcPr>
            <w:tcW w:w="2800" w:type="dxa"/>
            <w:vAlign w:val="bottom"/>
            <w:tcBorders>
              <w:right w:val="single" w:sz="8" w:color="auto"/>
            </w:tcBorders>
            <w:shd w:val="clear" w:color="auto" w:fill="CBCBCB"/>
          </w:tcPr>
          <w:p>
            <w:pPr>
              <w:ind w:left="20"/>
              <w:spacing w:after="0" w:line="202" w:lineRule="exact"/>
              <w:rPr>
                <w:sz w:val="20"/>
                <w:szCs w:val="20"/>
                <w:color w:val="auto"/>
              </w:rPr>
            </w:pPr>
            <w:r>
              <w:rPr>
                <w:rFonts w:ascii="Arial" w:cs="Arial" w:eastAsia="Arial" w:hAnsi="Arial"/>
                <w:sz w:val="18"/>
                <w:szCs w:val="18"/>
                <w:color w:val="auto"/>
              </w:rPr>
              <w:t>of position, competitive pay</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vMerge w:val="restart"/>
            <w:shd w:val="clear" w:color="auto" w:fill="CBCBCB"/>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680" w:type="dxa"/>
            <w:vAlign w:val="bottom"/>
            <w:tcBorders>
              <w:right w:val="single" w:sz="8" w:color="auto"/>
            </w:tcBorders>
            <w:shd w:val="clear" w:color="auto" w:fill="CBCBCB"/>
          </w:tcPr>
          <w:p>
            <w:pPr>
              <w:spacing w:after="0"/>
              <w:rPr>
                <w:sz w:val="17"/>
                <w:szCs w:val="17"/>
                <w:color w:val="auto"/>
              </w:rPr>
            </w:pPr>
          </w:p>
        </w:tc>
        <w:tc>
          <w:tcPr>
            <w:tcW w:w="3140" w:type="dxa"/>
            <w:vAlign w:val="bottom"/>
            <w:tcBorders>
              <w:right w:val="single" w:sz="8" w:color="auto"/>
            </w:tcBorders>
            <w:shd w:val="clear" w:color="auto" w:fill="CBCBCB"/>
          </w:tcPr>
          <w:p>
            <w:pPr>
              <w:spacing w:after="0" w:line="202" w:lineRule="exact"/>
              <w:rPr>
                <w:sz w:val="20"/>
                <w:szCs w:val="20"/>
                <w:color w:val="auto"/>
              </w:rPr>
            </w:pPr>
            <w:r>
              <w:rPr>
                <w:rFonts w:ascii="Arial" w:cs="Arial" w:eastAsia="Arial" w:hAnsi="Arial"/>
                <w:sz w:val="18"/>
                <w:szCs w:val="18"/>
                <w:color w:val="auto"/>
              </w:rPr>
              <w:t>companies with which we compete for</w:t>
            </w:r>
          </w:p>
        </w:tc>
        <w:tc>
          <w:tcPr>
            <w:tcW w:w="2800" w:type="dxa"/>
            <w:vAlign w:val="bottom"/>
            <w:tcBorders>
              <w:right w:val="single" w:sz="8" w:color="auto"/>
            </w:tcBorders>
            <w:shd w:val="clear" w:color="auto" w:fill="CBCBCB"/>
          </w:tcPr>
          <w:p>
            <w:pPr>
              <w:ind w:left="20"/>
              <w:spacing w:after="0" w:line="202" w:lineRule="exact"/>
              <w:rPr>
                <w:sz w:val="20"/>
                <w:szCs w:val="20"/>
                <w:color w:val="auto"/>
              </w:rPr>
            </w:pPr>
            <w:r>
              <w:rPr>
                <w:rFonts w:ascii="Arial" w:cs="Arial" w:eastAsia="Arial" w:hAnsi="Arial"/>
                <w:sz w:val="18"/>
                <w:szCs w:val="18"/>
                <w:color w:val="auto"/>
              </w:rPr>
              <w:t>assessment and individual</w:t>
            </w:r>
          </w:p>
        </w:tc>
        <w:tc>
          <w:tcPr>
            <w:tcW w:w="0" w:type="dxa"/>
            <w:vAlign w:val="bottom"/>
          </w:tcPr>
          <w:p>
            <w:pPr>
              <w:spacing w:after="0"/>
              <w:rPr>
                <w:sz w:val="1"/>
                <w:szCs w:val="1"/>
                <w:color w:val="auto"/>
              </w:rPr>
            </w:pPr>
          </w:p>
        </w:tc>
      </w:tr>
      <w:tr>
        <w:trPr>
          <w:trHeight w:val="132"/>
        </w:trPr>
        <w:tc>
          <w:tcPr>
            <w:tcW w:w="1700" w:type="dxa"/>
            <w:vAlign w:val="bottom"/>
            <w:tcBorders>
              <w:left w:val="single" w:sz="8" w:color="auto"/>
              <w:right w:val="single" w:sz="8" w:color="auto"/>
            </w:tcBorders>
            <w:vMerge w:val="continue"/>
            <w:shd w:val="clear" w:color="auto" w:fill="CBCBCB"/>
          </w:tcPr>
          <w:p>
            <w:pPr>
              <w:spacing w:after="0"/>
              <w:rPr>
                <w:sz w:val="11"/>
                <w:szCs w:val="11"/>
                <w:color w:val="auto"/>
              </w:rPr>
            </w:pPr>
          </w:p>
        </w:tc>
        <w:tc>
          <w:tcPr>
            <w:tcW w:w="2680" w:type="dxa"/>
            <w:vAlign w:val="bottom"/>
            <w:tcBorders>
              <w:right w:val="single" w:sz="8" w:color="auto"/>
            </w:tcBorders>
            <w:shd w:val="clear" w:color="auto" w:fill="CBCBCB"/>
          </w:tcPr>
          <w:p>
            <w:pPr>
              <w:spacing w:after="0"/>
              <w:rPr>
                <w:sz w:val="11"/>
                <w:szCs w:val="11"/>
                <w:color w:val="auto"/>
              </w:rPr>
            </w:pPr>
          </w:p>
        </w:tc>
        <w:tc>
          <w:tcPr>
            <w:tcW w:w="3140" w:type="dxa"/>
            <w:vAlign w:val="bottom"/>
            <w:tcBorders>
              <w:right w:val="single" w:sz="8" w:color="auto"/>
            </w:tcBorders>
            <w:vMerge w:val="restart"/>
            <w:shd w:val="clear" w:color="auto" w:fill="CBCBCB"/>
          </w:tcPr>
          <w:p>
            <w:pPr>
              <w:spacing w:after="0"/>
              <w:rPr>
                <w:sz w:val="20"/>
                <w:szCs w:val="20"/>
                <w:color w:val="auto"/>
              </w:rPr>
            </w:pPr>
            <w:r>
              <w:rPr>
                <w:rFonts w:ascii="Arial" w:cs="Arial" w:eastAsia="Arial" w:hAnsi="Arial"/>
                <w:sz w:val="18"/>
                <w:szCs w:val="18"/>
                <w:color w:val="auto"/>
              </w:rPr>
              <w:t>talent</w:t>
            </w:r>
          </w:p>
        </w:tc>
        <w:tc>
          <w:tcPr>
            <w:tcW w:w="2800" w:type="dxa"/>
            <w:vAlign w:val="bottom"/>
            <w:tcBorders>
              <w:right w:val="single" w:sz="8" w:color="auto"/>
            </w:tcBorders>
            <w:vMerge w:val="restart"/>
            <w:shd w:val="clear" w:color="auto" w:fill="CBCBCB"/>
          </w:tcPr>
          <w:p>
            <w:pPr>
              <w:ind w:left="20"/>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92"/>
        </w:trPr>
        <w:tc>
          <w:tcPr>
            <w:tcW w:w="1700" w:type="dxa"/>
            <w:vAlign w:val="bottom"/>
            <w:tcBorders>
              <w:left w:val="single" w:sz="8" w:color="auto"/>
              <w:bottom w:val="single" w:sz="8" w:color="auto"/>
              <w:right w:val="single" w:sz="8" w:color="auto"/>
            </w:tcBorders>
            <w:shd w:val="clear" w:color="auto" w:fill="CBCBCB"/>
          </w:tcPr>
          <w:p>
            <w:pPr>
              <w:spacing w:after="0"/>
              <w:rPr>
                <w:sz w:val="7"/>
                <w:szCs w:val="7"/>
                <w:color w:val="auto"/>
              </w:rPr>
            </w:pPr>
          </w:p>
        </w:tc>
        <w:tc>
          <w:tcPr>
            <w:tcW w:w="2680" w:type="dxa"/>
            <w:vAlign w:val="bottom"/>
            <w:tcBorders>
              <w:bottom w:val="single" w:sz="8" w:color="auto"/>
              <w:right w:val="single" w:sz="8" w:color="auto"/>
            </w:tcBorders>
            <w:shd w:val="clear" w:color="auto" w:fill="CBCBCB"/>
          </w:tcPr>
          <w:p>
            <w:pPr>
              <w:spacing w:after="0"/>
              <w:rPr>
                <w:sz w:val="7"/>
                <w:szCs w:val="7"/>
                <w:color w:val="auto"/>
              </w:rPr>
            </w:pPr>
          </w:p>
        </w:tc>
        <w:tc>
          <w:tcPr>
            <w:tcW w:w="3140" w:type="dxa"/>
            <w:vAlign w:val="bottom"/>
            <w:tcBorders>
              <w:bottom w:val="single" w:sz="8" w:color="auto"/>
              <w:right w:val="single" w:sz="8" w:color="auto"/>
            </w:tcBorders>
            <w:vMerge w:val="continue"/>
            <w:shd w:val="clear" w:color="auto" w:fill="CBCBCB"/>
          </w:tcPr>
          <w:p>
            <w:pPr>
              <w:spacing w:after="0"/>
              <w:rPr>
                <w:sz w:val="7"/>
                <w:szCs w:val="7"/>
                <w:color w:val="auto"/>
              </w:rPr>
            </w:pPr>
          </w:p>
        </w:tc>
        <w:tc>
          <w:tcPr>
            <w:tcW w:w="2800" w:type="dxa"/>
            <w:vAlign w:val="bottom"/>
            <w:tcBorders>
              <w:bottom w:val="single" w:sz="8" w:color="auto"/>
              <w:right w:val="single" w:sz="8" w:color="auto"/>
            </w:tcBorders>
            <w:vMerge w:val="continue"/>
            <w:shd w:val="clear" w:color="auto" w:fill="CBCBCB"/>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700" w:type="dxa"/>
            <w:vAlign w:val="bottom"/>
            <w:tcBorders>
              <w:left w:val="single" w:sz="8" w:color="auto"/>
              <w:right w:val="single" w:sz="8" w:color="auto"/>
            </w:tcBorders>
            <w:shd w:val="clear" w:color="auto" w:fill="B2B2B2"/>
          </w:tcPr>
          <w:p>
            <w:pPr>
              <w:spacing w:after="0"/>
              <w:rPr>
                <w:sz w:val="19"/>
                <w:szCs w:val="19"/>
                <w:color w:val="auto"/>
              </w:rPr>
            </w:pPr>
          </w:p>
        </w:tc>
        <w:tc>
          <w:tcPr>
            <w:tcW w:w="2680" w:type="dxa"/>
            <w:vAlign w:val="bottom"/>
            <w:tcBorders>
              <w:right w:val="single" w:sz="8" w:color="auto"/>
            </w:tcBorders>
            <w:shd w:val="clear" w:color="auto" w:fill="B2B2B2"/>
          </w:tcPr>
          <w:p>
            <w:pPr>
              <w:spacing w:after="0"/>
              <w:rPr>
                <w:sz w:val="19"/>
                <w:szCs w:val="19"/>
                <w:color w:val="auto"/>
              </w:rPr>
            </w:pPr>
          </w:p>
        </w:tc>
        <w:tc>
          <w:tcPr>
            <w:tcW w:w="314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Rewards the achievement of</w:t>
            </w:r>
          </w:p>
        </w:tc>
        <w:tc>
          <w:tcPr>
            <w:tcW w:w="280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Annual cash award, which for</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shd w:val="clear" w:color="auto" w:fill="B2B2B2"/>
          </w:tcPr>
          <w:p>
            <w:pPr>
              <w:spacing w:after="0"/>
              <w:rPr>
                <w:sz w:val="17"/>
                <w:szCs w:val="17"/>
                <w:color w:val="auto"/>
              </w:rPr>
            </w:pPr>
          </w:p>
        </w:tc>
        <w:tc>
          <w:tcPr>
            <w:tcW w:w="3140" w:type="dxa"/>
            <w:vAlign w:val="bottom"/>
            <w:tcBorders>
              <w:right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operational and other performance</w:t>
            </w: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fiscal 2020 was subject to</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shd w:val="clear" w:color="auto" w:fill="B2B2B2"/>
          </w:tcPr>
          <w:p>
            <w:pPr>
              <w:spacing w:after="0"/>
              <w:rPr>
                <w:sz w:val="17"/>
                <w:szCs w:val="17"/>
                <w:color w:val="auto"/>
              </w:rPr>
            </w:pPr>
          </w:p>
        </w:tc>
        <w:tc>
          <w:tcPr>
            <w:tcW w:w="3140" w:type="dxa"/>
            <w:vAlign w:val="bottom"/>
            <w:tcBorders>
              <w:right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goals</w:t>
            </w: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achievement of Company and</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shd w:val="clear" w:color="auto" w:fill="B2B2B2"/>
          </w:tcPr>
          <w:p>
            <w:pPr>
              <w:spacing w:after="0"/>
              <w:rPr>
                <w:sz w:val="17"/>
                <w:szCs w:val="17"/>
                <w:color w:val="auto"/>
              </w:rPr>
            </w:pPr>
          </w:p>
        </w:tc>
        <w:tc>
          <w:tcPr>
            <w:tcW w:w="3140" w:type="dxa"/>
            <w:vAlign w:val="bottom"/>
            <w:tcBorders>
              <w:right w:val="single" w:sz="8" w:color="auto"/>
            </w:tcBorders>
            <w:shd w:val="clear" w:color="auto" w:fill="B2B2B2"/>
          </w:tcPr>
          <w:p>
            <w:pPr>
              <w:spacing w:after="0"/>
              <w:rPr>
                <w:sz w:val="17"/>
                <w:szCs w:val="17"/>
                <w:color w:val="auto"/>
              </w:rPr>
            </w:pP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business unit performance goals</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Annual Non-Equity Incentive</w:t>
            </w:r>
          </w:p>
        </w:tc>
        <w:tc>
          <w:tcPr>
            <w:tcW w:w="3140" w:type="dxa"/>
            <w:vAlign w:val="bottom"/>
            <w:tcBorders>
              <w:right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Motivates performance by delivering</w:t>
            </w: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and performance on individual</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right w:val="single" w:sz="8" w:color="auto"/>
            </w:tcBorders>
            <w:shd w:val="clear" w:color="auto" w:fill="B2B2B2"/>
          </w:tcPr>
          <w:p>
            <w:pPr>
              <w:spacing w:after="0"/>
              <w:rPr>
                <w:sz w:val="14"/>
                <w:szCs w:val="14"/>
                <w:color w:val="auto"/>
              </w:rPr>
            </w:pPr>
          </w:p>
        </w:tc>
        <w:tc>
          <w:tcPr>
            <w:tcW w:w="2680" w:type="dxa"/>
            <w:vAlign w:val="bottom"/>
            <w:tcBorders>
              <w:right w:val="single" w:sz="8" w:color="auto"/>
            </w:tcBorders>
            <w:vMerge w:val="continue"/>
            <w:shd w:val="clear" w:color="auto" w:fill="B2B2B2"/>
          </w:tcPr>
          <w:p>
            <w:pPr>
              <w:spacing w:after="0"/>
              <w:rPr>
                <w:sz w:val="14"/>
                <w:szCs w:val="14"/>
                <w:color w:val="auto"/>
              </w:rPr>
            </w:pPr>
          </w:p>
        </w:tc>
        <w:tc>
          <w:tcPr>
            <w:tcW w:w="3140" w:type="dxa"/>
            <w:vAlign w:val="bottom"/>
            <w:tcBorders>
              <w:right w:val="single" w:sz="8" w:color="auto"/>
            </w:tcBorders>
            <w:shd w:val="clear" w:color="auto" w:fill="B2B2B2"/>
          </w:tcPr>
          <w:p>
            <w:pPr>
              <w:spacing w:after="0" w:line="163" w:lineRule="exact"/>
              <w:rPr>
                <w:sz w:val="20"/>
                <w:szCs w:val="20"/>
                <w:color w:val="auto"/>
              </w:rPr>
            </w:pPr>
            <w:r>
              <w:rPr>
                <w:rFonts w:ascii="Arial" w:cs="Arial" w:eastAsia="Arial" w:hAnsi="Arial"/>
                <w:sz w:val="18"/>
                <w:szCs w:val="18"/>
                <w:color w:val="auto"/>
              </w:rPr>
              <w:t>greater rewards for superior Company,</w:t>
            </w:r>
          </w:p>
        </w:tc>
        <w:tc>
          <w:tcPr>
            <w:tcW w:w="2800" w:type="dxa"/>
            <w:vAlign w:val="bottom"/>
            <w:tcBorders>
              <w:right w:val="single" w:sz="8" w:color="auto"/>
            </w:tcBorders>
            <w:shd w:val="clear" w:color="auto" w:fill="B2B2B2"/>
          </w:tcPr>
          <w:p>
            <w:pPr>
              <w:ind w:left="20"/>
              <w:spacing w:after="0" w:line="163" w:lineRule="exact"/>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r>
        <w:trPr>
          <w:trHeight w:val="215"/>
        </w:trPr>
        <w:tc>
          <w:tcPr>
            <w:tcW w:w="1700" w:type="dxa"/>
            <w:vAlign w:val="bottom"/>
            <w:tcBorders>
              <w:left w:val="single" w:sz="8" w:color="auto"/>
              <w:right w:val="single" w:sz="8" w:color="auto"/>
            </w:tcBorders>
            <w:shd w:val="clear" w:color="auto" w:fill="B2B2B2"/>
          </w:tcPr>
          <w:p>
            <w:pPr>
              <w:spacing w:after="0"/>
              <w:rPr>
                <w:sz w:val="18"/>
                <w:szCs w:val="18"/>
                <w:color w:val="auto"/>
              </w:rPr>
            </w:pPr>
          </w:p>
        </w:tc>
        <w:tc>
          <w:tcPr>
            <w:tcW w:w="268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color w:val="auto"/>
                <w:w w:val="99"/>
              </w:rPr>
              <w:t>Compensation</w:t>
            </w:r>
          </w:p>
        </w:tc>
        <w:tc>
          <w:tcPr>
            <w:tcW w:w="314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business unit and individual</w:t>
            </w:r>
          </w:p>
        </w:tc>
        <w:tc>
          <w:tcPr>
            <w:tcW w:w="280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7"/>
              </w:rPr>
              <w:t>Performance-</w:t>
            </w:r>
          </w:p>
        </w:tc>
        <w:tc>
          <w:tcPr>
            <w:tcW w:w="2680" w:type="dxa"/>
            <w:vAlign w:val="bottom"/>
            <w:tcBorders>
              <w:right w:val="single" w:sz="8" w:color="auto"/>
            </w:tcBorders>
            <w:shd w:val="clear" w:color="auto" w:fill="B2B2B2"/>
          </w:tcPr>
          <w:p>
            <w:pPr>
              <w:jc w:val="center"/>
              <w:spacing w:after="0"/>
              <w:rPr>
                <w:sz w:val="20"/>
                <w:szCs w:val="20"/>
                <w:color w:val="auto"/>
              </w:rPr>
            </w:pPr>
            <w:r>
              <w:rPr>
                <w:rFonts w:ascii="Arial" w:cs="Arial" w:eastAsia="Arial" w:hAnsi="Arial"/>
                <w:sz w:val="18"/>
                <w:szCs w:val="18"/>
                <w:color w:val="auto"/>
                <w:w w:val="99"/>
              </w:rPr>
              <w:t>(short-term emphasis)</w:t>
            </w:r>
          </w:p>
        </w:tc>
        <w:tc>
          <w:tcPr>
            <w:tcW w:w="314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performance, while delivering reduced</w:t>
            </w:r>
          </w:p>
        </w:tc>
        <w:tc>
          <w:tcPr>
            <w:tcW w:w="2800" w:type="dxa"/>
            <w:vAlign w:val="bottom"/>
            <w:tcBorders>
              <w:right w:val="single" w:sz="8" w:color="auto"/>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vMerge w:val="continue"/>
            <w:shd w:val="clear" w:color="auto" w:fill="B2B2B2"/>
          </w:tcPr>
          <w:p>
            <w:pPr>
              <w:spacing w:after="0"/>
              <w:rPr>
                <w:sz w:val="16"/>
                <w:szCs w:val="16"/>
                <w:color w:val="auto"/>
              </w:rPr>
            </w:pPr>
          </w:p>
        </w:tc>
        <w:tc>
          <w:tcPr>
            <w:tcW w:w="2680" w:type="dxa"/>
            <w:vAlign w:val="bottom"/>
            <w:tcBorders>
              <w:right w:val="single" w:sz="8" w:color="auto"/>
            </w:tcBorders>
            <w:shd w:val="clear" w:color="auto" w:fill="B2B2B2"/>
          </w:tcPr>
          <w:p>
            <w:pPr>
              <w:spacing w:after="0"/>
              <w:rPr>
                <w:sz w:val="16"/>
                <w:szCs w:val="16"/>
                <w:color w:val="auto"/>
              </w:rPr>
            </w:pPr>
          </w:p>
        </w:tc>
        <w:tc>
          <w:tcPr>
            <w:tcW w:w="3140" w:type="dxa"/>
            <w:vAlign w:val="bottom"/>
            <w:tcBorders>
              <w:right w:val="single" w:sz="8" w:color="auto"/>
            </w:tcBorders>
            <w:shd w:val="clear" w:color="auto" w:fill="B2B2B2"/>
          </w:tcPr>
          <w:p>
            <w:pPr>
              <w:spacing w:after="0" w:line="184" w:lineRule="exact"/>
              <w:rPr>
                <w:sz w:val="20"/>
                <w:szCs w:val="20"/>
                <w:color w:val="auto"/>
              </w:rPr>
            </w:pPr>
            <w:r>
              <w:rPr>
                <w:rFonts w:ascii="Arial" w:cs="Arial" w:eastAsia="Arial" w:hAnsi="Arial"/>
                <w:sz w:val="18"/>
                <w:szCs w:val="18"/>
                <w:color w:val="auto"/>
              </w:rPr>
              <w:t>or no awards for Company, business</w:t>
            </w:r>
          </w:p>
        </w:tc>
        <w:tc>
          <w:tcPr>
            <w:tcW w:w="2800" w:type="dxa"/>
            <w:vAlign w:val="bottom"/>
            <w:tcBorders>
              <w:right w:val="single" w:sz="8" w:color="auto"/>
            </w:tcBorders>
            <w:shd w:val="clear" w:color="auto" w:fill="B2B2B2"/>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700" w:type="dxa"/>
            <w:vAlign w:val="bottom"/>
            <w:tcBorders>
              <w:left w:val="single" w:sz="8" w:color="auto"/>
              <w:bottom w:val="single" w:sz="8" w:color="B2B2B2"/>
              <w:right w:val="single" w:sz="8" w:color="auto"/>
            </w:tcBorders>
            <w:shd w:val="clear" w:color="auto" w:fill="B2B2B2"/>
          </w:tcPr>
          <w:p>
            <w:pPr>
              <w:jc w:val="center"/>
              <w:spacing w:after="0" w:line="248" w:lineRule="exact"/>
              <w:rPr>
                <w:sz w:val="20"/>
                <w:szCs w:val="20"/>
                <w:color w:val="auto"/>
              </w:rPr>
            </w:pPr>
            <w:r>
              <w:rPr>
                <w:rFonts w:ascii="Arial" w:cs="Arial" w:eastAsia="Arial" w:hAnsi="Arial"/>
                <w:sz w:val="22"/>
                <w:szCs w:val="22"/>
                <w:b w:val="1"/>
                <w:bCs w:val="1"/>
                <w:color w:val="auto"/>
                <w:w w:val="99"/>
              </w:rPr>
              <w:t>Based</w:t>
            </w:r>
          </w:p>
        </w:tc>
        <w:tc>
          <w:tcPr>
            <w:tcW w:w="2680" w:type="dxa"/>
            <w:vAlign w:val="bottom"/>
            <w:tcBorders>
              <w:bottom w:val="single" w:sz="8" w:color="auto"/>
              <w:right w:val="single" w:sz="8" w:color="auto"/>
            </w:tcBorders>
            <w:shd w:val="clear" w:color="auto" w:fill="B2B2B2"/>
          </w:tcPr>
          <w:p>
            <w:pPr>
              <w:spacing w:after="0"/>
              <w:rPr>
                <w:sz w:val="21"/>
                <w:szCs w:val="21"/>
                <w:color w:val="auto"/>
              </w:rPr>
            </w:pPr>
          </w:p>
        </w:tc>
        <w:tc>
          <w:tcPr>
            <w:tcW w:w="3140" w:type="dxa"/>
            <w:vAlign w:val="bottom"/>
            <w:tcBorders>
              <w:bottom w:val="single" w:sz="8" w:color="auto"/>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unit or individual underperformance</w:t>
            </w:r>
          </w:p>
        </w:tc>
        <w:tc>
          <w:tcPr>
            <w:tcW w:w="2800" w:type="dxa"/>
            <w:vAlign w:val="bottom"/>
            <w:tcBorders>
              <w:bottom w:val="single" w:sz="8" w:color="auto"/>
              <w:right w:val="single" w:sz="8" w:color="auto"/>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700" w:type="dxa"/>
            <w:vAlign w:val="bottom"/>
            <w:tcBorders>
              <w:left w:val="single" w:sz="8" w:color="auto"/>
              <w:right w:val="single" w:sz="8" w:color="auto"/>
            </w:tcBorders>
            <w:shd w:val="clear" w:color="auto" w:fill="B2B2B2"/>
          </w:tcPr>
          <w:p>
            <w:pPr>
              <w:jc w:val="center"/>
              <w:spacing w:after="0" w:line="222" w:lineRule="exact"/>
              <w:rPr>
                <w:sz w:val="20"/>
                <w:szCs w:val="20"/>
                <w:color w:val="auto"/>
              </w:rPr>
            </w:pPr>
            <w:r>
              <w:rPr>
                <w:rFonts w:ascii="Arial" w:cs="Arial" w:eastAsia="Arial" w:hAnsi="Arial"/>
                <w:sz w:val="22"/>
                <w:szCs w:val="22"/>
                <w:b w:val="1"/>
                <w:bCs w:val="1"/>
                <w:color w:val="auto"/>
                <w:w w:val="98"/>
              </w:rPr>
              <w:t>Component</w:t>
            </w:r>
          </w:p>
        </w:tc>
        <w:tc>
          <w:tcPr>
            <w:tcW w:w="2680" w:type="dxa"/>
            <w:vAlign w:val="bottom"/>
            <w:tcBorders>
              <w:right w:val="single" w:sz="8" w:color="auto"/>
            </w:tcBorders>
            <w:shd w:val="clear" w:color="auto" w:fill="B2B2B2"/>
          </w:tcPr>
          <w:p>
            <w:pPr>
              <w:spacing w:after="0"/>
              <w:rPr>
                <w:sz w:val="19"/>
                <w:szCs w:val="19"/>
                <w:color w:val="auto"/>
              </w:rPr>
            </w:pPr>
          </w:p>
        </w:tc>
        <w:tc>
          <w:tcPr>
            <w:tcW w:w="314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Aligns compensation to long-term</w:t>
            </w:r>
          </w:p>
        </w:tc>
        <w:tc>
          <w:tcPr>
            <w:tcW w:w="280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One-year performance</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shd w:val="clear" w:color="auto" w:fill="B2B2B2"/>
          </w:tcPr>
          <w:p>
            <w:pPr>
              <w:spacing w:after="0"/>
              <w:rPr>
                <w:sz w:val="17"/>
                <w:szCs w:val="17"/>
                <w:color w:val="auto"/>
              </w:rPr>
            </w:pPr>
          </w:p>
        </w:tc>
        <w:tc>
          <w:tcPr>
            <w:tcW w:w="3140" w:type="dxa"/>
            <w:vAlign w:val="bottom"/>
            <w:tcBorders>
              <w:right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shareholder value and stock price</w:t>
            </w: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measurement period, and two-</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shd w:val="clear" w:color="auto" w:fill="B2B2B2"/>
          </w:tcPr>
          <w:p>
            <w:pPr>
              <w:spacing w:after="0"/>
              <w:rPr>
                <w:sz w:val="17"/>
                <w:szCs w:val="17"/>
                <w:color w:val="auto"/>
              </w:rPr>
            </w:pPr>
          </w:p>
        </w:tc>
        <w:tc>
          <w:tcPr>
            <w:tcW w:w="3140" w:type="dxa"/>
            <w:vAlign w:val="bottom"/>
            <w:tcBorders>
              <w:right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appreciation</w:t>
            </w: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year additional vesting period</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Performance-Based Restricted</w:t>
            </w:r>
          </w:p>
        </w:tc>
        <w:tc>
          <w:tcPr>
            <w:tcW w:w="3140" w:type="dxa"/>
            <w:vAlign w:val="bottom"/>
            <w:tcBorders>
              <w:right w:val="single" w:sz="8" w:color="auto"/>
            </w:tcBorders>
            <w:shd w:val="clear" w:color="auto" w:fill="B2B2B2"/>
          </w:tcPr>
          <w:p>
            <w:pPr>
              <w:spacing w:after="0"/>
              <w:rPr>
                <w:sz w:val="17"/>
                <w:szCs w:val="17"/>
                <w:color w:val="auto"/>
              </w:rPr>
            </w:pPr>
          </w:p>
        </w:tc>
        <w:tc>
          <w:tcPr>
            <w:tcW w:w="2800" w:type="dxa"/>
            <w:vAlign w:val="bottom"/>
            <w:tcBorders>
              <w:right w:val="single" w:sz="8" w:color="auto"/>
            </w:tcBorders>
            <w:shd w:val="clear" w:color="auto" w:fill="B2B2B2"/>
          </w:tcPr>
          <w:p>
            <w:pPr>
              <w:ind w:left="20"/>
              <w:spacing w:after="0" w:line="202" w:lineRule="exact"/>
              <w:rPr>
                <w:sz w:val="20"/>
                <w:szCs w:val="20"/>
                <w:color w:val="auto"/>
              </w:rPr>
            </w:pPr>
            <w:r>
              <w:rPr>
                <w:rFonts w:ascii="Arial" w:cs="Arial" w:eastAsia="Arial" w:hAnsi="Arial"/>
                <w:sz w:val="18"/>
                <w:szCs w:val="18"/>
                <w:color w:val="auto"/>
              </w:rPr>
              <w:t>following issuance of restricted</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right w:val="single" w:sz="8" w:color="auto"/>
            </w:tcBorders>
            <w:shd w:val="clear" w:color="auto" w:fill="B2B2B2"/>
          </w:tcPr>
          <w:p>
            <w:pPr>
              <w:spacing w:after="0"/>
              <w:rPr>
                <w:sz w:val="14"/>
                <w:szCs w:val="14"/>
                <w:color w:val="auto"/>
              </w:rPr>
            </w:pPr>
          </w:p>
        </w:tc>
        <w:tc>
          <w:tcPr>
            <w:tcW w:w="2680" w:type="dxa"/>
            <w:vAlign w:val="bottom"/>
            <w:tcBorders>
              <w:right w:val="single" w:sz="8" w:color="auto"/>
            </w:tcBorders>
            <w:vMerge w:val="continue"/>
            <w:shd w:val="clear" w:color="auto" w:fill="B2B2B2"/>
          </w:tcPr>
          <w:p>
            <w:pPr>
              <w:spacing w:after="0"/>
              <w:rPr>
                <w:sz w:val="14"/>
                <w:szCs w:val="14"/>
                <w:color w:val="auto"/>
              </w:rPr>
            </w:pPr>
          </w:p>
        </w:tc>
        <w:tc>
          <w:tcPr>
            <w:tcW w:w="3140" w:type="dxa"/>
            <w:vAlign w:val="bottom"/>
            <w:tcBorders>
              <w:right w:val="single" w:sz="8" w:color="auto"/>
            </w:tcBorders>
            <w:shd w:val="clear" w:color="auto" w:fill="B2B2B2"/>
          </w:tcPr>
          <w:p>
            <w:pPr>
              <w:spacing w:after="0" w:line="163" w:lineRule="exact"/>
              <w:rPr>
                <w:sz w:val="20"/>
                <w:szCs w:val="20"/>
                <w:color w:val="auto"/>
              </w:rPr>
            </w:pPr>
            <w:r>
              <w:rPr>
                <w:rFonts w:ascii="Arial" w:cs="Arial" w:eastAsia="Arial" w:hAnsi="Arial"/>
                <w:sz w:val="18"/>
                <w:szCs w:val="18"/>
                <w:color w:val="auto"/>
              </w:rPr>
              <w:t>Motivates performance by delivering</w:t>
            </w:r>
          </w:p>
        </w:tc>
        <w:tc>
          <w:tcPr>
            <w:tcW w:w="2800" w:type="dxa"/>
            <w:vAlign w:val="bottom"/>
            <w:tcBorders>
              <w:right w:val="single" w:sz="8" w:color="auto"/>
            </w:tcBorders>
            <w:shd w:val="clear" w:color="auto" w:fill="B2B2B2"/>
          </w:tcPr>
          <w:p>
            <w:pPr>
              <w:ind w:left="20"/>
              <w:spacing w:after="0" w:line="163" w:lineRule="exact"/>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shd w:val="clear" w:color="auto" w:fill="B2B2B2"/>
          </w:tcPr>
          <w:p>
            <w:pPr>
              <w:spacing w:after="0"/>
              <w:rPr>
                <w:sz w:val="15"/>
                <w:szCs w:val="15"/>
                <w:color w:val="auto"/>
              </w:rPr>
            </w:pPr>
          </w:p>
        </w:tc>
        <w:tc>
          <w:tcPr>
            <w:tcW w:w="2680" w:type="dxa"/>
            <w:vAlign w:val="bottom"/>
            <w:tcBorders>
              <w:right w:val="single" w:sz="8" w:color="auto"/>
            </w:tcBorders>
            <w:shd w:val="clear" w:color="auto" w:fill="B2B2B2"/>
          </w:tcPr>
          <w:p>
            <w:pPr>
              <w:jc w:val="center"/>
              <w:spacing w:after="0" w:line="175" w:lineRule="exact"/>
              <w:rPr>
                <w:sz w:val="20"/>
                <w:szCs w:val="20"/>
                <w:color w:val="auto"/>
              </w:rPr>
            </w:pPr>
            <w:r>
              <w:rPr>
                <w:rFonts w:ascii="Arial" w:cs="Arial" w:eastAsia="Arial" w:hAnsi="Arial"/>
                <w:sz w:val="18"/>
                <w:szCs w:val="18"/>
                <w:color w:val="auto"/>
                <w:w w:val="99"/>
              </w:rPr>
              <w:t>Stock Unit Awards</w:t>
            </w:r>
          </w:p>
        </w:tc>
        <w:tc>
          <w:tcPr>
            <w:tcW w:w="3140" w:type="dxa"/>
            <w:vAlign w:val="bottom"/>
            <w:tcBorders>
              <w:right w:val="single" w:sz="8" w:color="auto"/>
            </w:tcBorders>
            <w:vMerge w:val="restart"/>
            <w:shd w:val="clear" w:color="auto" w:fill="B2B2B2"/>
          </w:tcPr>
          <w:p>
            <w:pPr>
              <w:spacing w:after="0"/>
              <w:rPr>
                <w:sz w:val="20"/>
                <w:szCs w:val="20"/>
                <w:color w:val="auto"/>
              </w:rPr>
            </w:pPr>
            <w:r>
              <w:rPr>
                <w:rFonts w:ascii="Arial" w:cs="Arial" w:eastAsia="Arial" w:hAnsi="Arial"/>
                <w:sz w:val="18"/>
                <w:szCs w:val="18"/>
                <w:color w:val="auto"/>
              </w:rPr>
              <w:t>greater rewards for superior Company</w:t>
            </w:r>
          </w:p>
        </w:tc>
        <w:tc>
          <w:tcPr>
            <w:tcW w:w="2800" w:type="dxa"/>
            <w:vAlign w:val="bottom"/>
            <w:tcBorders>
              <w:right w:val="single" w:sz="8" w:color="auto"/>
            </w:tcBorders>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700" w:type="dxa"/>
            <w:vAlign w:val="bottom"/>
            <w:tcBorders>
              <w:left w:val="single" w:sz="8" w:color="auto"/>
              <w:right w:val="single" w:sz="8" w:color="auto"/>
            </w:tcBorders>
            <w:shd w:val="clear" w:color="auto" w:fill="B2B2B2"/>
          </w:tcPr>
          <w:p>
            <w:pPr>
              <w:spacing w:after="0"/>
              <w:rPr>
                <w:sz w:val="5"/>
                <w:szCs w:val="5"/>
                <w:color w:val="auto"/>
              </w:rPr>
            </w:pPr>
          </w:p>
        </w:tc>
        <w:tc>
          <w:tcPr>
            <w:tcW w:w="268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(long-term emphasis)</w:t>
            </w:r>
          </w:p>
        </w:tc>
        <w:tc>
          <w:tcPr>
            <w:tcW w:w="3140" w:type="dxa"/>
            <w:vAlign w:val="bottom"/>
            <w:tcBorders>
              <w:right w:val="single" w:sz="8" w:color="auto"/>
            </w:tcBorders>
            <w:vMerge w:val="continue"/>
            <w:shd w:val="clear" w:color="auto" w:fill="B2B2B2"/>
          </w:tcPr>
          <w:p>
            <w:pPr>
              <w:spacing w:after="0"/>
              <w:rPr>
                <w:sz w:val="5"/>
                <w:szCs w:val="5"/>
                <w:color w:val="auto"/>
              </w:rPr>
            </w:pPr>
          </w:p>
        </w:tc>
        <w:tc>
          <w:tcPr>
            <w:tcW w:w="2800" w:type="dxa"/>
            <w:vAlign w:val="bottom"/>
            <w:tcBorders>
              <w:right w:val="single" w:sz="8" w:color="auto"/>
            </w:tcBorders>
            <w:shd w:val="clear" w:color="auto" w:fill="B2B2B2"/>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shd w:val="clear" w:color="auto" w:fill="B2B2B2"/>
          </w:tcPr>
          <w:p>
            <w:pPr>
              <w:spacing w:after="0"/>
              <w:rPr>
                <w:sz w:val="12"/>
                <w:szCs w:val="12"/>
                <w:color w:val="auto"/>
              </w:rPr>
            </w:pPr>
          </w:p>
        </w:tc>
        <w:tc>
          <w:tcPr>
            <w:tcW w:w="2680" w:type="dxa"/>
            <w:vAlign w:val="bottom"/>
            <w:tcBorders>
              <w:right w:val="single" w:sz="8" w:color="auto"/>
            </w:tcBorders>
            <w:vMerge w:val="continue"/>
            <w:shd w:val="clear" w:color="auto" w:fill="B2B2B2"/>
          </w:tcPr>
          <w:p>
            <w:pPr>
              <w:spacing w:after="0"/>
              <w:rPr>
                <w:sz w:val="12"/>
                <w:szCs w:val="12"/>
                <w:color w:val="auto"/>
              </w:rPr>
            </w:pPr>
          </w:p>
        </w:tc>
        <w:tc>
          <w:tcPr>
            <w:tcW w:w="3140" w:type="dxa"/>
            <w:vAlign w:val="bottom"/>
            <w:tcBorders>
              <w:right w:val="single" w:sz="8" w:color="auto"/>
            </w:tcBorders>
            <w:vMerge w:val="restart"/>
            <w:shd w:val="clear" w:color="auto" w:fill="B2B2B2"/>
          </w:tcPr>
          <w:p>
            <w:pPr>
              <w:spacing w:after="0" w:line="202" w:lineRule="exact"/>
              <w:rPr>
                <w:sz w:val="20"/>
                <w:szCs w:val="20"/>
                <w:color w:val="auto"/>
              </w:rPr>
            </w:pPr>
            <w:r>
              <w:rPr>
                <w:rFonts w:ascii="Arial" w:cs="Arial" w:eastAsia="Arial" w:hAnsi="Arial"/>
                <w:sz w:val="18"/>
                <w:szCs w:val="18"/>
                <w:color w:val="auto"/>
              </w:rPr>
              <w:t>performance, while delivering reduced</w:t>
            </w:r>
          </w:p>
        </w:tc>
        <w:tc>
          <w:tcPr>
            <w:tcW w:w="2800" w:type="dxa"/>
            <w:vAlign w:val="bottom"/>
            <w:tcBorders>
              <w:right w:val="single" w:sz="8" w:color="auto"/>
            </w:tcBorders>
            <w:shd w:val="clear" w:color="auto" w:fill="B2B2B2"/>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700" w:type="dxa"/>
            <w:vAlign w:val="bottom"/>
            <w:tcBorders>
              <w:left w:val="single" w:sz="8" w:color="auto"/>
              <w:right w:val="single" w:sz="8" w:color="auto"/>
            </w:tcBorders>
            <w:shd w:val="clear" w:color="auto" w:fill="B2B2B2"/>
          </w:tcPr>
          <w:p>
            <w:pPr>
              <w:spacing w:after="0"/>
              <w:rPr>
                <w:sz w:val="4"/>
                <w:szCs w:val="4"/>
                <w:color w:val="auto"/>
              </w:rPr>
            </w:pPr>
          </w:p>
        </w:tc>
        <w:tc>
          <w:tcPr>
            <w:tcW w:w="2680" w:type="dxa"/>
            <w:vAlign w:val="bottom"/>
            <w:tcBorders>
              <w:right w:val="single" w:sz="8" w:color="auto"/>
            </w:tcBorders>
            <w:shd w:val="clear" w:color="auto" w:fill="B2B2B2"/>
          </w:tcPr>
          <w:p>
            <w:pPr>
              <w:spacing w:after="0"/>
              <w:rPr>
                <w:sz w:val="4"/>
                <w:szCs w:val="4"/>
                <w:color w:val="auto"/>
              </w:rPr>
            </w:pPr>
          </w:p>
        </w:tc>
        <w:tc>
          <w:tcPr>
            <w:tcW w:w="3140" w:type="dxa"/>
            <w:vAlign w:val="bottom"/>
            <w:tcBorders>
              <w:right w:val="single" w:sz="8" w:color="auto"/>
            </w:tcBorders>
            <w:vMerge w:val="continue"/>
            <w:shd w:val="clear" w:color="auto" w:fill="B2B2B2"/>
          </w:tcPr>
          <w:p>
            <w:pPr>
              <w:spacing w:after="0"/>
              <w:rPr>
                <w:sz w:val="4"/>
                <w:szCs w:val="4"/>
                <w:color w:val="auto"/>
              </w:rPr>
            </w:pPr>
          </w:p>
        </w:tc>
        <w:tc>
          <w:tcPr>
            <w:tcW w:w="2800" w:type="dxa"/>
            <w:vAlign w:val="bottom"/>
            <w:tcBorders>
              <w:right w:val="single" w:sz="8" w:color="auto"/>
            </w:tcBorders>
            <w:shd w:val="clear" w:color="auto" w:fill="B2B2B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B2B2B2"/>
          </w:tcPr>
          <w:p>
            <w:pPr>
              <w:spacing w:after="0"/>
              <w:rPr>
                <w:sz w:val="17"/>
                <w:szCs w:val="17"/>
                <w:color w:val="auto"/>
              </w:rPr>
            </w:pPr>
          </w:p>
        </w:tc>
        <w:tc>
          <w:tcPr>
            <w:tcW w:w="2680" w:type="dxa"/>
            <w:vAlign w:val="bottom"/>
            <w:tcBorders>
              <w:right w:val="single" w:sz="8" w:color="auto"/>
            </w:tcBorders>
            <w:shd w:val="clear" w:color="auto" w:fill="B2B2B2"/>
          </w:tcPr>
          <w:p>
            <w:pPr>
              <w:spacing w:after="0"/>
              <w:rPr>
                <w:sz w:val="17"/>
                <w:szCs w:val="17"/>
                <w:color w:val="auto"/>
              </w:rPr>
            </w:pPr>
          </w:p>
        </w:tc>
        <w:tc>
          <w:tcPr>
            <w:tcW w:w="3140" w:type="dxa"/>
            <w:vAlign w:val="bottom"/>
            <w:tcBorders>
              <w:right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or no awards for Company</w:t>
            </w:r>
          </w:p>
        </w:tc>
        <w:tc>
          <w:tcPr>
            <w:tcW w:w="2800" w:type="dxa"/>
            <w:vAlign w:val="bottom"/>
            <w:tcBorders>
              <w:right w:val="single" w:sz="8" w:color="auto"/>
            </w:tcBorders>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00" w:type="dxa"/>
            <w:vAlign w:val="bottom"/>
            <w:tcBorders>
              <w:left w:val="single" w:sz="8" w:color="auto"/>
              <w:bottom w:val="single" w:sz="8" w:color="auto"/>
              <w:right w:val="single" w:sz="8" w:color="auto"/>
            </w:tcBorders>
            <w:shd w:val="clear" w:color="auto" w:fill="B2B2B2"/>
          </w:tcPr>
          <w:p>
            <w:pPr>
              <w:spacing w:after="0"/>
              <w:rPr>
                <w:sz w:val="19"/>
                <w:szCs w:val="19"/>
                <w:color w:val="auto"/>
              </w:rPr>
            </w:pPr>
          </w:p>
        </w:tc>
        <w:tc>
          <w:tcPr>
            <w:tcW w:w="2680" w:type="dxa"/>
            <w:vAlign w:val="bottom"/>
            <w:tcBorders>
              <w:bottom w:val="single" w:sz="8" w:color="auto"/>
              <w:right w:val="single" w:sz="8" w:color="auto"/>
            </w:tcBorders>
            <w:shd w:val="clear" w:color="auto" w:fill="B2B2B2"/>
          </w:tcPr>
          <w:p>
            <w:pPr>
              <w:spacing w:after="0"/>
              <w:rPr>
                <w:sz w:val="19"/>
                <w:szCs w:val="19"/>
                <w:color w:val="auto"/>
              </w:rPr>
            </w:pPr>
          </w:p>
        </w:tc>
        <w:tc>
          <w:tcPr>
            <w:tcW w:w="3140" w:type="dxa"/>
            <w:vAlign w:val="bottom"/>
            <w:tcBorders>
              <w:bottom w:val="single" w:sz="8" w:color="auto"/>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underperformance</w:t>
            </w:r>
          </w:p>
        </w:tc>
        <w:tc>
          <w:tcPr>
            <w:tcW w:w="2800" w:type="dxa"/>
            <w:vAlign w:val="bottom"/>
            <w:tcBorders>
              <w:bottom w:val="single" w:sz="8" w:color="auto"/>
              <w:right w:val="single" w:sz="8" w:color="auto"/>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shows the relative value of the various compensation components at target for fiscal 2020 (base salary, performance-based equity incentive compensation and performance-based cash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254625"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936" w:right="659" w:bottom="1440" w:gutter="0" w:footer="0" w:header="0"/>
        </w:sectPr>
      </w:pPr>
    </w:p>
    <w:bookmarkStart w:id="16" w:name="page17"/>
    <w:bookmarkEnd w:id="16"/>
    <w:p>
      <w:pPr>
        <w:ind w:right="100"/>
        <w:spacing w:after="0" w:line="261" w:lineRule="auto"/>
        <w:rPr>
          <w:sz w:val="20"/>
          <w:szCs w:val="20"/>
          <w:color w:val="auto"/>
        </w:rPr>
      </w:pPr>
      <w:r>
        <w:rPr>
          <w:rFonts w:ascii="Arial" w:cs="Arial" w:eastAsia="Arial" w:hAnsi="Arial"/>
          <w:sz w:val="18"/>
          <w:szCs w:val="18"/>
          <w:color w:val="auto"/>
        </w:rPr>
        <w:t>In addition to the above elements, our executive compensation program for the last fiscal year consisted of contributions to long-term benefit plans and other benefits.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May 2019, the Compensation Committee approved an increase of approximately 18% in the base salary of our Chief Executive Officer and President as part of a compensation market review and adjustment and approximately 3% for our other named executive officers. The base salaries paid to our executive officers during the last three completed fiscal years are listed in the Summary Compensation Table below.</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Non-Equity Incentive Compensation</w:t>
      </w:r>
    </w:p>
    <w:p>
      <w:pPr>
        <w:spacing w:after="0" w:line="13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22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fiscal 2020, the Compensation Committee designated financial performance goals, including a corporate pre-tax income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annual cash incentive payment opportunities for our named executive officers were based on the following percentages of base salary for fiscal 2020:</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380" w:type="dxa"/>
            <w:vAlign w:val="bottom"/>
            <w:tcBorders>
              <w:top w:val="single" w:sz="8" w:color="auto"/>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8"/>
              </w:rPr>
              <w:t>Threshold</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8"/>
              </w:rPr>
              <w:t>Target</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8"/>
              </w:rPr>
              <w:t>Maximum</w:t>
            </w:r>
          </w:p>
        </w:tc>
        <w:tc>
          <w:tcPr>
            <w:tcW w:w="240" w:type="dxa"/>
            <w:vAlign w:val="bottom"/>
            <w:tcBorders>
              <w:top w:val="single" w:sz="8" w:color="auto"/>
              <w:right w:val="single" w:sz="8" w:color="auto"/>
            </w:tcBorders>
          </w:tcPr>
          <w:p>
            <w:pPr>
              <w:spacing w:after="0"/>
              <w:rPr>
                <w:sz w:val="19"/>
                <w:szCs w:val="19"/>
                <w:color w:val="auto"/>
              </w:rPr>
            </w:pPr>
          </w:p>
        </w:tc>
      </w:tr>
      <w:tr>
        <w:trPr>
          <w:trHeight w:val="203"/>
        </w:trPr>
        <w:tc>
          <w:tcPr>
            <w:tcW w:w="438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Annual Cash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Annual Cash</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Annual Cash</w:t>
            </w:r>
          </w:p>
        </w:tc>
        <w:tc>
          <w:tcPr>
            <w:tcW w:w="240" w:type="dxa"/>
            <w:vAlign w:val="bottom"/>
            <w:tcBorders>
              <w:right w:val="single" w:sz="8" w:color="auto"/>
            </w:tcBorders>
          </w:tcPr>
          <w:p>
            <w:pPr>
              <w:spacing w:after="0"/>
              <w:rPr>
                <w:sz w:val="17"/>
                <w:szCs w:val="17"/>
                <w:color w:val="auto"/>
              </w:rPr>
            </w:pPr>
          </w:p>
        </w:tc>
      </w:tr>
      <w:tr>
        <w:trPr>
          <w:trHeight w:val="246"/>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100" w:type="dxa"/>
            <w:vAlign w:val="bottom"/>
            <w:tcBorders>
              <w:bottom w:val="single" w:sz="8" w:color="B3B3B3"/>
            </w:tcBorders>
          </w:tcPr>
          <w:p>
            <w:pPr>
              <w:spacing w:after="0"/>
              <w:rPr>
                <w:sz w:val="21"/>
                <w:szCs w:val="21"/>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120" w:type="dxa"/>
            <w:vAlign w:val="bottom"/>
            <w:tcBorders>
              <w:bottom w:val="single" w:sz="8" w:color="B3B3B3"/>
            </w:tcBorders>
          </w:tcPr>
          <w:p>
            <w:pPr>
              <w:spacing w:after="0"/>
              <w:rPr>
                <w:sz w:val="21"/>
                <w:szCs w:val="21"/>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100" w:type="dxa"/>
            <w:vAlign w:val="bottom"/>
            <w:tcBorders>
              <w:bottom w:val="single" w:sz="8" w:color="B3B3B3"/>
            </w:tcBorders>
          </w:tcPr>
          <w:p>
            <w:pPr>
              <w:spacing w:after="0"/>
              <w:rPr>
                <w:sz w:val="21"/>
                <w:szCs w:val="21"/>
                <w:color w:val="auto"/>
              </w:rPr>
            </w:pP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Incentive Payment</w:t>
            </w:r>
          </w:p>
        </w:tc>
      </w:tr>
      <w:tr>
        <w:trPr>
          <w:trHeight w:val="257"/>
        </w:trPr>
        <w:tc>
          <w:tcPr>
            <w:tcW w:w="44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Chief Executive Officer</w:t>
            </w:r>
          </w:p>
        </w:tc>
        <w:tc>
          <w:tcPr>
            <w:tcW w:w="17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B3B3B3"/>
          </w:tcPr>
          <w:p>
            <w:pPr>
              <w:spacing w:after="0"/>
              <w:rPr>
                <w:sz w:val="22"/>
                <w:szCs w:val="22"/>
                <w:color w:val="auto"/>
              </w:rPr>
            </w:pPr>
          </w:p>
        </w:tc>
        <w:tc>
          <w:tcPr>
            <w:tcW w:w="16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3B3B3"/>
          </w:tcPr>
          <w:p>
            <w:pPr>
              <w:spacing w:after="0"/>
              <w:rPr>
                <w:sz w:val="22"/>
                <w:szCs w:val="22"/>
                <w:color w:val="auto"/>
              </w:rPr>
            </w:pPr>
          </w:p>
        </w:tc>
        <w:tc>
          <w:tcPr>
            <w:tcW w:w="17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4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4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General Counsel</w:t>
            </w:r>
          </w:p>
        </w:tc>
        <w:tc>
          <w:tcPr>
            <w:tcW w:w="192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B3B3B3"/>
          </w:tcPr>
          <w:p>
            <w:pPr>
              <w:spacing w:after="0"/>
              <w:rPr>
                <w:sz w:val="22"/>
                <w:szCs w:val="22"/>
                <w:color w:val="auto"/>
              </w:rPr>
            </w:pPr>
          </w:p>
        </w:tc>
        <w:tc>
          <w:tcPr>
            <w:tcW w:w="190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B3B3B3"/>
          </w:tcPr>
          <w:p>
            <w:pPr>
              <w:spacing w:after="0"/>
              <w:rPr>
                <w:sz w:val="22"/>
                <w:szCs w:val="22"/>
                <w:color w:val="auto"/>
              </w:rPr>
            </w:pPr>
          </w:p>
        </w:tc>
        <w:tc>
          <w:tcPr>
            <w:tcW w:w="1940" w:type="dxa"/>
            <w:vAlign w:val="bottom"/>
            <w:tcBorders>
              <w:right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80 %</w:t>
            </w:r>
          </w:p>
        </w:tc>
      </w:tr>
      <w:tr>
        <w:trPr>
          <w:trHeight w:val="250"/>
        </w:trPr>
        <w:tc>
          <w:tcPr>
            <w:tcW w:w="44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Vice President - Water Treatment</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4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Industrial</w:t>
            </w:r>
          </w:p>
        </w:tc>
        <w:tc>
          <w:tcPr>
            <w:tcW w:w="17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B3B3B3"/>
          </w:tcPr>
          <w:p>
            <w:pPr>
              <w:spacing w:after="0"/>
              <w:rPr>
                <w:sz w:val="22"/>
                <w:szCs w:val="22"/>
                <w:color w:val="auto"/>
              </w:rPr>
            </w:pPr>
          </w:p>
        </w:tc>
        <w:tc>
          <w:tcPr>
            <w:tcW w:w="16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B3B3B3"/>
          </w:tcPr>
          <w:p>
            <w:pPr>
              <w:spacing w:after="0"/>
              <w:rPr>
                <w:sz w:val="22"/>
                <w:szCs w:val="22"/>
                <w:color w:val="auto"/>
              </w:rPr>
            </w:pPr>
          </w:p>
        </w:tc>
        <w:tc>
          <w:tcPr>
            <w:tcW w:w="17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Compensation Committee established the payment opportunities for each of the executive officers based on the relative scope of his responsibilities and resulting ability to impact the company’s performance. The Compensation Committee established a higher percentage payment opportunity for the Chief Executive Officer to reflect his significant responsibilities regarding the creation and implementation of long-term strategic direction for the entire company. As part of a compensation market review and adjustment, the target percentage for the Chief Executive Officer was increased from 75% to 100% in fiscal 2020.</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2020 should be based upon corporate performance against the pre-tax income goal to reflect their significant company-wide responsibilities and resulting ability to impact the overall success of the company. In addition, the Compensation Committee determined that 20% should be based upon meeting their individual objectives and overall job performance.</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Compensation Committee determined that 40% of the annual cash incentive payment opportunities for our Vice President - Industrial and Vice President - Water Treatment for fiscal 2020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90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Compensation Committee determined that 20% should be based upon meeting their individual objectives and overall job performance.</w:t>
      </w:r>
    </w:p>
    <w:p>
      <w:pPr>
        <w:spacing w:after="0" w:line="25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 will lead to a payout of 75% of the target level cash incentive payment). Performance between 100% and 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Corporate and Business Unit Financial Measures. </w:t>
      </w:r>
      <w:r>
        <w:rPr>
          <w:rFonts w:ascii="Arial" w:cs="Arial" w:eastAsia="Arial" w:hAnsi="Arial"/>
          <w:sz w:val="18"/>
          <w:szCs w:val="18"/>
          <w:color w:val="auto"/>
        </w:rPr>
        <w:t>The corporate performance portion of the annual cash incentive payment was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company-wide results for fiscal 2020 as measured by income before income taxes, as compared to a targeted level of the same financial measure for that period. For our Industrial and Water Treatment segments, the business unit performance portion of the annual cash incentive payment was based on an operational measure of business unit profitability for fiscal 2020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The corporate and business unit financial goals for fiscal 2020 and the actual performance against those goals are summarized below.</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780" w:type="dxa"/>
            <w:vAlign w:val="bottom"/>
            <w:tcBorders>
              <w:top w:val="single" w:sz="8" w:color="auto"/>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rPr>
              <w:t>Threshold</w:t>
            </w:r>
          </w:p>
        </w:tc>
        <w:tc>
          <w:tcPr>
            <w:tcW w:w="14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8"/>
              </w:rPr>
              <w:t>Target</w:t>
            </w:r>
          </w:p>
        </w:tc>
        <w:tc>
          <w:tcPr>
            <w:tcW w:w="1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8"/>
              </w:rPr>
              <w:t>Maximum</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Actual</w:t>
            </w:r>
          </w:p>
        </w:tc>
      </w:tr>
      <w:tr>
        <w:trPr>
          <w:trHeight w:val="203"/>
        </w:trPr>
        <w:tc>
          <w:tcPr>
            <w:tcW w:w="37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Performance</w:t>
            </w:r>
          </w:p>
        </w:tc>
        <w:tc>
          <w:tcPr>
            <w:tcW w:w="14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Performance</w:t>
            </w:r>
          </w:p>
        </w:tc>
        <w:tc>
          <w:tcPr>
            <w:tcW w:w="14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Performance</w:t>
            </w: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Performance</w:t>
            </w:r>
          </w:p>
        </w:tc>
      </w:tr>
      <w:tr>
        <w:trPr>
          <w:trHeight w:val="246"/>
        </w:trPr>
        <w:tc>
          <w:tcPr>
            <w:tcW w:w="3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Financial Measure</w:t>
            </w:r>
          </w:p>
        </w:tc>
        <w:tc>
          <w:tcPr>
            <w:tcW w:w="120" w:type="dxa"/>
            <w:vAlign w:val="bottom"/>
            <w:tcBorders>
              <w:bottom w:val="single" w:sz="8" w:color="B3B3B3"/>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20" w:type="dxa"/>
            <w:vAlign w:val="bottom"/>
            <w:tcBorders>
              <w:bottom w:val="single" w:sz="8" w:color="B3B3B3"/>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Achieved</w:t>
            </w:r>
          </w:p>
        </w:tc>
      </w:tr>
      <w:tr>
        <w:trPr>
          <w:trHeight w:val="257"/>
        </w:trPr>
        <w:tc>
          <w:tcPr>
            <w:tcW w:w="39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$26,900,000</w:t>
            </w:r>
          </w:p>
        </w:tc>
        <w:tc>
          <w:tcPr>
            <w:tcW w:w="100" w:type="dxa"/>
            <w:vAlign w:val="bottom"/>
            <w:shd w:val="clear" w:color="auto" w:fill="B3B3B3"/>
          </w:tcPr>
          <w:p>
            <w:pPr>
              <w:spacing w:after="0"/>
              <w:rPr>
                <w:sz w:val="22"/>
                <w:szCs w:val="22"/>
                <w:color w:val="auto"/>
              </w:rPr>
            </w:pP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$33,625,000</w:t>
            </w:r>
          </w:p>
        </w:tc>
        <w:tc>
          <w:tcPr>
            <w:tcW w:w="100" w:type="dxa"/>
            <w:vAlign w:val="bottom"/>
            <w:shd w:val="clear" w:color="auto" w:fill="B3B3B3"/>
          </w:tcPr>
          <w:p>
            <w:pPr>
              <w:spacing w:after="0"/>
              <w:rPr>
                <w:sz w:val="22"/>
                <w:szCs w:val="22"/>
                <w:color w:val="auto"/>
              </w:rPr>
            </w:pPr>
          </w:p>
        </w:tc>
        <w:tc>
          <w:tcPr>
            <w:tcW w:w="13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$40,350,000</w:t>
            </w:r>
          </w:p>
        </w:tc>
        <w:tc>
          <w:tcPr>
            <w:tcW w:w="120" w:type="dxa"/>
            <w:vAlign w:val="bottom"/>
            <w:shd w:val="clear" w:color="auto" w:fill="B3B3B3"/>
          </w:tcPr>
          <w:p>
            <w:pPr>
              <w:spacing w:after="0"/>
              <w:rPr>
                <w:sz w:val="22"/>
                <w:szCs w:val="22"/>
                <w:color w:val="auto"/>
              </w:rPr>
            </w:pPr>
          </w:p>
        </w:tc>
        <w:tc>
          <w:tcPr>
            <w:tcW w:w="138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$38,956,000</w:t>
            </w:r>
          </w:p>
        </w:tc>
      </w:tr>
      <w:tr>
        <w:trPr>
          <w:trHeight w:val="229"/>
        </w:trPr>
        <w:tc>
          <w:tcPr>
            <w:tcW w:w="39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Industrial Group Operational Performance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4"/>
        </w:trPr>
        <w:tc>
          <w:tcPr>
            <w:tcW w:w="39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Measure</w:t>
            </w:r>
          </w:p>
        </w:tc>
        <w:tc>
          <w:tcPr>
            <w:tcW w:w="1360" w:type="dxa"/>
            <w:vAlign w:val="bottom"/>
          </w:tcPr>
          <w:p>
            <w:pPr>
              <w:jc w:val="right"/>
              <w:spacing w:after="0"/>
              <w:rPr>
                <w:sz w:val="20"/>
                <w:szCs w:val="20"/>
                <w:color w:val="auto"/>
              </w:rPr>
            </w:pPr>
            <w:r>
              <w:rPr>
                <w:rFonts w:ascii="Arial" w:cs="Arial" w:eastAsia="Arial" w:hAnsi="Arial"/>
                <w:sz w:val="18"/>
                <w:szCs w:val="18"/>
                <w:color w:val="auto"/>
              </w:rPr>
              <w:t>$44,753,600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$55,942,000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$67,130,400</w:t>
            </w:r>
          </w:p>
        </w:tc>
        <w:tc>
          <w:tcPr>
            <w:tcW w:w="12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$58,929,000</w:t>
            </w:r>
          </w:p>
        </w:tc>
      </w:tr>
      <w:tr>
        <w:trPr>
          <w:trHeight w:val="235"/>
        </w:trPr>
        <w:tc>
          <w:tcPr>
            <w:tcW w:w="39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Water Treatment Group Operational</w:t>
            </w:r>
          </w:p>
        </w:tc>
        <w:tc>
          <w:tcPr>
            <w:tcW w:w="136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138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134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1380" w:type="dxa"/>
            <w:vAlign w:val="bottom"/>
            <w:tcBorders>
              <w:right w:val="single" w:sz="8" w:color="auto"/>
            </w:tcBorders>
            <w:shd w:val="clear" w:color="auto" w:fill="B3B3B3"/>
          </w:tcPr>
          <w:p>
            <w:pPr>
              <w:spacing w:after="0"/>
              <w:rPr>
                <w:sz w:val="20"/>
                <w:szCs w:val="20"/>
                <w:color w:val="auto"/>
              </w:rPr>
            </w:pPr>
          </w:p>
        </w:tc>
      </w:tr>
      <w:tr>
        <w:trPr>
          <w:trHeight w:val="224"/>
        </w:trPr>
        <w:tc>
          <w:tcPr>
            <w:tcW w:w="39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Performance Measure</w:t>
            </w: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$23,712,000</w:t>
            </w:r>
          </w:p>
        </w:tc>
        <w:tc>
          <w:tcPr>
            <w:tcW w:w="100" w:type="dxa"/>
            <w:vAlign w:val="bottom"/>
            <w:tcBorders>
              <w:bottom w:val="single" w:sz="8" w:color="auto"/>
            </w:tcBorders>
            <w:shd w:val="clear" w:color="auto" w:fill="B3B3B3"/>
          </w:tcPr>
          <w:p>
            <w:pPr>
              <w:spacing w:after="0"/>
              <w:rPr>
                <w:sz w:val="19"/>
                <w:szCs w:val="19"/>
                <w:color w:val="auto"/>
              </w:rPr>
            </w:pPr>
          </w:p>
        </w:tc>
        <w:tc>
          <w:tcPr>
            <w:tcW w:w="13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$29,640,000</w:t>
            </w:r>
          </w:p>
        </w:tc>
        <w:tc>
          <w:tcPr>
            <w:tcW w:w="100" w:type="dxa"/>
            <w:vAlign w:val="bottom"/>
            <w:tcBorders>
              <w:bottom w:val="single" w:sz="8" w:color="auto"/>
            </w:tcBorders>
            <w:shd w:val="clear" w:color="auto" w:fill="B3B3B3"/>
          </w:tcPr>
          <w:p>
            <w:pPr>
              <w:spacing w:after="0"/>
              <w:rPr>
                <w:sz w:val="19"/>
                <w:szCs w:val="19"/>
                <w:color w:val="auto"/>
              </w:rPr>
            </w:pPr>
          </w:p>
        </w:tc>
        <w:tc>
          <w:tcPr>
            <w:tcW w:w="13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$35,568,000</w:t>
            </w:r>
          </w:p>
        </w:tc>
        <w:tc>
          <w:tcPr>
            <w:tcW w:w="120" w:type="dxa"/>
            <w:vAlign w:val="bottom"/>
            <w:tcBorders>
              <w:bottom w:val="single" w:sz="8" w:color="auto"/>
            </w:tcBorders>
            <w:shd w:val="clear" w:color="auto" w:fill="B3B3B3"/>
          </w:tcPr>
          <w:p>
            <w:pPr>
              <w:spacing w:after="0"/>
              <w:rPr>
                <w:sz w:val="19"/>
                <w:szCs w:val="19"/>
                <w:color w:val="auto"/>
              </w:rPr>
            </w:pPr>
          </w:p>
        </w:tc>
        <w:tc>
          <w:tcPr>
            <w:tcW w:w="138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$34,178,000</w:t>
            </w:r>
          </w:p>
        </w:tc>
      </w:tr>
    </w:tbl>
    <w:p>
      <w:pPr>
        <w:spacing w:after="0" w:line="200" w:lineRule="exact"/>
        <w:rPr>
          <w:sz w:val="20"/>
          <w:szCs w:val="20"/>
          <w:color w:val="auto"/>
        </w:rPr>
      </w:pPr>
    </w:p>
    <w:p>
      <w:pPr>
        <w:spacing w:after="0" w:line="2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before income taxes was the best measure of overall corporate financial performance and that the operational profitability measures described above were the best measures of business unit financial performance.</w:t>
      </w:r>
    </w:p>
    <w:p>
      <w:pPr>
        <w:spacing w:after="0" w:line="23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Because our income before income taxes was between target and maximum levels for the 2020 fiscal year, our named executive officers received 179% of the targeted payout under the corporate financial measure for fiscal 2020. Because business unit operational profitability performance for the Industrial Group was between target and maximum levels, Mr. Sevenich received approximately 127% of his targeted payout under the respective business unit financial measures. Because business unit operational profitability performance for the Water Treatment Group was between target and maximum levels, Mr. Keller received approximately 177% of his targeted payout under the respective business unit financial measures.</w:t>
      </w:r>
    </w:p>
    <w:p>
      <w:pPr>
        <w:spacing w:after="0" w:line="2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While the Compensation Committee has discretion to adjust the final payouts under the program, it has not typically done so, and did not do so for fiscal 2020.</w:t>
      </w:r>
    </w:p>
    <w:p>
      <w:pPr>
        <w:spacing w:after="0" w:line="2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Individual Objectives and Job Performance. </w:t>
      </w:r>
      <w:r>
        <w:rPr>
          <w:rFonts w:ascii="Arial" w:cs="Arial" w:eastAsia="Arial" w:hAnsi="Arial"/>
          <w:sz w:val="18"/>
          <w:szCs w:val="18"/>
          <w:color w:val="auto"/>
        </w:rPr>
        <w:t>The Compensation Committee established multiple individual objectives for each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for the fiscal year. The individual objectives for our Chief Executive Officer included overseeing strategic direction matters, business expansion matters and operational efficiency initiatives. For our Chief Financial Officer, the individual objectives included business efficiency and support, overseeing significant information technology initiatives and talent management and engagement initiatives. For our General Counsel, the individual objectives included legal support related to regulatory activities and overseeing health, safety, environmental and quality initiatives. For our Vice President - Industrial Group and Vice President - Water Treatment Group, the individual objectives included business expansion initiatives.</w:t>
      </w:r>
    </w:p>
    <w:p>
      <w:pPr>
        <w:sectPr>
          <w:pgSz w:w="11900" w:h="16838" w:orient="portrait"/>
          <w:cols w:equalWidth="0" w:num="1">
            <w:col w:w="11180"/>
          </w:cols>
          <w:pgMar w:left="320" w:top="908" w:right="39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80"/>
          </w:cols>
          <w:pgMar w:left="320" w:top="908" w:right="3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i w:val="1"/>
          <w:iCs w:val="1"/>
          <w:color w:val="auto"/>
        </w:rPr>
        <w:t>Annual Equity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incentive compensation program is designed to:</w:t>
      </w:r>
    </w:p>
    <w:p>
      <w:pPr>
        <w:spacing w:after="0" w:line="9"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fiscal 2020, as had been the case in prior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executives so that a significant portion of the executive’s compensation would be performance-based.</w:t>
      </w:r>
    </w:p>
    <w:p>
      <w:pPr>
        <w:spacing w:after="0" w:line="23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fiscal 2020, the target number of shares to be issued to each named executive officer pursuant to his performance-based restricted stock unit award was based on a percentage of the executive’s base salary and converted into a target number of shares based on the closing price of a share of our common stock on the date of grant. The resulting awards, made by the Compensation Committee in May 2019, provided that each named executive officer would receive up to a maximum number of shares of restricted stock based on our performance during the fiscal year against the same pre-tax income target used in the annual non-equity incentive program described above.</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actual number of restricted stock units that would vest and be settled on a one-for-one basis in shares of restricted stock was based on a sliding scale for the relevant income above or below the target level, and was subject to minimum threshold and maximum settlement amounts. For fiscal 2020, the target was set at $33,625,000, the same level as our target used for our non-equity incentive plan arrangement described above, while our actual performance was $38,956,000. If our actual results were less than 80% of the target in fiscal 2020, then no restricted stock units would vest and be settled in shares of restricted stock. If our actual results were between 80% and 100% of the target in fiscal 2020, then a number of restricted stock units would have vested and been settled in restricted stock based on a sliding scale between 50% and 100% of the target number of restricted stock units. If our actual results were between 100% and 120% of the target in fiscal 2020, then a number of restricted stock units would have vested and been settled in restricted stock based on a sliding scale between 100% and 150% of the target number of restricted stock units. Because our actual results exceeded the target performance level in fiscal 2020, the named executive officers each received restricted shares equal to approximately 140% of the target number of restricted stock units.</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Compensation Committee established the following performance-based restricted stock unit award amounts for the executive officers for fiscal 2020:</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740" w:type="dxa"/>
            <w:vAlign w:val="bottom"/>
            <w:tcBorders>
              <w:top w:val="single" w:sz="8" w:color="auto"/>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Units Vested</w:t>
            </w:r>
          </w:p>
        </w:tc>
      </w:tr>
      <w:tr>
        <w:trPr>
          <w:trHeight w:val="203"/>
        </w:trPr>
        <w:tc>
          <w:tcPr>
            <w:tcW w:w="37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and Restricted</w:t>
            </w:r>
          </w:p>
        </w:tc>
      </w:tr>
      <w:tr>
        <w:trPr>
          <w:trHeight w:val="203"/>
        </w:trPr>
        <w:tc>
          <w:tcPr>
            <w:tcW w:w="37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Target %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Maximum</w:t>
            </w: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r>
      <w:tr>
        <w:trPr>
          <w:trHeight w:val="246"/>
        </w:trPr>
        <w:tc>
          <w:tcPr>
            <w:tcW w:w="3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100" w:type="dxa"/>
            <w:vAlign w:val="bottom"/>
            <w:tcBorders>
              <w:bottom w:val="single" w:sz="8" w:color="B3B3B3"/>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Base Salary</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B3B3B3"/>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Minimum Units</w:t>
            </w:r>
          </w:p>
        </w:tc>
        <w:tc>
          <w:tcPr>
            <w:tcW w:w="100" w:type="dxa"/>
            <w:vAlign w:val="bottom"/>
            <w:tcBorders>
              <w:bottom w:val="single" w:sz="8" w:color="B3B3B3"/>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Target Units</w:t>
            </w:r>
          </w:p>
        </w:tc>
        <w:tc>
          <w:tcPr>
            <w:tcW w:w="120" w:type="dxa"/>
            <w:vAlign w:val="bottom"/>
            <w:tcBorders>
              <w:bottom w:val="single" w:sz="8" w:color="B3B3B3"/>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100" w:type="dxa"/>
            <w:vAlign w:val="bottom"/>
            <w:tcBorders>
              <w:bottom w:val="single" w:sz="8" w:color="B3B3B3"/>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Actually Issued</w:t>
            </w:r>
          </w:p>
        </w:tc>
      </w:tr>
      <w:tr>
        <w:trPr>
          <w:trHeight w:val="256"/>
        </w:trPr>
        <w:tc>
          <w:tcPr>
            <w:tcW w:w="38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Chief Executive Officer</w:t>
            </w:r>
          </w:p>
        </w:tc>
        <w:tc>
          <w:tcPr>
            <w:tcW w:w="12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B3B3B3"/>
          </w:tcPr>
          <w:p>
            <w:pPr>
              <w:spacing w:after="0"/>
              <w:rPr>
                <w:sz w:val="22"/>
                <w:szCs w:val="22"/>
                <w:color w:val="auto"/>
              </w:rPr>
            </w:pPr>
          </w:p>
        </w:tc>
        <w:tc>
          <w:tcPr>
            <w:tcW w:w="136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B3B3B3"/>
          </w:tcPr>
          <w:p>
            <w:pPr>
              <w:spacing w:after="0"/>
              <w:rPr>
                <w:sz w:val="22"/>
                <w:szCs w:val="22"/>
                <w:color w:val="auto"/>
              </w:rPr>
            </w:pPr>
          </w:p>
        </w:tc>
        <w:tc>
          <w:tcPr>
            <w:tcW w:w="134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rPr>
              <w:t>14,496</w:t>
            </w:r>
          </w:p>
        </w:tc>
        <w:tc>
          <w:tcPr>
            <w:tcW w:w="120" w:type="dxa"/>
            <w:vAlign w:val="bottom"/>
            <w:shd w:val="clear" w:color="auto" w:fill="B3B3B3"/>
          </w:tcPr>
          <w:p>
            <w:pPr>
              <w:spacing w:after="0"/>
              <w:rPr>
                <w:sz w:val="22"/>
                <w:szCs w:val="22"/>
                <w:color w:val="auto"/>
              </w:rPr>
            </w:pPr>
          </w:p>
        </w:tc>
        <w:tc>
          <w:tcPr>
            <w:tcW w:w="136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rPr>
              <w:t>21,744</w:t>
            </w:r>
          </w:p>
        </w:tc>
        <w:tc>
          <w:tcPr>
            <w:tcW w:w="100" w:type="dxa"/>
            <w:vAlign w:val="bottom"/>
            <w:shd w:val="clear" w:color="auto" w:fill="B3B3B3"/>
          </w:tcPr>
          <w:p>
            <w:pPr>
              <w:spacing w:after="0"/>
              <w:rPr>
                <w:sz w:val="22"/>
                <w:szCs w:val="22"/>
                <w:color w:val="auto"/>
              </w:rPr>
            </w:pPr>
          </w:p>
        </w:tc>
        <w:tc>
          <w:tcPr>
            <w:tcW w:w="1380" w:type="dxa"/>
            <w:vAlign w:val="bottom"/>
            <w:tcBorders>
              <w:right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20,241</w:t>
            </w:r>
          </w:p>
        </w:tc>
      </w:tr>
      <w:tr>
        <w:trPr>
          <w:trHeight w:val="250"/>
        </w:trPr>
        <w:tc>
          <w:tcPr>
            <w:tcW w:w="38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21"/>
                <w:szCs w:val="21"/>
                <w:color w:val="auto"/>
              </w:rPr>
            </w:pPr>
          </w:p>
        </w:tc>
        <w:tc>
          <w:tcPr>
            <w:tcW w:w="1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9,485</w:t>
            </w:r>
          </w:p>
        </w:tc>
      </w:tr>
      <w:tr>
        <w:trPr>
          <w:trHeight w:val="263"/>
        </w:trPr>
        <w:tc>
          <w:tcPr>
            <w:tcW w:w="38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General Counsel</w:t>
            </w:r>
          </w:p>
        </w:tc>
        <w:tc>
          <w:tcPr>
            <w:tcW w:w="12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B3B3B3"/>
          </w:tcPr>
          <w:p>
            <w:pPr>
              <w:spacing w:after="0"/>
              <w:rPr>
                <w:sz w:val="22"/>
                <w:szCs w:val="22"/>
                <w:color w:val="auto"/>
              </w:rPr>
            </w:pPr>
          </w:p>
        </w:tc>
        <w:tc>
          <w:tcPr>
            <w:tcW w:w="136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B3B3B3"/>
          </w:tcPr>
          <w:p>
            <w:pPr>
              <w:spacing w:after="0"/>
              <w:rPr>
                <w:sz w:val="22"/>
                <w:szCs w:val="22"/>
                <w:color w:val="auto"/>
              </w:rPr>
            </w:pPr>
          </w:p>
        </w:tc>
        <w:tc>
          <w:tcPr>
            <w:tcW w:w="134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B3B3B3"/>
          </w:tcPr>
          <w:p>
            <w:pPr>
              <w:spacing w:after="0"/>
              <w:rPr>
                <w:sz w:val="22"/>
                <w:szCs w:val="22"/>
                <w:color w:val="auto"/>
              </w:rPr>
            </w:pPr>
          </w:p>
        </w:tc>
        <w:tc>
          <w:tcPr>
            <w:tcW w:w="1360" w:type="dxa"/>
            <w:vAlign w:val="bottom"/>
            <w:shd w:val="clear" w:color="auto" w:fill="B3B3B3"/>
          </w:tcPr>
          <w:p>
            <w:pPr>
              <w:jc w:val="right"/>
              <w:ind w:right="70"/>
              <w:spacing w:after="0"/>
              <w:rPr>
                <w:sz w:val="20"/>
                <w:szCs w:val="20"/>
                <w:color w:val="auto"/>
              </w:rPr>
            </w:pPr>
            <w:r>
              <w:rPr>
                <w:rFonts w:ascii="Arial" w:cs="Arial" w:eastAsia="Arial" w:hAnsi="Arial"/>
                <w:sz w:val="18"/>
                <w:szCs w:val="18"/>
                <w:color w:val="auto"/>
              </w:rPr>
              <w:t>8,181</w:t>
            </w:r>
          </w:p>
        </w:tc>
        <w:tc>
          <w:tcPr>
            <w:tcW w:w="100" w:type="dxa"/>
            <w:vAlign w:val="bottom"/>
            <w:shd w:val="clear" w:color="auto" w:fill="B3B3B3"/>
          </w:tcPr>
          <w:p>
            <w:pPr>
              <w:spacing w:after="0"/>
              <w:rPr>
                <w:sz w:val="22"/>
                <w:szCs w:val="22"/>
                <w:color w:val="auto"/>
              </w:rPr>
            </w:pPr>
          </w:p>
        </w:tc>
        <w:tc>
          <w:tcPr>
            <w:tcW w:w="1380" w:type="dxa"/>
            <w:vAlign w:val="bottom"/>
            <w:tcBorders>
              <w:right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7,615</w:t>
            </w:r>
          </w:p>
        </w:tc>
      </w:tr>
      <w:tr>
        <w:trPr>
          <w:trHeight w:val="250"/>
        </w:trPr>
        <w:tc>
          <w:tcPr>
            <w:tcW w:w="38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Vice President - Water Treatment</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1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6,754</w:t>
            </w:r>
          </w:p>
        </w:tc>
      </w:tr>
      <w:tr>
        <w:trPr>
          <w:trHeight w:val="257"/>
        </w:trPr>
        <w:tc>
          <w:tcPr>
            <w:tcW w:w="384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Industrial</w:t>
            </w:r>
          </w:p>
        </w:tc>
        <w:tc>
          <w:tcPr>
            <w:tcW w:w="12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B3B3B3"/>
          </w:tcPr>
          <w:p>
            <w:pPr>
              <w:spacing w:after="0"/>
              <w:rPr>
                <w:sz w:val="22"/>
                <w:szCs w:val="22"/>
                <w:color w:val="auto"/>
              </w:rPr>
            </w:pPr>
          </w:p>
        </w:tc>
        <w:tc>
          <w:tcPr>
            <w:tcW w:w="1360" w:type="dxa"/>
            <w:vAlign w:val="bottom"/>
            <w:tcBorders>
              <w:bottom w:val="single" w:sz="8" w:color="auto"/>
            </w:tcBorders>
            <w:shd w:val="clear" w:color="auto" w:fill="B3B3B3"/>
          </w:tcPr>
          <w:p>
            <w:pPr>
              <w:jc w:val="right"/>
              <w:ind w:right="70"/>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auto"/>
            </w:tcBorders>
            <w:shd w:val="clear" w:color="auto" w:fill="B3B3B3"/>
          </w:tcPr>
          <w:p>
            <w:pPr>
              <w:spacing w:after="0"/>
              <w:rPr>
                <w:sz w:val="22"/>
                <w:szCs w:val="22"/>
                <w:color w:val="auto"/>
              </w:rPr>
            </w:pPr>
          </w:p>
        </w:tc>
        <w:tc>
          <w:tcPr>
            <w:tcW w:w="1340" w:type="dxa"/>
            <w:vAlign w:val="bottom"/>
            <w:tcBorders>
              <w:bottom w:val="single" w:sz="8" w:color="auto"/>
            </w:tcBorders>
            <w:shd w:val="clear" w:color="auto" w:fill="B3B3B3"/>
          </w:tcPr>
          <w:p>
            <w:pPr>
              <w:jc w:val="right"/>
              <w:ind w:right="70"/>
              <w:spacing w:after="0"/>
              <w:rPr>
                <w:sz w:val="20"/>
                <w:szCs w:val="20"/>
                <w:color w:val="auto"/>
              </w:rPr>
            </w:pPr>
            <w:r>
              <w:rPr>
                <w:rFonts w:ascii="Arial" w:cs="Arial" w:eastAsia="Arial" w:hAnsi="Arial"/>
                <w:sz w:val="18"/>
                <w:szCs w:val="18"/>
                <w:color w:val="auto"/>
              </w:rPr>
              <w:t>4,748</w:t>
            </w:r>
          </w:p>
        </w:tc>
        <w:tc>
          <w:tcPr>
            <w:tcW w:w="120" w:type="dxa"/>
            <w:vAlign w:val="bottom"/>
            <w:tcBorders>
              <w:bottom w:val="single" w:sz="8" w:color="auto"/>
            </w:tcBorders>
            <w:shd w:val="clear" w:color="auto" w:fill="B3B3B3"/>
          </w:tcPr>
          <w:p>
            <w:pPr>
              <w:spacing w:after="0"/>
              <w:rPr>
                <w:sz w:val="22"/>
                <w:szCs w:val="22"/>
                <w:color w:val="auto"/>
              </w:rPr>
            </w:pPr>
          </w:p>
        </w:tc>
        <w:tc>
          <w:tcPr>
            <w:tcW w:w="1360" w:type="dxa"/>
            <w:vAlign w:val="bottom"/>
            <w:tcBorders>
              <w:bottom w:val="single" w:sz="8" w:color="auto"/>
            </w:tcBorders>
            <w:shd w:val="clear" w:color="auto" w:fill="B3B3B3"/>
          </w:tcPr>
          <w:p>
            <w:pPr>
              <w:jc w:val="right"/>
              <w:ind w:right="70"/>
              <w:spacing w:after="0"/>
              <w:rPr>
                <w:sz w:val="20"/>
                <w:szCs w:val="20"/>
                <w:color w:val="auto"/>
              </w:rPr>
            </w:pPr>
            <w:r>
              <w:rPr>
                <w:rFonts w:ascii="Arial" w:cs="Arial" w:eastAsia="Arial" w:hAnsi="Arial"/>
                <w:sz w:val="18"/>
                <w:szCs w:val="18"/>
                <w:color w:val="auto"/>
              </w:rPr>
              <w:t>7,122</w:t>
            </w:r>
          </w:p>
        </w:tc>
        <w:tc>
          <w:tcPr>
            <w:tcW w:w="100" w:type="dxa"/>
            <w:vAlign w:val="bottom"/>
            <w:tcBorders>
              <w:bottom w:val="single" w:sz="8" w:color="auto"/>
            </w:tcBorders>
            <w:shd w:val="clear" w:color="auto" w:fill="B3B3B3"/>
          </w:tcPr>
          <w:p>
            <w:pPr>
              <w:spacing w:after="0"/>
              <w:rPr>
                <w:sz w:val="22"/>
                <w:szCs w:val="22"/>
                <w:color w:val="auto"/>
              </w:rPr>
            </w:pPr>
          </w:p>
        </w:tc>
        <w:tc>
          <w:tcPr>
            <w:tcW w:w="1380" w:type="dxa"/>
            <w:vAlign w:val="bottom"/>
            <w:tcBorders>
              <w:bottom w:val="single" w:sz="8" w:color="auto"/>
              <w:right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6,629</w:t>
            </w:r>
          </w:p>
        </w:tc>
      </w:tr>
    </w:tbl>
    <w:p>
      <w:pPr>
        <w:spacing w:after="0" w:line="3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on the Compensation Committee’s assessment of the relative scope of his responsibilities and the resulting ability of the individual to impact the company’s performance, as well as information provided by McLagan.</w:t>
      </w:r>
    </w:p>
    <w:p>
      <w:pPr>
        <w:spacing w:after="0" w:line="2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the event of a “fundamental change” (as defined below) involving the company, each performance-based restricted stock unit award will vest immediately at 100% of its target if the Compensation Committee determines that the fundamental</w:t>
      </w:r>
    </w:p>
    <w:p>
      <w:pPr>
        <w:sectPr>
          <w:pgSz w:w="11900" w:h="16838" w:orient="portrait"/>
          <w:cols w:equalWidth="0" w:num="1">
            <w:col w:w="11220"/>
          </w:cols>
          <w:pgMar w:left="320" w:top="1128"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20"/>
          </w:cols>
          <w:pgMar w:left="320" w:top="1128" w:right="359" w:bottom="1440" w:gutter="0" w:footer="0" w:header="0"/>
          <w:type w:val="continuous"/>
        </w:sectPr>
      </w:pPr>
    </w:p>
    <w:bookmarkStart w:id="19" w:name="page20"/>
    <w:bookmarkEnd w:id="19"/>
    <w:p>
      <w:pPr>
        <w:spacing w:after="0" w:line="250" w:lineRule="auto"/>
        <w:rPr>
          <w:sz w:val="20"/>
          <w:szCs w:val="20"/>
          <w:color w:val="auto"/>
        </w:rPr>
      </w:pPr>
      <w:r>
        <w:rPr>
          <w:rFonts w:ascii="Arial" w:cs="Arial" w:eastAsia="Arial" w:hAnsi="Arial"/>
          <w:sz w:val="18"/>
          <w:szCs w:val="18"/>
          <w:color w:val="auto"/>
        </w:rPr>
        <w:t>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during the applicable performance period or prior to the final vesting of the restricted shares,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2019 Equity Incentive Plan, “fundamental change” generally includes any one of the following, unless otherwise provided in an award agreement:</w:t>
      </w:r>
    </w:p>
    <w:p>
      <w:pPr>
        <w:spacing w:after="0" w:line="4"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2019 Equity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Arrangements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help attract executive talent and create an environment that provides for adequate business transition and knowledge transfer during times of change.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Contribution to Long-Term Benefit Plan</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All of our named executive officers participate in the 401(k) component of our Profit Sharing Plan, which is available to the majority of our other non-bargaining unit employees. Our eligible named executive officers hired on or before April 1, 2012 also participate in our nonqualified deferred compensation plan covering employees who were hired on or before April 1, 2012 and are classified as “highly compensated employees” as determined by the Internal Revenue Service (“IRS”). Named executive officers hired after April 1, 2012 are not eligible to participate in the nonqualified deferred compensation plan but are instead eligible to participate in the profit sharing component under the Hawkins, Inc. Employee Stock Ownership Plan and Trust ("ESOP"). Mr. Oldenkamp is the only named executive officer hired after April 1, 2012.</w:t>
      </w:r>
    </w:p>
    <w:p>
      <w:pPr>
        <w:spacing w:after="0" w:line="23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Under the plans, our executive officers participate on the same terms as all other eligible employees, with the annual compensation that was used to determine plan benefits capped at the federal tax law limit of $285,000 for fiscal 2020. This limit will be adjusted in future years under federal tax law for cost-of-living increases.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our Profit Sharing Plan, we contributed a percentage of each eligible participant’s compensation to an account maintained for the participant under the plan. Mr. Oldenkamp is the only named executive officer eligible to participate in the plan. For fiscal 2020, we made contributions to the Profit Sharing Plan equal to 2.5% of Mr. Oldenkamp’s compensation in the plan year, subject to the cap on the plan benefits, resulting in a contribution of $7,000. Under the 401(k)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2020, we made contributions of $14,000 on behalf of all named executive officers.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ESOP, we may contribute a percentage of each eligible participant’s compensation to the plan, subject to the cap on the plan benefits, which is then credited to individual accounts maintained for participants under the plan. Contributions are made at the discretion of our Board. Mr. Oldenkamp is the only named executive officer eligible to participate in the plan. For fiscal 2020, we made contributions to this plan equal to 2.5% of Mr. Oldenkamp’s eligible compensation in the plan year,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908" w:right="359" w:bottom="1440" w:gutter="0" w:footer="0" w:header="0"/>
        </w:sectPr>
      </w:pPr>
    </w:p>
    <w:bookmarkStart w:id="20" w:name="page21"/>
    <w:bookmarkEnd w:id="20"/>
    <w:p>
      <w:pPr>
        <w:ind w:right="380"/>
        <w:spacing w:after="0" w:line="261" w:lineRule="auto"/>
        <w:rPr>
          <w:sz w:val="20"/>
          <w:szCs w:val="20"/>
          <w:color w:val="auto"/>
        </w:rPr>
      </w:pPr>
      <w:r>
        <w:rPr>
          <w:rFonts w:ascii="Arial" w:cs="Arial" w:eastAsia="Arial" w:hAnsi="Arial"/>
          <w:sz w:val="18"/>
          <w:szCs w:val="18"/>
          <w:color w:val="auto"/>
        </w:rPr>
        <w:t>resulting in a contribution of $7,000. Participant accounts are credited with the appropriate gains or losses resulting from the investments made by the plan.</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2020 we made contributions to this plan equal to 10% of each participant’s eligible compensation in the plan year, subject to the cap on the plan benefits, resulting in a contribution of $28,000 on behalf of each eligible named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Benefits</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2020, we provided medical and other health and welfare benefits to our executive officers that are generally available to our other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Agreements and Policies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Deductibility of Compensation</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162(m) of the Internal Revenue Code disallows a tax deduction to public companies for compensation of more than $1 million paid in any taxable year to each “covered employee,” which includes any person who served as chief executive officer or chief financial officer at any time during a taxable year, as well as any person who was ever identified as a covered employee in 2017 or any subsequent year. The total compensation of our Chief Executive Officer in fiscal 2020 exceeded $1 million, and as a result the amount in excess of $1 million is not deductible for taxes.</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considers the anticipated tax treatment to our company when determining executive compensation and seeks to preserve the deductibility of compensation payments and benefits to the extent reasonably practicable, consistent with our compensation policies and what we believe is in the best interests of our shareholders. The Compensation Committee believes that shareholder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Compensation Committee’s ability to continue to provide a competitive compensation package to attract, motivate and retain the company’s most senior executives is considered critical to the company’s success and to advancing the interests of its shareholders.</w:t>
      </w:r>
    </w:p>
    <w:p>
      <w:pPr>
        <w:spacing w:after="0" w:line="23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Section 409A of the Internal Revenue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meet the requirements of Section 409A.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Arising from Compensation Policies and Practices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Hedging Prohibitions</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Each of our directors, officers, other employees and their designees are prohibited from (i) purchasing financial instruments (including prepaid variable forward contracts, equity swaps, collars and exchange funds) that hedge or offset, or are designed to hedge or offset, any decrease in the market value of our equity securities and (ii) otherwise engaging in transactions that hedge or offset, or are designed to hedge of offset, any decrease in the market value of our equity securities. Notwithstanding the foregoing, portfolio diversification transactions and investments in broad-based index funds is generally permitted. The</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908" w:right="339" w:bottom="1440" w:gutter="0" w:footer="0" w:header="0"/>
          <w:type w:val="continuous"/>
        </w:sectPr>
      </w:pPr>
    </w:p>
    <w:bookmarkStart w:id="21" w:name="page22"/>
    <w:bookmarkEnd w:id="21"/>
    <w:p>
      <w:pPr>
        <w:ind w:right="400"/>
        <w:spacing w:after="0" w:line="261" w:lineRule="auto"/>
        <w:rPr>
          <w:sz w:val="20"/>
          <w:szCs w:val="20"/>
          <w:color w:val="auto"/>
        </w:rPr>
      </w:pPr>
      <w:r>
        <w:rPr>
          <w:rFonts w:ascii="Arial" w:cs="Arial" w:eastAsia="Arial" w:hAnsi="Arial"/>
          <w:sz w:val="18"/>
          <w:szCs w:val="18"/>
          <w:color w:val="auto"/>
        </w:rPr>
        <w:t>prohibition applies to securities granted to the covered persons as part of compensation for their service to the company plus any other Company securities held by them, whether directly or indirectly.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Prohibited Transactions</w:t>
      </w:r>
    </w:p>
    <w:p>
      <w:pPr>
        <w:spacing w:after="0" w:line="11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Our policies also prohibit executive officers and directors from holding Company securities in a margin account or otherwise pledging Company securities as collateral for a loan.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that the Compensation Discussion and Analysis be included in this Proxy Statement and incorporated by reference in our Annual Report on Form 10-K.</w:t>
      </w:r>
    </w:p>
    <w:p>
      <w:pPr>
        <w:spacing w:after="0" w:line="62" w:lineRule="exact"/>
        <w:rPr>
          <w:sz w:val="20"/>
          <w:szCs w:val="20"/>
          <w:color w:val="auto"/>
        </w:rPr>
      </w:pPr>
    </w:p>
    <w:p>
      <w:pPr>
        <w:ind w:left="1560"/>
        <w:spacing w:after="0"/>
        <w:tabs>
          <w:tab w:leader="none" w:pos="4160" w:val="left"/>
          <w:tab w:leader="none" w:pos="6420" w:val="left"/>
          <w:tab w:leader="none" w:pos="836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 xml:space="preserve">Duane M. Jergenson </w:t>
      </w:r>
      <w:r>
        <w:rPr>
          <w:rFonts w:ascii="Arial" w:cs="Arial" w:eastAsia="Arial" w:hAnsi="Arial"/>
          <w:sz w:val="23"/>
          <w:szCs w:val="23"/>
          <w:i w:val="1"/>
          <w:iCs w:val="1"/>
          <w:color w:val="auto"/>
          <w:vertAlign w:val="superscript"/>
        </w:rPr>
        <w:t>(1)</w:t>
      </w:r>
      <w:r>
        <w:rPr>
          <w:sz w:val="20"/>
          <w:szCs w:val="20"/>
          <w:color w:val="auto"/>
        </w:rPr>
        <w:tab/>
      </w:r>
      <w:r>
        <w:rPr>
          <w:rFonts w:ascii="Arial" w:cs="Arial" w:eastAsia="Arial" w:hAnsi="Arial"/>
          <w:sz w:val="18"/>
          <w:szCs w:val="18"/>
          <w:i w:val="1"/>
          <w:iCs w:val="1"/>
          <w:color w:val="auto"/>
        </w:rPr>
        <w:t>Mary J. Schumacher</w:t>
      </w:r>
      <w:r>
        <w:rPr>
          <w:sz w:val="20"/>
          <w:szCs w:val="20"/>
          <w:color w:val="auto"/>
        </w:rPr>
        <w:tab/>
      </w:r>
      <w:r>
        <w:rPr>
          <w:rFonts w:ascii="Arial" w:cs="Arial" w:eastAsia="Arial" w:hAnsi="Arial"/>
          <w:sz w:val="18"/>
          <w:szCs w:val="18"/>
          <w:i w:val="1"/>
          <w:iCs w:val="1"/>
          <w:color w:val="auto"/>
        </w:rPr>
        <w:t>Jeffrey L. Wright</w:t>
      </w: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347" w:lineRule="exact"/>
        <w:rPr>
          <w:sz w:val="20"/>
          <w:szCs w:val="20"/>
          <w:color w:val="auto"/>
        </w:rPr>
      </w:pPr>
    </w:p>
    <w:p>
      <w:pPr>
        <w:ind w:right="160" w:firstLine="8"/>
        <w:spacing w:after="0" w:line="261"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Mr. Jergenson is retiring from the Board. His present term as director and membership on the Compensation Committee will expire at the Annual Meeting.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908" w:right="4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Summary Compensation Table</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following table sets forth compensation information for our last three completed fiscal years relating to the named executive officers identified for fiscal 2020.</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8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2"/>
          </w:tcPr>
          <w:p>
            <w:pPr>
              <w:ind w:left="36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All Other</w:t>
            </w: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Salary</w:t>
            </w: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Awards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Borders>
              <w:right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B3B3B3"/>
            </w:tcBorders>
          </w:tcPr>
          <w:p>
            <w:pPr>
              <w:spacing w:after="0"/>
              <w:rPr>
                <w:sz w:val="17"/>
                <w:szCs w:val="17"/>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B3B3B3"/>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7"/>
                <w:szCs w:val="17"/>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w:t>
            </w: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($)(b)(c)</w:t>
            </w:r>
          </w:p>
        </w:tc>
        <w:tc>
          <w:tcPr>
            <w:tcW w:w="100" w:type="dxa"/>
            <w:vAlign w:val="bottom"/>
            <w:tcBorders>
              <w:bottom w:val="single" w:sz="8" w:color="B3B3B3"/>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Borders>
              <w:bottom w:val="single" w:sz="8" w:color="B3B3B3"/>
            </w:tcBorders>
          </w:tcPr>
          <w:p>
            <w:pPr>
              <w:spacing w:after="0"/>
              <w:rPr>
                <w:sz w:val="17"/>
                <w:szCs w:val="17"/>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($)(e)</w:t>
            </w:r>
          </w:p>
        </w:tc>
        <w:tc>
          <w:tcPr>
            <w:tcW w:w="120" w:type="dxa"/>
            <w:vAlign w:val="bottom"/>
            <w:tcBorders>
              <w:bottom w:val="single" w:sz="8" w:color="B3B3B3"/>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21"/>
                <w:szCs w:val="21"/>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B3B3B3"/>
          </w:tcPr>
          <w:p>
            <w:pPr>
              <w:spacing w:after="0"/>
              <w:rPr>
                <w:sz w:val="21"/>
                <w:szCs w:val="21"/>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499,967</w:t>
            </w:r>
          </w:p>
        </w:tc>
        <w:tc>
          <w:tcPr>
            <w:tcW w:w="100" w:type="dxa"/>
            <w:vAlign w:val="bottom"/>
            <w:shd w:val="clear" w:color="auto" w:fill="B3B3B3"/>
          </w:tcPr>
          <w:p>
            <w:pPr>
              <w:spacing w:after="0"/>
              <w:rPr>
                <w:sz w:val="21"/>
                <w:szCs w:val="21"/>
                <w:color w:val="auto"/>
              </w:rPr>
            </w:pPr>
          </w:p>
        </w:tc>
        <w:tc>
          <w:tcPr>
            <w:tcW w:w="130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817,086</w:t>
            </w:r>
          </w:p>
        </w:tc>
        <w:tc>
          <w:tcPr>
            <w:tcW w:w="100" w:type="dxa"/>
            <w:vAlign w:val="bottom"/>
            <w:shd w:val="clear" w:color="auto" w:fill="B3B3B3"/>
          </w:tcPr>
          <w:p>
            <w:pPr>
              <w:spacing w:after="0"/>
              <w:rPr>
                <w:sz w:val="21"/>
                <w:szCs w:val="21"/>
                <w:color w:val="auto"/>
              </w:rPr>
            </w:pP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56,873</w:t>
            </w:r>
          </w:p>
        </w:tc>
        <w:tc>
          <w:tcPr>
            <w:tcW w:w="120" w:type="dxa"/>
            <w:vAlign w:val="bottom"/>
            <w:shd w:val="clear" w:color="auto" w:fill="B3B3B3"/>
          </w:tcPr>
          <w:p>
            <w:pPr>
              <w:spacing w:after="0"/>
              <w:rPr>
                <w:sz w:val="21"/>
                <w:szCs w:val="21"/>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1,873,926</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tcBorders>
            <w:shd w:val="clear" w:color="auto" w:fill="B3B3B3"/>
          </w:tcPr>
          <w:p>
            <w:pPr>
              <w:ind w:left="14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B3B3B3"/>
          </w:tcPr>
          <w:p>
            <w:pPr>
              <w:spacing w:after="0"/>
              <w:rPr>
                <w:sz w:val="19"/>
                <w:szCs w:val="19"/>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B3B3B3"/>
          </w:tcPr>
          <w:p>
            <w:pPr>
              <w:spacing w:after="0"/>
              <w:rPr>
                <w:sz w:val="19"/>
                <w:szCs w:val="19"/>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35,000</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424,981</w:t>
            </w:r>
          </w:p>
        </w:tc>
        <w:tc>
          <w:tcPr>
            <w:tcW w:w="100" w:type="dxa"/>
            <w:vAlign w:val="bottom"/>
            <w:shd w:val="clear" w:color="auto" w:fill="B3B3B3"/>
          </w:tcPr>
          <w:p>
            <w:pPr>
              <w:spacing w:after="0"/>
              <w:rPr>
                <w:sz w:val="19"/>
                <w:szCs w:val="19"/>
                <w:color w:val="auto"/>
              </w:rPr>
            </w:pPr>
          </w:p>
        </w:tc>
        <w:tc>
          <w:tcPr>
            <w:tcW w:w="130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573,750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58,006</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1,516,737</w:t>
            </w:r>
          </w:p>
        </w:tc>
        <w:tc>
          <w:tcPr>
            <w:tcW w:w="0" w:type="dxa"/>
            <w:vAlign w:val="bottom"/>
          </w:tcPr>
          <w:p>
            <w:pPr>
              <w:spacing w:after="0"/>
              <w:rPr>
                <w:sz w:val="1"/>
                <w:szCs w:val="1"/>
                <w:color w:val="auto"/>
              </w:rPr>
            </w:pPr>
          </w:p>
        </w:tc>
      </w:tr>
      <w:tr>
        <w:trPr>
          <w:trHeight w:val="302"/>
        </w:trPr>
        <w:tc>
          <w:tcPr>
            <w:tcW w:w="2860" w:type="dxa"/>
            <w:vAlign w:val="bottom"/>
            <w:tcBorders>
              <w:left w:val="single" w:sz="8" w:color="auto"/>
            </w:tcBorders>
            <w:shd w:val="clear" w:color="auto" w:fill="B3B3B3"/>
          </w:tcPr>
          <w:p>
            <w:pPr>
              <w:ind w:left="140"/>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B3B3B3"/>
          </w:tcPr>
          <w:p>
            <w:pPr>
              <w:spacing w:after="0"/>
              <w:rPr>
                <w:sz w:val="24"/>
                <w:szCs w:val="24"/>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B3B3B3"/>
          </w:tcPr>
          <w:p>
            <w:pPr>
              <w:spacing w:after="0"/>
              <w:rPr>
                <w:sz w:val="24"/>
                <w:szCs w:val="24"/>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423,154</w:t>
            </w:r>
          </w:p>
        </w:tc>
        <w:tc>
          <w:tcPr>
            <w:tcW w:w="100" w:type="dxa"/>
            <w:vAlign w:val="bottom"/>
            <w:shd w:val="clear" w:color="auto" w:fill="B3B3B3"/>
          </w:tcPr>
          <w:p>
            <w:pPr>
              <w:spacing w:after="0"/>
              <w:rPr>
                <w:sz w:val="24"/>
                <w:szCs w:val="24"/>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150,000</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424,983</w:t>
            </w:r>
          </w:p>
        </w:tc>
        <w:tc>
          <w:tcPr>
            <w:tcW w:w="100" w:type="dxa"/>
            <w:vAlign w:val="bottom"/>
            <w:shd w:val="clear" w:color="auto" w:fill="B3B3B3"/>
          </w:tcPr>
          <w:p>
            <w:pPr>
              <w:spacing w:after="0"/>
              <w:rPr>
                <w:sz w:val="24"/>
                <w:szCs w:val="24"/>
                <w:color w:val="auto"/>
              </w:rPr>
            </w:pPr>
          </w:p>
        </w:tc>
        <w:tc>
          <w:tcPr>
            <w:tcW w:w="140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51,066</w:t>
            </w:r>
          </w:p>
        </w:tc>
        <w:tc>
          <w:tcPr>
            <w:tcW w:w="120" w:type="dxa"/>
            <w:vAlign w:val="bottom"/>
            <w:shd w:val="clear" w:color="auto" w:fill="B3B3B3"/>
          </w:tcPr>
          <w:p>
            <w:pPr>
              <w:spacing w:after="0"/>
              <w:rPr>
                <w:sz w:val="24"/>
                <w:szCs w:val="24"/>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1,049,203</w:t>
            </w: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360,500</w:t>
            </w:r>
          </w:p>
        </w:tc>
        <w:tc>
          <w:tcPr>
            <w:tcW w:w="10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ind w:left="260"/>
              <w:spacing w:after="0"/>
              <w:rPr>
                <w:sz w:val="20"/>
                <w:szCs w:val="20"/>
                <w:color w:val="auto"/>
              </w:rPr>
            </w:pPr>
            <w:r>
              <w:rPr>
                <w:rFonts w:ascii="Arial" w:cs="Arial" w:eastAsia="Arial" w:hAnsi="Arial"/>
                <w:sz w:val="18"/>
                <w:szCs w:val="18"/>
                <w:color w:val="auto"/>
              </w:rPr>
              <w:t>234,291</w:t>
            </w:r>
          </w:p>
        </w:tc>
        <w:tc>
          <w:tcPr>
            <w:tcW w:w="10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294,559</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43,010</w:t>
            </w:r>
          </w:p>
        </w:tc>
        <w:tc>
          <w:tcPr>
            <w:tcW w:w="120" w:type="dxa"/>
            <w:vAlign w:val="bottom"/>
          </w:tcPr>
          <w:p>
            <w:pPr>
              <w:spacing w:after="0"/>
              <w:rPr>
                <w:sz w:val="21"/>
                <w:szCs w:val="21"/>
                <w:color w:val="auto"/>
              </w:rPr>
            </w:pPr>
          </w:p>
        </w:tc>
        <w:tc>
          <w:tcPr>
            <w:tcW w:w="126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932,360</w:t>
            </w: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tcBorders>
          </w:tcPr>
          <w:p>
            <w:pPr>
              <w:ind w:left="160"/>
              <w:spacing w:after="0" w:line="202" w:lineRule="exact"/>
              <w:rPr>
                <w:sz w:val="20"/>
                <w:szCs w:val="20"/>
                <w:color w:val="auto"/>
              </w:rPr>
            </w:pPr>
            <w:r>
              <w:rPr>
                <w:rFonts w:ascii="Arial" w:cs="Arial" w:eastAsia="Arial" w:hAnsi="Arial"/>
                <w:sz w:val="18"/>
                <w:szCs w:val="18"/>
                <w:i w:val="1"/>
                <w:iCs w:val="1"/>
                <w:color w:val="auto"/>
              </w:rPr>
              <w:t>Vice President, Chief Financial</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c>
          <w:tcPr>
            <w:tcW w:w="9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25,000</w:t>
            </w:r>
          </w:p>
        </w:tc>
        <w:tc>
          <w:tcPr>
            <w:tcW w:w="1080" w:type="dxa"/>
            <w:vAlign w:val="bottom"/>
          </w:tcPr>
          <w:p>
            <w:pPr>
              <w:ind w:left="260"/>
              <w:spacing w:after="0" w:line="202" w:lineRule="exact"/>
              <w:rPr>
                <w:sz w:val="20"/>
                <w:szCs w:val="20"/>
                <w:color w:val="auto"/>
              </w:rPr>
            </w:pPr>
            <w:r>
              <w:rPr>
                <w:rFonts w:ascii="Arial" w:cs="Arial" w:eastAsia="Arial" w:hAnsi="Arial"/>
                <w:sz w:val="18"/>
                <w:szCs w:val="18"/>
                <w:color w:val="auto"/>
              </w:rPr>
              <w:t>227,476</w:t>
            </w:r>
          </w:p>
        </w:tc>
        <w:tc>
          <w:tcPr>
            <w:tcW w:w="100" w:type="dxa"/>
            <w:vAlign w:val="bottom"/>
          </w:tcPr>
          <w:p>
            <w:pPr>
              <w:spacing w:after="0"/>
              <w:rPr>
                <w:sz w:val="17"/>
                <w:szCs w:val="17"/>
                <w:color w:val="auto"/>
              </w:rPr>
            </w:pPr>
          </w:p>
        </w:tc>
        <w:tc>
          <w:tcPr>
            <w:tcW w:w="13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7"/>
                <w:szCs w:val="17"/>
                <w:color w:val="auto"/>
              </w:rPr>
            </w:pPr>
          </w:p>
        </w:tc>
        <w:tc>
          <w:tcPr>
            <w:tcW w:w="13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50,973</w:t>
            </w:r>
          </w:p>
        </w:tc>
        <w:tc>
          <w:tcPr>
            <w:tcW w:w="120" w:type="dxa"/>
            <w:vAlign w:val="bottom"/>
          </w:tcPr>
          <w:p>
            <w:pPr>
              <w:spacing w:after="0"/>
              <w:rPr>
                <w:sz w:val="17"/>
                <w:szCs w:val="17"/>
                <w:color w:val="auto"/>
              </w:rPr>
            </w:pPr>
          </w:p>
        </w:tc>
        <w:tc>
          <w:tcPr>
            <w:tcW w:w="1260" w:type="dxa"/>
            <w:vAlign w:val="bottom"/>
            <w:tcBorders>
              <w:right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968,449</w:t>
            </w:r>
          </w:p>
        </w:tc>
        <w:tc>
          <w:tcPr>
            <w:tcW w:w="0" w:type="dxa"/>
            <w:vAlign w:val="bottom"/>
          </w:tcPr>
          <w:p>
            <w:pPr>
              <w:spacing w:after="0"/>
              <w:rPr>
                <w:sz w:val="1"/>
                <w:szCs w:val="1"/>
                <w:color w:val="auto"/>
              </w:rPr>
            </w:pPr>
          </w:p>
        </w:tc>
      </w:tr>
      <w:tr>
        <w:trPr>
          <w:trHeight w:val="257"/>
        </w:trPr>
        <w:tc>
          <w:tcPr>
            <w:tcW w:w="2860" w:type="dxa"/>
            <w:vAlign w:val="bottom"/>
            <w:tcBorders>
              <w:left w:val="single" w:sz="8" w:color="auto"/>
            </w:tcBorders>
          </w:tcPr>
          <w:p>
            <w:pPr>
              <w:ind w:left="160"/>
              <w:spacing w:after="0" w:line="256" w:lineRule="exact"/>
              <w:rPr>
                <w:sz w:val="20"/>
                <w:szCs w:val="20"/>
                <w:color w:val="auto"/>
              </w:rPr>
            </w:pPr>
            <w:r>
              <w:rPr>
                <w:rFonts w:ascii="Arial" w:cs="Arial" w:eastAsia="Arial" w:hAnsi="Arial"/>
                <w:sz w:val="18"/>
                <w:szCs w:val="18"/>
                <w:i w:val="1"/>
                <w:iCs w:val="1"/>
                <w:color w:val="auto"/>
              </w:rPr>
              <w:t xml:space="preserve">Officer and Treasurer </w:t>
            </w:r>
            <w:r>
              <w:rPr>
                <w:rFonts w:ascii="Arial" w:cs="Arial" w:eastAsia="Arial" w:hAnsi="Arial"/>
                <w:sz w:val="23"/>
                <w:szCs w:val="23"/>
                <w:i w:val="1"/>
                <w:iCs w:val="1"/>
                <w:color w:val="auto"/>
                <w:vertAlign w:val="superscript"/>
              </w:rPr>
              <w:t>(f)</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294,808</w:t>
            </w:r>
          </w:p>
        </w:tc>
        <w:tc>
          <w:tcPr>
            <w:tcW w:w="100" w:type="dxa"/>
            <w:vAlign w:val="bottom"/>
          </w:tcPr>
          <w:p>
            <w:pPr>
              <w:spacing w:after="0"/>
              <w:rPr>
                <w:sz w:val="22"/>
                <w:szCs w:val="22"/>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18"/>
                <w:szCs w:val="18"/>
                <w:color w:val="auto"/>
              </w:rPr>
              <w:t>175,000</w:t>
            </w:r>
          </w:p>
        </w:tc>
        <w:tc>
          <w:tcPr>
            <w:tcW w:w="1080" w:type="dxa"/>
            <w:vAlign w:val="bottom"/>
            <w:vMerge w:val="restart"/>
          </w:tcPr>
          <w:p>
            <w:pPr>
              <w:ind w:left="260"/>
              <w:spacing w:after="0"/>
              <w:rPr>
                <w:sz w:val="20"/>
                <w:szCs w:val="20"/>
                <w:color w:val="auto"/>
              </w:rPr>
            </w:pPr>
            <w:r>
              <w:rPr>
                <w:rFonts w:ascii="Arial" w:cs="Arial" w:eastAsia="Arial" w:hAnsi="Arial"/>
                <w:sz w:val="18"/>
                <w:szCs w:val="18"/>
                <w:color w:val="auto"/>
              </w:rPr>
              <w:t>477,470</w:t>
            </w:r>
          </w:p>
        </w:tc>
        <w:tc>
          <w:tcPr>
            <w:tcW w:w="100" w:type="dxa"/>
            <w:vAlign w:val="bottom"/>
          </w:tcPr>
          <w:p>
            <w:pPr>
              <w:spacing w:after="0"/>
              <w:rPr>
                <w:sz w:val="22"/>
                <w:szCs w:val="22"/>
                <w:color w:val="auto"/>
              </w:rPr>
            </w:pP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73"/>
              <w:spacing w:after="0"/>
              <w:rPr>
                <w:sz w:val="20"/>
                <w:szCs w:val="20"/>
                <w:color w:val="auto"/>
              </w:rPr>
            </w:pPr>
            <w:r>
              <w:rPr>
                <w:rFonts w:ascii="Arial" w:cs="Arial" w:eastAsia="Arial" w:hAnsi="Arial"/>
                <w:sz w:val="18"/>
                <w:szCs w:val="18"/>
                <w:color w:val="auto"/>
              </w:rPr>
              <w:t>11,002</w:t>
            </w:r>
          </w:p>
        </w:tc>
        <w:tc>
          <w:tcPr>
            <w:tcW w:w="120" w:type="dxa"/>
            <w:vAlign w:val="bottom"/>
          </w:tcPr>
          <w:p>
            <w:pPr>
              <w:spacing w:after="0"/>
              <w:rPr>
                <w:sz w:val="22"/>
                <w:szCs w:val="22"/>
                <w:color w:val="auto"/>
              </w:rPr>
            </w:pPr>
          </w:p>
        </w:tc>
        <w:tc>
          <w:tcPr>
            <w:tcW w:w="126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8"/>
                <w:szCs w:val="18"/>
                <w:color w:val="auto"/>
              </w:rPr>
              <w:t>958,280</w:t>
            </w:r>
          </w:p>
        </w:tc>
        <w:tc>
          <w:tcPr>
            <w:tcW w:w="0" w:type="dxa"/>
            <w:vAlign w:val="bottom"/>
          </w:tcPr>
          <w:p>
            <w:pPr>
              <w:spacing w:after="0"/>
              <w:rPr>
                <w:sz w:val="1"/>
                <w:szCs w:val="1"/>
                <w:color w:val="auto"/>
              </w:rPr>
            </w:pPr>
          </w:p>
        </w:tc>
      </w:tr>
      <w:tr>
        <w:trPr>
          <w:trHeight w:val="61"/>
        </w:trPr>
        <w:tc>
          <w:tcPr>
            <w:tcW w:w="2860" w:type="dxa"/>
            <w:vAlign w:val="bottom"/>
            <w:tcBorders>
              <w:left w:val="single" w:sz="8" w:color="auto"/>
            </w:tcBorders>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21"/>
                <w:szCs w:val="21"/>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289,430</w:t>
            </w:r>
          </w:p>
        </w:tc>
        <w:tc>
          <w:tcPr>
            <w:tcW w:w="100" w:type="dxa"/>
            <w:vAlign w:val="bottom"/>
            <w:shd w:val="clear" w:color="auto" w:fill="B3B3B3"/>
          </w:tcPr>
          <w:p>
            <w:pPr>
              <w:spacing w:after="0"/>
              <w:rPr>
                <w:sz w:val="21"/>
                <w:szCs w:val="21"/>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188,108</w:t>
            </w:r>
          </w:p>
        </w:tc>
        <w:tc>
          <w:tcPr>
            <w:tcW w:w="100" w:type="dxa"/>
            <w:vAlign w:val="bottom"/>
            <w:shd w:val="clear" w:color="auto" w:fill="B3B3B3"/>
          </w:tcPr>
          <w:p>
            <w:pPr>
              <w:spacing w:after="0"/>
              <w:rPr>
                <w:sz w:val="21"/>
                <w:szCs w:val="21"/>
                <w:color w:val="auto"/>
              </w:rPr>
            </w:pPr>
          </w:p>
        </w:tc>
        <w:tc>
          <w:tcPr>
            <w:tcW w:w="130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186,876</w:t>
            </w:r>
          </w:p>
        </w:tc>
        <w:tc>
          <w:tcPr>
            <w:tcW w:w="100" w:type="dxa"/>
            <w:vAlign w:val="bottom"/>
            <w:shd w:val="clear" w:color="auto" w:fill="B3B3B3"/>
          </w:tcPr>
          <w:p>
            <w:pPr>
              <w:spacing w:after="0"/>
              <w:rPr>
                <w:sz w:val="21"/>
                <w:szCs w:val="21"/>
                <w:color w:val="auto"/>
              </w:rPr>
            </w:pP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55,591</w:t>
            </w:r>
          </w:p>
        </w:tc>
        <w:tc>
          <w:tcPr>
            <w:tcW w:w="120" w:type="dxa"/>
            <w:vAlign w:val="bottom"/>
            <w:shd w:val="clear" w:color="auto" w:fill="B3B3B3"/>
          </w:tcPr>
          <w:p>
            <w:pPr>
              <w:spacing w:after="0"/>
              <w:rPr>
                <w:sz w:val="21"/>
                <w:szCs w:val="21"/>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720,005</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tcBorders>
            <w:shd w:val="clear" w:color="auto" w:fill="B3B3B3"/>
          </w:tcPr>
          <w:p>
            <w:pPr>
              <w:ind w:left="140"/>
              <w:spacing w:after="0"/>
              <w:rPr>
                <w:sz w:val="20"/>
                <w:szCs w:val="20"/>
                <w:color w:val="auto"/>
              </w:rPr>
            </w:pPr>
            <w:r>
              <w:rPr>
                <w:rFonts w:ascii="Arial" w:cs="Arial" w:eastAsia="Arial" w:hAnsi="Arial"/>
                <w:sz w:val="18"/>
                <w:szCs w:val="18"/>
                <w:i w:val="1"/>
                <w:iCs w:val="1"/>
                <w:color w:val="auto"/>
              </w:rPr>
              <w:t>Vice President, General Counsel</w:t>
            </w:r>
          </w:p>
        </w:tc>
        <w:tc>
          <w:tcPr>
            <w:tcW w:w="120" w:type="dxa"/>
            <w:vAlign w:val="bottom"/>
            <w:shd w:val="clear" w:color="auto" w:fill="B3B3B3"/>
          </w:tcPr>
          <w:p>
            <w:pPr>
              <w:spacing w:after="0"/>
              <w:rPr>
                <w:sz w:val="19"/>
                <w:szCs w:val="19"/>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281,000</w:t>
            </w:r>
          </w:p>
        </w:tc>
        <w:tc>
          <w:tcPr>
            <w:tcW w:w="100" w:type="dxa"/>
            <w:vAlign w:val="bottom"/>
            <w:shd w:val="clear" w:color="auto" w:fill="B3B3B3"/>
          </w:tcPr>
          <w:p>
            <w:pPr>
              <w:spacing w:after="0"/>
              <w:rPr>
                <w:sz w:val="19"/>
                <w:szCs w:val="19"/>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182,645</w:t>
            </w:r>
          </w:p>
        </w:tc>
        <w:tc>
          <w:tcPr>
            <w:tcW w:w="100" w:type="dxa"/>
            <w:vAlign w:val="bottom"/>
            <w:shd w:val="clear" w:color="auto" w:fill="B3B3B3"/>
          </w:tcPr>
          <w:p>
            <w:pPr>
              <w:spacing w:after="0"/>
              <w:rPr>
                <w:sz w:val="19"/>
                <w:szCs w:val="19"/>
                <w:color w:val="auto"/>
              </w:rPr>
            </w:pPr>
          </w:p>
        </w:tc>
        <w:tc>
          <w:tcPr>
            <w:tcW w:w="130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202,320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54,837</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720,802</w:t>
            </w:r>
          </w:p>
        </w:tc>
        <w:tc>
          <w:tcPr>
            <w:tcW w:w="0" w:type="dxa"/>
            <w:vAlign w:val="bottom"/>
          </w:tcPr>
          <w:p>
            <w:pPr>
              <w:spacing w:after="0"/>
              <w:rPr>
                <w:sz w:val="1"/>
                <w:szCs w:val="1"/>
                <w:color w:val="auto"/>
              </w:rPr>
            </w:pPr>
          </w:p>
        </w:tc>
      </w:tr>
      <w:tr>
        <w:trPr>
          <w:trHeight w:val="302"/>
        </w:trPr>
        <w:tc>
          <w:tcPr>
            <w:tcW w:w="2860" w:type="dxa"/>
            <w:vAlign w:val="bottom"/>
            <w:tcBorders>
              <w:left w:val="single" w:sz="8" w:color="auto"/>
            </w:tcBorders>
            <w:shd w:val="clear" w:color="auto" w:fill="B3B3B3"/>
          </w:tcPr>
          <w:p>
            <w:pPr>
              <w:ind w:left="140"/>
              <w:spacing w:after="0"/>
              <w:rPr>
                <w:sz w:val="20"/>
                <w:szCs w:val="20"/>
                <w:color w:val="auto"/>
              </w:rPr>
            </w:pPr>
            <w:r>
              <w:rPr>
                <w:rFonts w:ascii="Arial" w:cs="Arial" w:eastAsia="Arial" w:hAnsi="Arial"/>
                <w:sz w:val="18"/>
                <w:szCs w:val="18"/>
                <w:i w:val="1"/>
                <w:iCs w:val="1"/>
                <w:color w:val="auto"/>
              </w:rPr>
              <w:t>and Secretary</w:t>
            </w:r>
          </w:p>
        </w:tc>
        <w:tc>
          <w:tcPr>
            <w:tcW w:w="120" w:type="dxa"/>
            <w:vAlign w:val="bottom"/>
            <w:shd w:val="clear" w:color="auto" w:fill="B3B3B3"/>
          </w:tcPr>
          <w:p>
            <w:pPr>
              <w:spacing w:after="0"/>
              <w:rPr>
                <w:sz w:val="24"/>
                <w:szCs w:val="24"/>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B3B3B3"/>
          </w:tcPr>
          <w:p>
            <w:pPr>
              <w:spacing w:after="0"/>
              <w:rPr>
                <w:sz w:val="24"/>
                <w:szCs w:val="24"/>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279,708</w:t>
            </w:r>
          </w:p>
        </w:tc>
        <w:tc>
          <w:tcPr>
            <w:tcW w:w="100" w:type="dxa"/>
            <w:vAlign w:val="bottom"/>
            <w:shd w:val="clear" w:color="auto" w:fill="B3B3B3"/>
          </w:tcPr>
          <w:p>
            <w:pPr>
              <w:spacing w:after="0"/>
              <w:rPr>
                <w:sz w:val="24"/>
                <w:szCs w:val="24"/>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60,000</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182,638</w:t>
            </w:r>
          </w:p>
        </w:tc>
        <w:tc>
          <w:tcPr>
            <w:tcW w:w="100" w:type="dxa"/>
            <w:vAlign w:val="bottom"/>
            <w:shd w:val="clear" w:color="auto" w:fill="B3B3B3"/>
          </w:tcPr>
          <w:p>
            <w:pPr>
              <w:spacing w:after="0"/>
              <w:rPr>
                <w:sz w:val="24"/>
                <w:szCs w:val="24"/>
                <w:color w:val="auto"/>
              </w:rPr>
            </w:pPr>
          </w:p>
        </w:tc>
        <w:tc>
          <w:tcPr>
            <w:tcW w:w="140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54,184</w:t>
            </w:r>
          </w:p>
        </w:tc>
        <w:tc>
          <w:tcPr>
            <w:tcW w:w="120" w:type="dxa"/>
            <w:vAlign w:val="bottom"/>
            <w:shd w:val="clear" w:color="auto" w:fill="B3B3B3"/>
          </w:tcPr>
          <w:p>
            <w:pPr>
              <w:spacing w:after="0"/>
              <w:rPr>
                <w:sz w:val="24"/>
                <w:szCs w:val="24"/>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576,530</w:t>
            </w: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Thomas J. Keller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278,100</w:t>
            </w:r>
          </w:p>
        </w:tc>
        <w:tc>
          <w:tcPr>
            <w:tcW w:w="10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ind w:left="260"/>
              <w:spacing w:after="0"/>
              <w:rPr>
                <w:sz w:val="20"/>
                <w:szCs w:val="20"/>
                <w:color w:val="auto"/>
              </w:rPr>
            </w:pPr>
            <w:r>
              <w:rPr>
                <w:rFonts w:ascii="Arial" w:cs="Arial" w:eastAsia="Arial" w:hAnsi="Arial"/>
                <w:sz w:val="18"/>
                <w:szCs w:val="18"/>
                <w:color w:val="auto"/>
              </w:rPr>
              <w:t>166,828</w:t>
            </w:r>
          </w:p>
        </w:tc>
        <w:tc>
          <w:tcPr>
            <w:tcW w:w="10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180,575</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52,030</w:t>
            </w:r>
          </w:p>
        </w:tc>
        <w:tc>
          <w:tcPr>
            <w:tcW w:w="120" w:type="dxa"/>
            <w:vAlign w:val="bottom"/>
          </w:tcPr>
          <w:p>
            <w:pPr>
              <w:spacing w:after="0"/>
              <w:rPr>
                <w:sz w:val="21"/>
                <w:szCs w:val="21"/>
                <w:color w:val="auto"/>
              </w:rPr>
            </w:pPr>
          </w:p>
        </w:tc>
        <w:tc>
          <w:tcPr>
            <w:tcW w:w="126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677,533</w:t>
            </w:r>
          </w:p>
        </w:tc>
        <w:tc>
          <w:tcPr>
            <w:tcW w:w="0" w:type="dxa"/>
            <w:vAlign w:val="bottom"/>
          </w:tcPr>
          <w:p>
            <w:pPr>
              <w:spacing w:after="0"/>
              <w:rPr>
                <w:sz w:val="1"/>
                <w:szCs w:val="1"/>
                <w:color w:val="auto"/>
              </w:rPr>
            </w:pPr>
          </w:p>
        </w:tc>
      </w:tr>
      <w:tr>
        <w:trPr>
          <w:trHeight w:val="257"/>
        </w:trPr>
        <w:tc>
          <w:tcPr>
            <w:tcW w:w="286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w w:val="99"/>
              </w:rPr>
              <w:t>Vice President – Water Treatment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268,846</w:t>
            </w:r>
          </w:p>
        </w:tc>
        <w:tc>
          <w:tcPr>
            <w:tcW w:w="100" w:type="dxa"/>
            <w:vAlign w:val="bottom"/>
          </w:tcPr>
          <w:p>
            <w:pPr>
              <w:spacing w:after="0"/>
              <w:rPr>
                <w:sz w:val="22"/>
                <w:szCs w:val="22"/>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ind w:left="260"/>
              <w:spacing w:after="0"/>
              <w:rPr>
                <w:sz w:val="20"/>
                <w:szCs w:val="20"/>
                <w:color w:val="auto"/>
              </w:rPr>
            </w:pPr>
            <w:r>
              <w:rPr>
                <w:rFonts w:ascii="Arial" w:cs="Arial" w:eastAsia="Arial" w:hAnsi="Arial"/>
                <w:sz w:val="18"/>
                <w:szCs w:val="18"/>
                <w:color w:val="auto"/>
              </w:rPr>
              <w:t>161,985</w:t>
            </w:r>
          </w:p>
        </w:tc>
        <w:tc>
          <w:tcPr>
            <w:tcW w:w="100" w:type="dxa"/>
            <w:vAlign w:val="bottom"/>
          </w:tcPr>
          <w:p>
            <w:pPr>
              <w:spacing w:after="0"/>
              <w:rPr>
                <w:sz w:val="22"/>
                <w:szCs w:val="22"/>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159,638</w:t>
            </w:r>
          </w:p>
        </w:tc>
        <w:tc>
          <w:tcPr>
            <w:tcW w:w="100" w:type="dxa"/>
            <w:vAlign w:val="bottom"/>
          </w:tcPr>
          <w:p>
            <w:pPr>
              <w:spacing w:after="0"/>
              <w:rPr>
                <w:sz w:val="22"/>
                <w:szCs w:val="22"/>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51,002</w:t>
            </w:r>
          </w:p>
        </w:tc>
        <w:tc>
          <w:tcPr>
            <w:tcW w:w="120" w:type="dxa"/>
            <w:vAlign w:val="bottom"/>
          </w:tcPr>
          <w:p>
            <w:pPr>
              <w:spacing w:after="0"/>
              <w:rPr>
                <w:sz w:val="22"/>
                <w:szCs w:val="22"/>
                <w:color w:val="auto"/>
              </w:rPr>
            </w:pPr>
          </w:p>
        </w:tc>
        <w:tc>
          <w:tcPr>
            <w:tcW w:w="126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641,471</w:t>
            </w:r>
          </w:p>
        </w:tc>
        <w:tc>
          <w:tcPr>
            <w:tcW w:w="0" w:type="dxa"/>
            <w:vAlign w:val="bottom"/>
          </w:tcPr>
          <w:p>
            <w:pPr>
              <w:spacing w:after="0"/>
              <w:rPr>
                <w:sz w:val="1"/>
                <w:szCs w:val="1"/>
                <w:color w:val="auto"/>
              </w:rPr>
            </w:pPr>
          </w:p>
        </w:tc>
      </w:tr>
      <w:tr>
        <w:trPr>
          <w:trHeight w:val="263"/>
        </w:trPr>
        <w:tc>
          <w:tcPr>
            <w:tcW w:w="2860" w:type="dxa"/>
            <w:vAlign w:val="bottom"/>
            <w:tcBorders>
              <w:left w:val="single" w:sz="8" w:color="auto"/>
            </w:tcBorders>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263,262</w:t>
            </w:r>
          </w:p>
        </w:tc>
        <w:tc>
          <w:tcPr>
            <w:tcW w:w="100" w:type="dxa"/>
            <w:vAlign w:val="bottom"/>
          </w:tcPr>
          <w:p>
            <w:pPr>
              <w:spacing w:after="0"/>
              <w:rPr>
                <w:sz w:val="22"/>
                <w:szCs w:val="22"/>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41,069</w:t>
            </w:r>
          </w:p>
        </w:tc>
        <w:tc>
          <w:tcPr>
            <w:tcW w:w="1080" w:type="dxa"/>
            <w:vAlign w:val="bottom"/>
          </w:tcPr>
          <w:p>
            <w:pPr>
              <w:ind w:left="260"/>
              <w:spacing w:after="0"/>
              <w:rPr>
                <w:sz w:val="20"/>
                <w:szCs w:val="20"/>
                <w:color w:val="auto"/>
              </w:rPr>
            </w:pPr>
            <w:r>
              <w:rPr>
                <w:rFonts w:ascii="Arial" w:cs="Arial" w:eastAsia="Arial" w:hAnsi="Arial"/>
                <w:sz w:val="18"/>
                <w:szCs w:val="18"/>
                <w:color w:val="auto"/>
              </w:rPr>
              <w:t>158,365</w:t>
            </w:r>
          </w:p>
        </w:tc>
        <w:tc>
          <w:tcPr>
            <w:tcW w:w="100" w:type="dxa"/>
            <w:vAlign w:val="bottom"/>
          </w:tcPr>
          <w:p>
            <w:pPr>
              <w:spacing w:after="0"/>
              <w:rPr>
                <w:sz w:val="22"/>
                <w:szCs w:val="22"/>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41,931</w:t>
            </w:r>
          </w:p>
        </w:tc>
        <w:tc>
          <w:tcPr>
            <w:tcW w:w="100" w:type="dxa"/>
            <w:vAlign w:val="bottom"/>
          </w:tcPr>
          <w:p>
            <w:pPr>
              <w:spacing w:after="0"/>
              <w:rPr>
                <w:sz w:val="22"/>
                <w:szCs w:val="22"/>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50,265</w:t>
            </w:r>
          </w:p>
        </w:tc>
        <w:tc>
          <w:tcPr>
            <w:tcW w:w="120" w:type="dxa"/>
            <w:vAlign w:val="bottom"/>
          </w:tcPr>
          <w:p>
            <w:pPr>
              <w:spacing w:after="0"/>
              <w:rPr>
                <w:sz w:val="22"/>
                <w:szCs w:val="22"/>
                <w:color w:val="auto"/>
              </w:rPr>
            </w:pPr>
          </w:p>
        </w:tc>
        <w:tc>
          <w:tcPr>
            <w:tcW w:w="126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554,892</w:t>
            </w:r>
          </w:p>
        </w:tc>
        <w:tc>
          <w:tcPr>
            <w:tcW w:w="0" w:type="dxa"/>
            <w:vAlign w:val="bottom"/>
          </w:tcPr>
          <w:p>
            <w:pPr>
              <w:spacing w:after="0"/>
              <w:rPr>
                <w:sz w:val="1"/>
                <w:szCs w:val="1"/>
                <w:color w:val="auto"/>
              </w:rPr>
            </w:pPr>
          </w:p>
        </w:tc>
      </w:tr>
      <w:tr>
        <w:trPr>
          <w:trHeight w:val="250"/>
        </w:trPr>
        <w:tc>
          <w:tcPr>
            <w:tcW w:w="286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John R. Sevenich</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21"/>
                <w:szCs w:val="21"/>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272,950</w:t>
            </w:r>
          </w:p>
        </w:tc>
        <w:tc>
          <w:tcPr>
            <w:tcW w:w="100" w:type="dxa"/>
            <w:vAlign w:val="bottom"/>
            <w:shd w:val="clear" w:color="auto" w:fill="B3B3B3"/>
          </w:tcPr>
          <w:p>
            <w:pPr>
              <w:spacing w:after="0"/>
              <w:rPr>
                <w:sz w:val="21"/>
                <w:szCs w:val="21"/>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163,759</w:t>
            </w:r>
          </w:p>
        </w:tc>
        <w:tc>
          <w:tcPr>
            <w:tcW w:w="100" w:type="dxa"/>
            <w:vAlign w:val="bottom"/>
            <w:shd w:val="clear" w:color="auto" w:fill="B3B3B3"/>
          </w:tcPr>
          <w:p>
            <w:pPr>
              <w:spacing w:after="0"/>
              <w:rPr>
                <w:sz w:val="21"/>
                <w:szCs w:val="21"/>
                <w:color w:val="auto"/>
              </w:rPr>
            </w:pPr>
          </w:p>
        </w:tc>
        <w:tc>
          <w:tcPr>
            <w:tcW w:w="130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155,459</w:t>
            </w:r>
          </w:p>
        </w:tc>
        <w:tc>
          <w:tcPr>
            <w:tcW w:w="100" w:type="dxa"/>
            <w:vAlign w:val="bottom"/>
            <w:shd w:val="clear" w:color="auto" w:fill="B3B3B3"/>
          </w:tcPr>
          <w:p>
            <w:pPr>
              <w:spacing w:after="0"/>
              <w:rPr>
                <w:sz w:val="21"/>
                <w:szCs w:val="21"/>
                <w:color w:val="auto"/>
              </w:rPr>
            </w:pP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51,224</w:t>
            </w:r>
          </w:p>
        </w:tc>
        <w:tc>
          <w:tcPr>
            <w:tcW w:w="120" w:type="dxa"/>
            <w:vAlign w:val="bottom"/>
            <w:shd w:val="clear" w:color="auto" w:fill="B3B3B3"/>
          </w:tcPr>
          <w:p>
            <w:pPr>
              <w:spacing w:after="0"/>
              <w:rPr>
                <w:sz w:val="21"/>
                <w:szCs w:val="21"/>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643,392</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tcBorders>
            <w:shd w:val="clear" w:color="auto" w:fill="B3B3B3"/>
          </w:tcPr>
          <w:p>
            <w:pPr>
              <w:ind w:left="140"/>
              <w:spacing w:after="0"/>
              <w:rPr>
                <w:sz w:val="20"/>
                <w:szCs w:val="20"/>
                <w:color w:val="auto"/>
              </w:rPr>
            </w:pPr>
            <w:r>
              <w:rPr>
                <w:rFonts w:ascii="Arial" w:cs="Arial" w:eastAsia="Arial" w:hAnsi="Arial"/>
                <w:sz w:val="18"/>
                <w:szCs w:val="18"/>
                <w:i w:val="1"/>
                <w:iCs w:val="1"/>
                <w:color w:val="auto"/>
              </w:rPr>
              <w:t>Vice President – Health and</w:t>
            </w:r>
          </w:p>
        </w:tc>
        <w:tc>
          <w:tcPr>
            <w:tcW w:w="120" w:type="dxa"/>
            <w:vAlign w:val="bottom"/>
            <w:shd w:val="clear" w:color="auto" w:fill="B3B3B3"/>
          </w:tcPr>
          <w:p>
            <w:pPr>
              <w:spacing w:after="0"/>
              <w:rPr>
                <w:sz w:val="19"/>
                <w:szCs w:val="19"/>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center"/>
              <w:spacing w:after="0"/>
              <w:rPr>
                <w:sz w:val="20"/>
                <w:szCs w:val="20"/>
                <w:color w:val="auto"/>
              </w:rPr>
            </w:pPr>
            <w:r>
              <w:rPr>
                <w:rFonts w:ascii="Arial" w:cs="Arial" w:eastAsia="Arial" w:hAnsi="Arial"/>
                <w:sz w:val="18"/>
                <w:szCs w:val="18"/>
                <w:color w:val="auto"/>
              </w:rPr>
              <w:t>265,000</w:t>
            </w:r>
          </w:p>
        </w:tc>
        <w:tc>
          <w:tcPr>
            <w:tcW w:w="100" w:type="dxa"/>
            <w:vAlign w:val="bottom"/>
            <w:shd w:val="clear" w:color="auto" w:fill="B3B3B3"/>
          </w:tcPr>
          <w:p>
            <w:pPr>
              <w:spacing w:after="0"/>
              <w:rPr>
                <w:sz w:val="19"/>
                <w:szCs w:val="19"/>
                <w:color w:val="auto"/>
              </w:rPr>
            </w:pPr>
          </w:p>
        </w:tc>
        <w:tc>
          <w:tcPr>
            <w:tcW w:w="98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B3B3B3"/>
          </w:tcPr>
          <w:p>
            <w:pPr>
              <w:ind w:left="260"/>
              <w:spacing w:after="0"/>
              <w:rPr>
                <w:sz w:val="20"/>
                <w:szCs w:val="20"/>
                <w:color w:val="auto"/>
              </w:rPr>
            </w:pPr>
            <w:r>
              <w:rPr>
                <w:rFonts w:ascii="Arial" w:cs="Arial" w:eastAsia="Arial" w:hAnsi="Arial"/>
                <w:sz w:val="18"/>
                <w:szCs w:val="18"/>
                <w:color w:val="auto"/>
              </w:rPr>
              <w:t>158,976</w:t>
            </w:r>
          </w:p>
        </w:tc>
        <w:tc>
          <w:tcPr>
            <w:tcW w:w="100" w:type="dxa"/>
            <w:vAlign w:val="bottom"/>
            <w:shd w:val="clear" w:color="auto" w:fill="B3B3B3"/>
          </w:tcPr>
          <w:p>
            <w:pPr>
              <w:spacing w:after="0"/>
              <w:rPr>
                <w:sz w:val="19"/>
                <w:szCs w:val="19"/>
                <w:color w:val="auto"/>
              </w:rPr>
            </w:pPr>
          </w:p>
        </w:tc>
        <w:tc>
          <w:tcPr>
            <w:tcW w:w="130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162,800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ind w:right="73"/>
              <w:spacing w:after="0"/>
              <w:rPr>
                <w:sz w:val="20"/>
                <w:szCs w:val="20"/>
                <w:color w:val="auto"/>
              </w:rPr>
            </w:pPr>
            <w:r>
              <w:rPr>
                <w:rFonts w:ascii="Arial" w:cs="Arial" w:eastAsia="Arial" w:hAnsi="Arial"/>
                <w:sz w:val="18"/>
                <w:szCs w:val="18"/>
                <w:color w:val="auto"/>
              </w:rPr>
              <w:t>52,178</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638,954</w:t>
            </w:r>
          </w:p>
        </w:tc>
        <w:tc>
          <w:tcPr>
            <w:tcW w:w="0" w:type="dxa"/>
            <w:vAlign w:val="bottom"/>
          </w:tcPr>
          <w:p>
            <w:pPr>
              <w:spacing w:after="0"/>
              <w:rPr>
                <w:sz w:val="1"/>
                <w:szCs w:val="1"/>
                <w:color w:val="auto"/>
              </w:rPr>
            </w:pPr>
          </w:p>
        </w:tc>
      </w:tr>
      <w:tr>
        <w:trPr>
          <w:trHeight w:val="296"/>
        </w:trPr>
        <w:tc>
          <w:tcPr>
            <w:tcW w:w="2860" w:type="dxa"/>
            <w:vAlign w:val="bottom"/>
            <w:tcBorders>
              <w:left w:val="single" w:sz="8" w:color="auto"/>
              <w:bottom w:val="single" w:sz="8" w:color="auto"/>
            </w:tcBorders>
            <w:shd w:val="clear" w:color="auto" w:fill="B3B3B3"/>
          </w:tcPr>
          <w:p>
            <w:pPr>
              <w:ind w:left="140"/>
              <w:spacing w:after="0"/>
              <w:rPr>
                <w:sz w:val="20"/>
                <w:szCs w:val="20"/>
                <w:color w:val="auto"/>
              </w:rPr>
            </w:pPr>
            <w:r>
              <w:rPr>
                <w:rFonts w:ascii="Arial" w:cs="Arial" w:eastAsia="Arial" w:hAnsi="Arial"/>
                <w:sz w:val="18"/>
                <w:szCs w:val="18"/>
                <w:i w:val="1"/>
                <w:iCs w:val="1"/>
                <w:color w:val="auto"/>
              </w:rPr>
              <w:t>Nutrition</w:t>
            </w:r>
          </w:p>
        </w:tc>
        <w:tc>
          <w:tcPr>
            <w:tcW w:w="120" w:type="dxa"/>
            <w:vAlign w:val="bottom"/>
            <w:tcBorders>
              <w:bottom w:val="single" w:sz="8" w:color="auto"/>
            </w:tcBorders>
            <w:shd w:val="clear" w:color="auto" w:fill="B3B3B3"/>
          </w:tcPr>
          <w:p>
            <w:pPr>
              <w:spacing w:after="0"/>
              <w:rPr>
                <w:sz w:val="24"/>
                <w:szCs w:val="24"/>
                <w:color w:val="auto"/>
              </w:rPr>
            </w:pPr>
          </w:p>
        </w:tc>
        <w:tc>
          <w:tcPr>
            <w:tcW w:w="6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shd w:val="clear" w:color="auto" w:fill="B3B3B3"/>
          </w:tcPr>
          <w:p>
            <w:pPr>
              <w:spacing w:after="0"/>
              <w:rPr>
                <w:sz w:val="24"/>
                <w:szCs w:val="24"/>
                <w:color w:val="auto"/>
              </w:rPr>
            </w:pPr>
          </w:p>
        </w:tc>
        <w:tc>
          <w:tcPr>
            <w:tcW w:w="960" w:type="dxa"/>
            <w:vAlign w:val="bottom"/>
            <w:tcBorders>
              <w:bottom w:val="single" w:sz="8" w:color="auto"/>
            </w:tcBorders>
            <w:shd w:val="clear" w:color="auto" w:fill="B3B3B3"/>
          </w:tcPr>
          <w:p>
            <w:pPr>
              <w:jc w:val="center"/>
              <w:spacing w:after="0"/>
              <w:rPr>
                <w:sz w:val="20"/>
                <w:szCs w:val="20"/>
                <w:color w:val="auto"/>
              </w:rPr>
            </w:pPr>
            <w:r>
              <w:rPr>
                <w:rFonts w:ascii="Arial" w:cs="Arial" w:eastAsia="Arial" w:hAnsi="Arial"/>
                <w:sz w:val="18"/>
                <w:szCs w:val="18"/>
                <w:color w:val="auto"/>
              </w:rPr>
              <w:t>264,262</w:t>
            </w:r>
          </w:p>
        </w:tc>
        <w:tc>
          <w:tcPr>
            <w:tcW w:w="100" w:type="dxa"/>
            <w:vAlign w:val="bottom"/>
            <w:tcBorders>
              <w:bottom w:val="single" w:sz="8" w:color="auto"/>
            </w:tcBorders>
            <w:shd w:val="clear" w:color="auto" w:fill="B3B3B3"/>
          </w:tcPr>
          <w:p>
            <w:pPr>
              <w:spacing w:after="0"/>
              <w:rPr>
                <w:sz w:val="24"/>
                <w:szCs w:val="24"/>
                <w:color w:val="auto"/>
              </w:rPr>
            </w:pPr>
          </w:p>
        </w:tc>
        <w:tc>
          <w:tcPr>
            <w:tcW w:w="980" w:type="dxa"/>
            <w:vAlign w:val="bottom"/>
            <w:tcBorders>
              <w:bottom w:val="single" w:sz="8" w:color="auto"/>
            </w:tcBorders>
            <w:shd w:val="clear" w:color="auto" w:fill="B3B3B3"/>
          </w:tcPr>
          <w:p>
            <w:pPr>
              <w:jc w:val="right"/>
              <w:ind w:right="152"/>
              <w:spacing w:after="0"/>
              <w:rPr>
                <w:sz w:val="20"/>
                <w:szCs w:val="20"/>
                <w:color w:val="auto"/>
              </w:rPr>
            </w:pPr>
            <w:r>
              <w:rPr>
                <w:rFonts w:ascii="Arial" w:cs="Arial" w:eastAsia="Arial" w:hAnsi="Arial"/>
                <w:sz w:val="18"/>
                <w:szCs w:val="18"/>
                <w:color w:val="auto"/>
              </w:rPr>
              <w:t>30,547</w:t>
            </w:r>
          </w:p>
        </w:tc>
        <w:tc>
          <w:tcPr>
            <w:tcW w:w="1080" w:type="dxa"/>
            <w:vAlign w:val="bottom"/>
            <w:tcBorders>
              <w:bottom w:val="single" w:sz="8" w:color="auto"/>
            </w:tcBorders>
            <w:shd w:val="clear" w:color="auto" w:fill="B3B3B3"/>
          </w:tcPr>
          <w:p>
            <w:pPr>
              <w:ind w:left="260"/>
              <w:spacing w:after="0"/>
              <w:rPr>
                <w:sz w:val="20"/>
                <w:szCs w:val="20"/>
                <w:color w:val="auto"/>
              </w:rPr>
            </w:pPr>
            <w:r>
              <w:rPr>
                <w:rFonts w:ascii="Arial" w:cs="Arial" w:eastAsia="Arial" w:hAnsi="Arial"/>
                <w:sz w:val="18"/>
                <w:szCs w:val="18"/>
                <w:color w:val="auto"/>
              </w:rPr>
              <w:t>158,983</w:t>
            </w:r>
          </w:p>
        </w:tc>
        <w:tc>
          <w:tcPr>
            <w:tcW w:w="100" w:type="dxa"/>
            <w:vAlign w:val="bottom"/>
            <w:tcBorders>
              <w:bottom w:val="single" w:sz="8" w:color="auto"/>
            </w:tcBorders>
            <w:shd w:val="clear" w:color="auto" w:fill="B3B3B3"/>
          </w:tcPr>
          <w:p>
            <w:pPr>
              <w:spacing w:after="0"/>
              <w:rPr>
                <w:sz w:val="24"/>
                <w:szCs w:val="24"/>
                <w:color w:val="auto"/>
              </w:rPr>
            </w:pPr>
          </w:p>
        </w:tc>
        <w:tc>
          <w:tcPr>
            <w:tcW w:w="1300" w:type="dxa"/>
            <w:vAlign w:val="bottom"/>
            <w:tcBorders>
              <w:bottom w:val="single" w:sz="8" w:color="auto"/>
            </w:tcBorders>
            <w:shd w:val="clear" w:color="auto" w:fill="B3B3B3"/>
          </w:tcPr>
          <w:p>
            <w:pPr>
              <w:jc w:val="right"/>
              <w:ind w:right="74"/>
              <w:spacing w:after="0"/>
              <w:rPr>
                <w:sz w:val="20"/>
                <w:szCs w:val="20"/>
                <w:color w:val="auto"/>
              </w:rPr>
            </w:pPr>
            <w:r>
              <w:rPr>
                <w:rFonts w:ascii="Arial" w:cs="Arial" w:eastAsia="Arial" w:hAnsi="Arial"/>
                <w:sz w:val="18"/>
                <w:szCs w:val="18"/>
                <w:color w:val="auto"/>
              </w:rPr>
              <w:t>33,453</w:t>
            </w:r>
          </w:p>
        </w:tc>
        <w:tc>
          <w:tcPr>
            <w:tcW w:w="100" w:type="dxa"/>
            <w:vAlign w:val="bottom"/>
            <w:tcBorders>
              <w:bottom w:val="single" w:sz="8" w:color="auto"/>
            </w:tcBorders>
            <w:shd w:val="clear" w:color="auto" w:fill="B3B3B3"/>
          </w:tcPr>
          <w:p>
            <w:pPr>
              <w:spacing w:after="0"/>
              <w:rPr>
                <w:sz w:val="24"/>
                <w:szCs w:val="24"/>
                <w:color w:val="auto"/>
              </w:rPr>
            </w:pPr>
          </w:p>
        </w:tc>
        <w:tc>
          <w:tcPr>
            <w:tcW w:w="1320" w:type="dxa"/>
            <w:vAlign w:val="bottom"/>
            <w:tcBorders>
              <w:bottom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51,580</w:t>
            </w:r>
          </w:p>
        </w:tc>
        <w:tc>
          <w:tcPr>
            <w:tcW w:w="120" w:type="dxa"/>
            <w:vAlign w:val="bottom"/>
            <w:tcBorders>
              <w:bottom w:val="single" w:sz="8" w:color="auto"/>
            </w:tcBorders>
            <w:shd w:val="clear" w:color="auto" w:fill="B3B3B3"/>
          </w:tcPr>
          <w:p>
            <w:pPr>
              <w:spacing w:after="0"/>
              <w:rPr>
                <w:sz w:val="24"/>
                <w:szCs w:val="24"/>
                <w:color w:val="auto"/>
              </w:rPr>
            </w:pPr>
          </w:p>
        </w:tc>
        <w:tc>
          <w:tcPr>
            <w:tcW w:w="1260" w:type="dxa"/>
            <w:vAlign w:val="bottom"/>
            <w:tcBorders>
              <w:bottom w:val="single" w:sz="8" w:color="auto"/>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538,825</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left="420" w:right="20" w:hanging="412"/>
        <w:spacing w:after="0" w:line="256" w:lineRule="auto"/>
        <w:tabs>
          <w:tab w:leader="none" w:pos="4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exception of Mr. Oldenkamp’s bonus in fiscal 2018, the amounts shown represent discretionary cash bonuses approved by the Compensation Committee. The amount shown for Mr. Oldenkamp for fiscal 2018 represents the amount we agreed to pay to him under the non-equity incentive plan as part of the terms of his hire.</w:t>
      </w:r>
    </w:p>
    <w:p>
      <w:pPr>
        <w:spacing w:after="0" w:line="80" w:lineRule="exact"/>
        <w:rPr>
          <w:rFonts w:ascii="Arial" w:cs="Arial" w:eastAsia="Arial" w:hAnsi="Arial"/>
          <w:sz w:val="18"/>
          <w:szCs w:val="18"/>
          <w:color w:val="auto"/>
        </w:rPr>
      </w:pPr>
    </w:p>
    <w:p>
      <w:pPr>
        <w:ind w:left="420" w:hanging="412"/>
        <w:spacing w:after="0" w:line="254"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2020 for a description of our accounting for these awards and the assumptions used in valuing the awards.</w:t>
      </w:r>
    </w:p>
    <w:p>
      <w:pPr>
        <w:spacing w:after="0" w:line="68" w:lineRule="exact"/>
        <w:rPr>
          <w:rFonts w:ascii="Arial" w:cs="Arial" w:eastAsia="Arial" w:hAnsi="Arial"/>
          <w:sz w:val="18"/>
          <w:szCs w:val="18"/>
          <w:color w:val="auto"/>
        </w:rPr>
      </w:pPr>
    </w:p>
    <w:p>
      <w:pPr>
        <w:jc w:val="both"/>
        <w:ind w:left="420" w:right="60" w:hanging="412"/>
        <w:spacing w:after="0" w:line="265" w:lineRule="auto"/>
        <w:tabs>
          <w:tab w:leader="none" w:pos="4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include the grant date fair value of a performance-based restricted stock unit award granted during the respective fiscal year, with such value computed based on the estimated probable outcome of the applicable performance conditions as of the grant date. No shares were issued to our named executive officers for fiscal 2018 as our actual results were below the threshold performance level for that fiscal year. The following table shows the grant date fair values of the performance-based restricted unit awards granted in fiscal</w:t>
      </w:r>
    </w:p>
    <w:p>
      <w:pPr>
        <w:ind w:left="420"/>
        <w:spacing w:after="0"/>
        <w:rPr>
          <w:rFonts w:ascii="Arial" w:cs="Arial" w:eastAsia="Arial" w:hAnsi="Arial"/>
          <w:sz w:val="17"/>
          <w:szCs w:val="17"/>
          <w:color w:val="auto"/>
        </w:rPr>
      </w:pPr>
      <w:r>
        <w:rPr>
          <w:rFonts w:ascii="Arial" w:cs="Arial" w:eastAsia="Arial" w:hAnsi="Arial"/>
          <w:sz w:val="18"/>
          <w:szCs w:val="18"/>
          <w:color w:val="auto"/>
        </w:rPr>
        <w:t>2020 as reported, and what such values would have been assuming the highest level of performance conditions would be achieved:</w:t>
      </w:r>
    </w:p>
    <w:p>
      <w:pPr>
        <w:spacing w:after="0" w:line="17" w:lineRule="exact"/>
        <w:rPr>
          <w:sz w:val="20"/>
          <w:szCs w:val="20"/>
          <w:color w:val="auto"/>
        </w:rPr>
      </w:pPr>
    </w:p>
    <w:tbl>
      <w:tblPr>
        <w:tblLayout w:type="fixed"/>
        <w:tblInd w:w="430" w:type="dxa"/>
        <w:tblCellMar>
          <w:top w:w="0" w:type="dxa"/>
          <w:left w:w="0" w:type="dxa"/>
          <w:bottom w:w="0" w:type="dxa"/>
          <w:right w:w="0" w:type="dxa"/>
        </w:tblCellMar>
      </w:tblPr>
      <w:tr>
        <w:trPr>
          <w:trHeight w:val="224"/>
        </w:trPr>
        <w:tc>
          <w:tcPr>
            <w:tcW w:w="532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top w:val="single" w:sz="8" w:color="auto"/>
              <w:bottom w:val="single" w:sz="8" w:color="B3B3B3"/>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Amount Reported</w:t>
            </w:r>
          </w:p>
        </w:tc>
        <w:tc>
          <w:tcPr>
            <w:tcW w:w="100" w:type="dxa"/>
            <w:vAlign w:val="bottom"/>
            <w:tcBorders>
              <w:top w:val="single" w:sz="8" w:color="auto"/>
              <w:bottom w:val="single" w:sz="8" w:color="B3B3B3"/>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Maximum Amount</w:t>
            </w:r>
          </w:p>
        </w:tc>
      </w:tr>
      <w:tr>
        <w:trPr>
          <w:trHeight w:val="256"/>
        </w:trPr>
        <w:tc>
          <w:tcPr>
            <w:tcW w:w="544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2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3B3B3"/>
          </w:tcPr>
          <w:p>
            <w:pPr>
              <w:jc w:val="right"/>
              <w:ind w:right="53"/>
              <w:spacing w:after="0"/>
              <w:rPr>
                <w:sz w:val="20"/>
                <w:szCs w:val="20"/>
                <w:color w:val="auto"/>
              </w:rPr>
            </w:pPr>
            <w:r>
              <w:rPr>
                <w:rFonts w:ascii="Arial" w:cs="Arial" w:eastAsia="Arial" w:hAnsi="Arial"/>
                <w:sz w:val="18"/>
                <w:szCs w:val="18"/>
                <w:color w:val="auto"/>
              </w:rPr>
              <w:t>499,967</w:t>
            </w:r>
          </w:p>
        </w:tc>
        <w:tc>
          <w:tcPr>
            <w:tcW w:w="100" w:type="dxa"/>
            <w:vAlign w:val="bottom"/>
            <w:shd w:val="clear" w:color="auto" w:fill="B3B3B3"/>
          </w:tcPr>
          <w:p>
            <w:pPr>
              <w:spacing w:after="0"/>
              <w:rPr>
                <w:sz w:val="22"/>
                <w:szCs w:val="22"/>
                <w:color w:val="auto"/>
              </w:rPr>
            </w:pP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749,951</w:t>
            </w:r>
          </w:p>
        </w:tc>
      </w:tr>
      <w:tr>
        <w:trPr>
          <w:trHeight w:val="250"/>
        </w:trPr>
        <w:tc>
          <w:tcPr>
            <w:tcW w:w="54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234,291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351,436</w:t>
            </w:r>
          </w:p>
        </w:tc>
      </w:tr>
      <w:tr>
        <w:trPr>
          <w:trHeight w:val="263"/>
        </w:trPr>
        <w:tc>
          <w:tcPr>
            <w:tcW w:w="544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Richard G. Erstad</w:t>
            </w:r>
          </w:p>
        </w:tc>
        <w:tc>
          <w:tcPr>
            <w:tcW w:w="12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3B3B3"/>
          </w:tcPr>
          <w:p>
            <w:pPr>
              <w:jc w:val="right"/>
              <w:ind w:right="53"/>
              <w:spacing w:after="0"/>
              <w:rPr>
                <w:sz w:val="20"/>
                <w:szCs w:val="20"/>
                <w:color w:val="auto"/>
              </w:rPr>
            </w:pPr>
            <w:r>
              <w:rPr>
                <w:rFonts w:ascii="Arial" w:cs="Arial" w:eastAsia="Arial" w:hAnsi="Arial"/>
                <w:sz w:val="18"/>
                <w:szCs w:val="18"/>
                <w:color w:val="auto"/>
              </w:rPr>
              <w:t>188,108</w:t>
            </w:r>
          </w:p>
        </w:tc>
        <w:tc>
          <w:tcPr>
            <w:tcW w:w="100" w:type="dxa"/>
            <w:vAlign w:val="bottom"/>
            <w:shd w:val="clear" w:color="auto" w:fill="B3B3B3"/>
          </w:tcPr>
          <w:p>
            <w:pPr>
              <w:spacing w:after="0"/>
              <w:rPr>
                <w:sz w:val="22"/>
                <w:szCs w:val="22"/>
                <w:color w:val="auto"/>
              </w:rPr>
            </w:pP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282,163</w:t>
            </w:r>
          </w:p>
        </w:tc>
      </w:tr>
      <w:tr>
        <w:trPr>
          <w:trHeight w:val="250"/>
        </w:trPr>
        <w:tc>
          <w:tcPr>
            <w:tcW w:w="54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Thomas J. Keller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166,828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250,242</w:t>
            </w:r>
          </w:p>
        </w:tc>
      </w:tr>
      <w:tr>
        <w:trPr>
          <w:trHeight w:val="257"/>
        </w:trPr>
        <w:tc>
          <w:tcPr>
            <w:tcW w:w="544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John R. Sevenich</w:t>
            </w:r>
          </w:p>
        </w:tc>
        <w:tc>
          <w:tcPr>
            <w:tcW w:w="1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B3B3B3"/>
          </w:tcPr>
          <w:p>
            <w:pPr>
              <w:jc w:val="right"/>
              <w:ind w:right="53"/>
              <w:spacing w:after="0"/>
              <w:rPr>
                <w:sz w:val="20"/>
                <w:szCs w:val="20"/>
                <w:color w:val="auto"/>
              </w:rPr>
            </w:pPr>
            <w:r>
              <w:rPr>
                <w:rFonts w:ascii="Arial" w:cs="Arial" w:eastAsia="Arial" w:hAnsi="Arial"/>
                <w:sz w:val="18"/>
                <w:szCs w:val="18"/>
                <w:color w:val="auto"/>
              </w:rPr>
              <w:t>163,759</w:t>
            </w:r>
          </w:p>
        </w:tc>
        <w:tc>
          <w:tcPr>
            <w:tcW w:w="100" w:type="dxa"/>
            <w:vAlign w:val="bottom"/>
            <w:tcBorders>
              <w:bottom w:val="single" w:sz="8" w:color="auto"/>
            </w:tcBorders>
            <w:shd w:val="clear" w:color="auto" w:fill="B3B3B3"/>
          </w:tcPr>
          <w:p>
            <w:pPr>
              <w:spacing w:after="0"/>
              <w:rPr>
                <w:sz w:val="22"/>
                <w:szCs w:val="22"/>
                <w:color w:val="auto"/>
              </w:rPr>
            </w:pPr>
          </w:p>
        </w:tc>
        <w:tc>
          <w:tcPr>
            <w:tcW w:w="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right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245,638</w:t>
            </w:r>
          </w:p>
        </w:tc>
      </w:tr>
    </w:tbl>
    <w:p>
      <w:pPr>
        <w:spacing w:after="0" w:line="107" w:lineRule="exact"/>
        <w:rPr>
          <w:sz w:val="20"/>
          <w:szCs w:val="20"/>
          <w:color w:val="auto"/>
        </w:rPr>
      </w:pPr>
    </w:p>
    <w:p>
      <w:pPr>
        <w:ind w:left="420" w:right="120" w:hanging="412"/>
        <w:spacing w:after="0" w:line="256"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the description of target levels of corporate performance, business unit performance and individual objectives, as described under “Annual Non-Equity Incentive Compensation” in the Compensation Discussion and Analysis above. The amounts reported for fiscal 2020 were paid in fiscal 2021 promptly after approval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890" w:right="379" w:bottom="1440" w:gutter="0" w:footer="0" w:header="0"/>
        </w:sectPr>
      </w:pPr>
    </w:p>
    <w:bookmarkStart w:id="23" w:name="page24"/>
    <w:bookmarkEnd w:id="23"/>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reported for fiscal 2020 include:</w:t>
      </w:r>
    </w:p>
    <w:p>
      <w:pPr>
        <w:spacing w:after="0" w:line="9" w:lineRule="exact"/>
        <w:rPr>
          <w:rFonts w:ascii="Arial" w:cs="Arial" w:eastAsia="Arial" w:hAnsi="Arial"/>
          <w:sz w:val="18"/>
          <w:szCs w:val="18"/>
          <w:color w:val="auto"/>
        </w:rPr>
      </w:pPr>
    </w:p>
    <w:p>
      <w:pPr>
        <w:ind w:left="740" w:right="60" w:hanging="327"/>
        <w:spacing w:after="0" w:line="282" w:lineRule="auto"/>
        <w:tabs>
          <w:tab w:leader="none" w:pos="708" w:val="left"/>
        </w:tabs>
        <w:numPr>
          <w:ilvl w:val="1"/>
          <w:numId w:val="18"/>
        </w:numPr>
        <w:rPr>
          <w:rFonts w:ascii="Arial" w:cs="Arial" w:eastAsia="Arial" w:hAnsi="Arial"/>
          <w:sz w:val="17"/>
          <w:szCs w:val="17"/>
          <w:color w:val="auto"/>
        </w:rPr>
      </w:pPr>
      <w:r>
        <w:rPr>
          <w:rFonts w:ascii="Arial" w:cs="Arial" w:eastAsia="Arial" w:hAnsi="Arial"/>
          <w:sz w:val="17"/>
          <w:szCs w:val="17"/>
          <w:color w:val="auto"/>
        </w:rPr>
        <w:t>Contributions by the company on behalf of each of each of our named executive officers to our nonqualified deferred compensation plan, profit sharing plan, ESOP and employer matching contributions to our 401(k) plan, if applicable, as set forth below.</w:t>
      </w:r>
    </w:p>
    <w:tbl>
      <w:tblPr>
        <w:tblLayout w:type="fixed"/>
        <w:tblInd w:w="750" w:type="dxa"/>
        <w:tblCellMar>
          <w:top w:w="0" w:type="dxa"/>
          <w:left w:w="0" w:type="dxa"/>
          <w:bottom w:w="0" w:type="dxa"/>
          <w:right w:w="0" w:type="dxa"/>
        </w:tblCellMar>
      </w:tblPr>
      <w:tr>
        <w:trPr>
          <w:trHeight w:val="170"/>
        </w:trPr>
        <w:tc>
          <w:tcPr>
            <w:tcW w:w="2800" w:type="dxa"/>
            <w:vAlign w:val="bottom"/>
            <w:tcBorders>
              <w:top w:val="single" w:sz="8" w:color="auto"/>
              <w:lef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Nonqualified Deferred</w:t>
            </w: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right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Employer Matching</w:t>
            </w:r>
          </w:p>
        </w:tc>
      </w:tr>
      <w:tr>
        <w:trPr>
          <w:trHeight w:val="196"/>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B3B3B3"/>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Compensation Plan</w:t>
            </w:r>
          </w:p>
        </w:tc>
        <w:tc>
          <w:tcPr>
            <w:tcW w:w="100" w:type="dxa"/>
            <w:vAlign w:val="bottom"/>
            <w:tcBorders>
              <w:bottom w:val="single" w:sz="8" w:color="B3B3B3"/>
            </w:tcBorders>
          </w:tcPr>
          <w:p>
            <w:pPr>
              <w:spacing w:after="0"/>
              <w:rPr>
                <w:sz w:val="17"/>
                <w:szCs w:val="17"/>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Profit Sharing Plan</w:t>
            </w:r>
          </w:p>
        </w:tc>
        <w:tc>
          <w:tcPr>
            <w:tcW w:w="120" w:type="dxa"/>
            <w:vAlign w:val="bottom"/>
            <w:tcBorders>
              <w:bottom w:val="single" w:sz="8" w:color="B3B3B3"/>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ESOP</w:t>
            </w:r>
          </w:p>
        </w:tc>
        <w:tc>
          <w:tcPr>
            <w:tcW w:w="120" w:type="dxa"/>
            <w:vAlign w:val="bottom"/>
            <w:tcBorders>
              <w:bottom w:val="single" w:sz="8" w:color="B3B3B3"/>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Contribution to 401(k)</w:t>
            </w:r>
          </w:p>
        </w:tc>
      </w:tr>
      <w:tr>
        <w:trPr>
          <w:trHeight w:val="256"/>
        </w:trPr>
        <w:tc>
          <w:tcPr>
            <w:tcW w:w="296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B3B3B3"/>
          </w:tcPr>
          <w:p>
            <w:pPr>
              <w:jc w:val="right"/>
              <w:ind w:right="53"/>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B3B3B3"/>
          </w:tcPr>
          <w:p>
            <w:pPr>
              <w:spacing w:after="0"/>
              <w:rPr>
                <w:sz w:val="22"/>
                <w:szCs w:val="22"/>
                <w:color w:val="auto"/>
              </w:rPr>
            </w:pPr>
          </w:p>
        </w:tc>
        <w:tc>
          <w:tcPr>
            <w:tcW w:w="440" w:type="dxa"/>
            <w:vAlign w:val="bottom"/>
            <w:shd w:val="clear" w:color="auto" w:fill="B3B3B3"/>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shd w:val="clear" w:color="auto" w:fill="B3B3B3"/>
          </w:tcPr>
          <w:p>
            <w:pPr>
              <w:jc w:val="right"/>
              <w:ind w:right="75"/>
              <w:spacing w:after="0"/>
              <w:rPr>
                <w:sz w:val="20"/>
                <w:szCs w:val="20"/>
                <w:color w:val="auto"/>
              </w:rPr>
            </w:pPr>
            <w:r>
              <w:rPr>
                <w:rFonts w:ascii="Arial" w:cs="Arial" w:eastAsia="Arial" w:hAnsi="Arial"/>
                <w:sz w:val="18"/>
                <w:szCs w:val="18"/>
                <w:color w:val="auto"/>
              </w:rPr>
              <w:t>14,000</w:t>
            </w:r>
          </w:p>
        </w:tc>
      </w:tr>
      <w:tr>
        <w:trPr>
          <w:trHeight w:val="250"/>
        </w:trPr>
        <w:tc>
          <w:tcPr>
            <w:tcW w:w="29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tcPr>
          <w:p>
            <w:pPr>
              <w:jc w:val="right"/>
              <w:ind w:right="75"/>
              <w:spacing w:after="0"/>
              <w:rPr>
                <w:sz w:val="20"/>
                <w:szCs w:val="20"/>
                <w:color w:val="auto"/>
              </w:rPr>
            </w:pPr>
            <w:r>
              <w:rPr>
                <w:rFonts w:ascii="Arial" w:cs="Arial" w:eastAsia="Arial" w:hAnsi="Arial"/>
                <w:sz w:val="18"/>
                <w:szCs w:val="18"/>
                <w:color w:val="auto"/>
              </w:rPr>
              <w:t>14,000</w:t>
            </w:r>
          </w:p>
        </w:tc>
      </w:tr>
      <w:tr>
        <w:trPr>
          <w:trHeight w:val="263"/>
        </w:trPr>
        <w:tc>
          <w:tcPr>
            <w:tcW w:w="296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Richard G. Erstad</w:t>
            </w:r>
          </w:p>
        </w:tc>
        <w:tc>
          <w:tcPr>
            <w:tcW w:w="14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B3B3B3"/>
          </w:tcPr>
          <w:p>
            <w:pPr>
              <w:jc w:val="right"/>
              <w:ind w:right="53"/>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B3B3B3"/>
          </w:tcPr>
          <w:p>
            <w:pPr>
              <w:spacing w:after="0"/>
              <w:rPr>
                <w:sz w:val="22"/>
                <w:szCs w:val="22"/>
                <w:color w:val="auto"/>
              </w:rPr>
            </w:pPr>
          </w:p>
        </w:tc>
        <w:tc>
          <w:tcPr>
            <w:tcW w:w="440" w:type="dxa"/>
            <w:vAlign w:val="bottom"/>
            <w:shd w:val="clear" w:color="auto" w:fill="B3B3B3"/>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shd w:val="clear" w:color="auto" w:fill="B3B3B3"/>
          </w:tcPr>
          <w:p>
            <w:pPr>
              <w:jc w:val="right"/>
              <w:ind w:right="75"/>
              <w:spacing w:after="0"/>
              <w:rPr>
                <w:sz w:val="20"/>
                <w:szCs w:val="20"/>
                <w:color w:val="auto"/>
              </w:rPr>
            </w:pPr>
            <w:r>
              <w:rPr>
                <w:rFonts w:ascii="Arial" w:cs="Arial" w:eastAsia="Arial" w:hAnsi="Arial"/>
                <w:sz w:val="18"/>
                <w:szCs w:val="18"/>
                <w:color w:val="auto"/>
              </w:rPr>
              <w:t>14,000</w:t>
            </w:r>
          </w:p>
        </w:tc>
      </w:tr>
      <w:tr>
        <w:trPr>
          <w:trHeight w:val="250"/>
        </w:trPr>
        <w:tc>
          <w:tcPr>
            <w:tcW w:w="29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Thomas J. Keller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tcPr>
          <w:p>
            <w:pPr>
              <w:jc w:val="right"/>
              <w:ind w:right="75"/>
              <w:spacing w:after="0"/>
              <w:rPr>
                <w:sz w:val="20"/>
                <w:szCs w:val="20"/>
                <w:color w:val="auto"/>
              </w:rPr>
            </w:pPr>
            <w:r>
              <w:rPr>
                <w:rFonts w:ascii="Arial" w:cs="Arial" w:eastAsia="Arial" w:hAnsi="Arial"/>
                <w:sz w:val="18"/>
                <w:szCs w:val="18"/>
                <w:color w:val="auto"/>
              </w:rPr>
              <w:t>14,000</w:t>
            </w:r>
          </w:p>
        </w:tc>
      </w:tr>
      <w:tr>
        <w:trPr>
          <w:trHeight w:val="257"/>
        </w:trPr>
        <w:tc>
          <w:tcPr>
            <w:tcW w:w="296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John R. Sevenich</w:t>
            </w:r>
          </w:p>
        </w:tc>
        <w:tc>
          <w:tcPr>
            <w:tcW w:w="1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B3B3B3"/>
          </w:tcPr>
          <w:p>
            <w:pPr>
              <w:jc w:val="right"/>
              <w:ind w:right="53"/>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auto"/>
            </w:tcBorders>
            <w:shd w:val="clear" w:color="auto" w:fill="B3B3B3"/>
          </w:tcPr>
          <w:p>
            <w:pPr>
              <w:spacing w:after="0"/>
              <w:rPr>
                <w:sz w:val="22"/>
                <w:szCs w:val="22"/>
                <w:color w:val="auto"/>
              </w:rPr>
            </w:pPr>
          </w:p>
        </w:tc>
        <w:tc>
          <w:tcPr>
            <w:tcW w:w="440" w:type="dxa"/>
            <w:vAlign w:val="bottom"/>
            <w:tcBorders>
              <w:bottom w:val="single" w:sz="8" w:color="auto"/>
            </w:tcBorders>
            <w:shd w:val="clear" w:color="auto" w:fill="B3B3B3"/>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3B3B3"/>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shd w:val="clear" w:color="auto" w:fill="B3B3B3"/>
          </w:tcPr>
          <w:p>
            <w:pPr>
              <w:jc w:val="right"/>
              <w:ind w:right="75"/>
              <w:spacing w:after="0"/>
              <w:rPr>
                <w:sz w:val="20"/>
                <w:szCs w:val="20"/>
                <w:color w:val="auto"/>
              </w:rPr>
            </w:pPr>
            <w:r>
              <w:rPr>
                <w:rFonts w:ascii="Arial" w:cs="Arial" w:eastAsia="Arial" w:hAnsi="Arial"/>
                <w:sz w:val="18"/>
                <w:szCs w:val="18"/>
                <w:color w:val="auto"/>
              </w:rPr>
              <w:t>14,000</w:t>
            </w:r>
          </w:p>
        </w:tc>
      </w:tr>
    </w:tbl>
    <w:p>
      <w:pPr>
        <w:spacing w:after="0" w:line="107" w:lineRule="exact"/>
        <w:rPr>
          <w:sz w:val="20"/>
          <w:szCs w:val="20"/>
          <w:color w:val="auto"/>
        </w:rPr>
      </w:pPr>
    </w:p>
    <w:p>
      <w:pPr>
        <w:ind w:left="740" w:right="140" w:hanging="327"/>
        <w:spacing w:after="0" w:line="254"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remaining amount included for each individual, if any,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68"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Oldenkamp’s employment with us commenced in the first quarter of fiscal 2018.</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2020.</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300" w:type="dxa"/>
            <w:vAlign w:val="bottom"/>
            <w:tcBorders>
              <w:top w:val="single" w:sz="8" w:color="auto"/>
              <w:lef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Estimated Future Payouts Under</w:t>
            </w:r>
          </w:p>
        </w:tc>
        <w:tc>
          <w:tcPr>
            <w:tcW w:w="29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68"/>
        </w:trPr>
        <w:tc>
          <w:tcPr>
            <w:tcW w:w="130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20" w:type="dxa"/>
            <w:vAlign w:val="bottom"/>
            <w:gridSpan w:val="5"/>
            <w:vMerge w:val="restart"/>
          </w:tcPr>
          <w:p>
            <w:pPr>
              <w:jc w:val="right"/>
              <w:ind w:right="175"/>
              <w:spacing w:after="0"/>
              <w:rPr>
                <w:sz w:val="20"/>
                <w:szCs w:val="20"/>
                <w:color w:val="auto"/>
              </w:rPr>
            </w:pPr>
            <w:r>
              <w:rPr>
                <w:rFonts w:ascii="Arial" w:cs="Arial" w:eastAsia="Arial" w:hAnsi="Arial"/>
                <w:sz w:val="14"/>
                <w:szCs w:val="14"/>
                <w:b w:val="1"/>
                <w:bCs w:val="1"/>
                <w:color w:val="auto"/>
              </w:rPr>
              <w:t>Non-Equity Incentive Plan Awards(a)</w:t>
            </w:r>
          </w:p>
        </w:tc>
        <w:tc>
          <w:tcPr>
            <w:tcW w:w="100" w:type="dxa"/>
            <w:vAlign w:val="bottom"/>
            <w:vMerge w:val="restart"/>
          </w:tcPr>
          <w:p>
            <w:pPr>
              <w:spacing w:after="0"/>
              <w:rPr>
                <w:sz w:val="5"/>
                <w:szCs w:val="5"/>
                <w:color w:val="auto"/>
              </w:rPr>
            </w:pPr>
          </w:p>
        </w:tc>
        <w:tc>
          <w:tcPr>
            <w:tcW w:w="2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Equity Incentive Plan Awards(b)</w:t>
            </w:r>
          </w:p>
        </w:tc>
        <w:tc>
          <w:tcPr>
            <w:tcW w:w="10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Borders>
              <w:bottom w:val="single" w:sz="8" w:color="auto"/>
            </w:tcBorders>
            <w:gridSpan w:val="5"/>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980" w:type="dxa"/>
            <w:vAlign w:val="bottom"/>
            <w:tcBorders>
              <w:bottom w:val="single" w:sz="8" w:color="auto"/>
            </w:tcBorders>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Maximum</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Target</w:t>
            </w:r>
          </w:p>
        </w:tc>
        <w:tc>
          <w:tcPr>
            <w:tcW w:w="920" w:type="dxa"/>
            <w:vAlign w:val="bottom"/>
          </w:tcPr>
          <w:p>
            <w:pPr>
              <w:jc w:val="right"/>
              <w:ind w:right="5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B3B3B3"/>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B3B3B3"/>
            </w:tcBorders>
          </w:tcPr>
          <w:p>
            <w:pPr>
              <w:spacing w:after="0"/>
              <w:rPr>
                <w:sz w:val="17"/>
                <w:szCs w:val="17"/>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7"/>
                <w:szCs w:val="17"/>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7"/>
                <w:szCs w:val="17"/>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5/23/2019</w:t>
            </w:r>
          </w:p>
        </w:tc>
        <w:tc>
          <w:tcPr>
            <w:tcW w:w="1020" w:type="dxa"/>
            <w:vAlign w:val="bottom"/>
            <w:gridSpan w:val="2"/>
            <w:shd w:val="clear" w:color="auto" w:fill="B3B3B3"/>
          </w:tcPr>
          <w:p>
            <w:pPr>
              <w:jc w:val="right"/>
              <w:ind w:right="68"/>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B3B3B3"/>
          </w:tcPr>
          <w:p>
            <w:pPr>
              <w:spacing w:after="0"/>
              <w:rPr>
                <w:sz w:val="19"/>
                <w:szCs w:val="19"/>
                <w:color w:val="auto"/>
              </w:rPr>
            </w:pPr>
          </w:p>
        </w:tc>
        <w:tc>
          <w:tcPr>
            <w:tcW w:w="920" w:type="dxa"/>
            <w:vAlign w:val="bottom"/>
            <w:shd w:val="clear" w:color="auto" w:fill="B3B3B3"/>
          </w:tcPr>
          <w:p>
            <w:pPr>
              <w:jc w:val="center"/>
              <w:spacing w:after="0"/>
              <w:rPr>
                <w:sz w:val="20"/>
                <w:szCs w:val="20"/>
                <w:color w:val="auto"/>
              </w:rPr>
            </w:pPr>
            <w:r>
              <w:rPr>
                <w:rFonts w:ascii="Arial" w:cs="Arial" w:eastAsia="Arial" w:hAnsi="Arial"/>
                <w:sz w:val="18"/>
                <w:szCs w:val="18"/>
                <w:color w:val="auto"/>
                <w:w w:val="98"/>
              </w:rPr>
              <w:t>500,000</w:t>
            </w:r>
          </w:p>
        </w:tc>
        <w:tc>
          <w:tcPr>
            <w:tcW w:w="100" w:type="dxa"/>
            <w:vAlign w:val="bottom"/>
            <w:shd w:val="clear" w:color="auto" w:fill="B3B3B3"/>
          </w:tcPr>
          <w:p>
            <w:pPr>
              <w:spacing w:after="0"/>
              <w:rPr>
                <w:sz w:val="19"/>
                <w:szCs w:val="19"/>
                <w:color w:val="auto"/>
              </w:rPr>
            </w:pPr>
          </w:p>
        </w:tc>
        <w:tc>
          <w:tcPr>
            <w:tcW w:w="96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w w:val="99"/>
              </w:rPr>
              <w:t>1,000,000</w:t>
            </w:r>
          </w:p>
        </w:tc>
        <w:tc>
          <w:tcPr>
            <w:tcW w:w="100" w:type="dxa"/>
            <w:vAlign w:val="bottom"/>
            <w:shd w:val="clear" w:color="auto" w:fill="B3B3B3"/>
          </w:tcPr>
          <w:p>
            <w:pPr>
              <w:spacing w:after="0"/>
              <w:rPr>
                <w:sz w:val="19"/>
                <w:szCs w:val="19"/>
                <w:color w:val="auto"/>
              </w:rPr>
            </w:pPr>
          </w:p>
        </w:tc>
        <w:tc>
          <w:tcPr>
            <w:tcW w:w="92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90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92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Hawkins</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5/23/2019</w:t>
            </w:r>
          </w:p>
        </w:tc>
        <w:tc>
          <w:tcPr>
            <w:tcW w:w="100" w:type="dxa"/>
            <w:vAlign w:val="bottom"/>
            <w:shd w:val="clear" w:color="auto" w:fill="B3B3B3"/>
          </w:tcPr>
          <w:p>
            <w:pPr>
              <w:spacing w:after="0"/>
              <w:rPr>
                <w:sz w:val="24"/>
                <w:szCs w:val="24"/>
                <w:color w:val="auto"/>
              </w:rPr>
            </w:pPr>
          </w:p>
        </w:tc>
        <w:tc>
          <w:tcPr>
            <w:tcW w:w="920" w:type="dxa"/>
            <w:vAlign w:val="bottom"/>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920" w:type="dxa"/>
            <w:vAlign w:val="bottom"/>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960" w:type="dxa"/>
            <w:vAlign w:val="bottom"/>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920" w:type="dxa"/>
            <w:vAlign w:val="bottom"/>
            <w:shd w:val="clear" w:color="auto" w:fill="B3B3B3"/>
          </w:tcPr>
          <w:p>
            <w:pPr>
              <w:jc w:val="right"/>
              <w:ind w:right="58"/>
              <w:spacing w:after="0"/>
              <w:rPr>
                <w:sz w:val="20"/>
                <w:szCs w:val="20"/>
                <w:color w:val="auto"/>
              </w:rPr>
            </w:pPr>
            <w:r>
              <w:rPr>
                <w:rFonts w:ascii="Arial" w:cs="Arial" w:eastAsia="Arial" w:hAnsi="Arial"/>
                <w:sz w:val="18"/>
                <w:szCs w:val="18"/>
                <w:color w:val="auto"/>
              </w:rPr>
              <w:t>7,248</w:t>
            </w:r>
          </w:p>
        </w:tc>
        <w:tc>
          <w:tcPr>
            <w:tcW w:w="120" w:type="dxa"/>
            <w:vAlign w:val="bottom"/>
            <w:shd w:val="clear" w:color="auto" w:fill="B3B3B3"/>
          </w:tcPr>
          <w:p>
            <w:pPr>
              <w:spacing w:after="0"/>
              <w:rPr>
                <w:sz w:val="24"/>
                <w:szCs w:val="24"/>
                <w:color w:val="auto"/>
              </w:rPr>
            </w:pPr>
          </w:p>
        </w:tc>
        <w:tc>
          <w:tcPr>
            <w:tcW w:w="90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rPr>
              <w:t>14,496</w:t>
            </w:r>
          </w:p>
        </w:tc>
        <w:tc>
          <w:tcPr>
            <w:tcW w:w="120" w:type="dxa"/>
            <w:vAlign w:val="bottom"/>
            <w:shd w:val="clear" w:color="auto" w:fill="B3B3B3"/>
          </w:tcPr>
          <w:p>
            <w:pPr>
              <w:spacing w:after="0"/>
              <w:rPr>
                <w:sz w:val="24"/>
                <w:szCs w:val="24"/>
                <w:color w:val="auto"/>
              </w:rPr>
            </w:pPr>
          </w:p>
        </w:tc>
        <w:tc>
          <w:tcPr>
            <w:tcW w:w="92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rPr>
              <w:t>21,744</w:t>
            </w:r>
          </w:p>
        </w:tc>
        <w:tc>
          <w:tcPr>
            <w:tcW w:w="1460" w:type="dxa"/>
            <w:vAlign w:val="bottom"/>
            <w:tcBorders>
              <w:right w:val="single" w:sz="8" w:color="auto"/>
            </w:tcBorders>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499,967</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w:t>
            </w:r>
          </w:p>
        </w:tc>
        <w:tc>
          <w:tcPr>
            <w:tcW w:w="1080" w:type="dxa"/>
            <w:vAlign w:val="bottom"/>
          </w:tcPr>
          <w:p>
            <w:pPr>
              <w:jc w:val="right"/>
              <w:spacing w:after="0"/>
              <w:rPr>
                <w:sz w:val="20"/>
                <w:szCs w:val="20"/>
                <w:color w:val="auto"/>
              </w:rPr>
            </w:pPr>
            <w:r>
              <w:rPr>
                <w:rFonts w:ascii="Arial" w:cs="Arial" w:eastAsia="Arial" w:hAnsi="Arial"/>
                <w:sz w:val="18"/>
                <w:szCs w:val="18"/>
                <w:color w:val="auto"/>
              </w:rPr>
              <w:t>5/23/2019</w:t>
            </w: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90,125</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180,250</w:t>
            </w:r>
          </w:p>
        </w:tc>
        <w:tc>
          <w:tcPr>
            <w:tcW w:w="1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360,500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Oldenkamp</w:t>
            </w:r>
          </w:p>
        </w:tc>
        <w:tc>
          <w:tcPr>
            <w:tcW w:w="1080" w:type="dxa"/>
            <w:vAlign w:val="bottom"/>
          </w:tcPr>
          <w:p>
            <w:pPr>
              <w:jc w:val="right"/>
              <w:spacing w:after="0"/>
              <w:rPr>
                <w:sz w:val="20"/>
                <w:szCs w:val="20"/>
                <w:color w:val="auto"/>
              </w:rPr>
            </w:pPr>
            <w:r>
              <w:rPr>
                <w:rFonts w:ascii="Arial" w:cs="Arial" w:eastAsia="Arial" w:hAnsi="Arial"/>
                <w:sz w:val="18"/>
                <w:szCs w:val="18"/>
                <w:color w:val="auto"/>
              </w:rPr>
              <w:t>5/23/2019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24"/>
                <w:szCs w:val="24"/>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10,190</w:t>
            </w:r>
          </w:p>
        </w:tc>
        <w:tc>
          <w:tcPr>
            <w:tcW w:w="1460" w:type="dxa"/>
            <w:vAlign w:val="bottom"/>
            <w:tcBorders>
              <w:right w:val="single" w:sz="8" w:color="auto"/>
            </w:tcBorders>
            <w:gridSpan w:val="2"/>
          </w:tcPr>
          <w:p>
            <w:pPr>
              <w:jc w:val="right"/>
              <w:ind w:right="88"/>
              <w:spacing w:after="0"/>
              <w:rPr>
                <w:sz w:val="20"/>
                <w:szCs w:val="20"/>
                <w:color w:val="auto"/>
              </w:rPr>
            </w:pPr>
            <w:r>
              <w:rPr>
                <w:rFonts w:ascii="Arial" w:cs="Arial" w:eastAsia="Arial" w:hAnsi="Arial"/>
                <w:sz w:val="18"/>
                <w:szCs w:val="18"/>
                <w:color w:val="auto"/>
              </w:rPr>
              <w:t>234,291</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Richard G.</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5/23/2019</w:t>
            </w:r>
          </w:p>
        </w:tc>
        <w:tc>
          <w:tcPr>
            <w:tcW w:w="1020" w:type="dxa"/>
            <w:vAlign w:val="bottom"/>
            <w:gridSpan w:val="2"/>
            <w:shd w:val="clear" w:color="auto" w:fill="B3B3B3"/>
          </w:tcPr>
          <w:p>
            <w:pPr>
              <w:jc w:val="right"/>
              <w:ind w:right="68"/>
              <w:spacing w:after="0"/>
              <w:rPr>
                <w:sz w:val="20"/>
                <w:szCs w:val="20"/>
                <w:color w:val="auto"/>
              </w:rPr>
            </w:pPr>
            <w:r>
              <w:rPr>
                <w:rFonts w:ascii="Arial" w:cs="Arial" w:eastAsia="Arial" w:hAnsi="Arial"/>
                <w:sz w:val="18"/>
                <w:szCs w:val="18"/>
                <w:color w:val="auto"/>
              </w:rPr>
              <w:t>57,946</w:t>
            </w: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jc w:val="center"/>
              <w:spacing w:after="0"/>
              <w:rPr>
                <w:sz w:val="20"/>
                <w:szCs w:val="20"/>
                <w:color w:val="auto"/>
              </w:rPr>
            </w:pPr>
            <w:r>
              <w:rPr>
                <w:rFonts w:ascii="Arial" w:cs="Arial" w:eastAsia="Arial" w:hAnsi="Arial"/>
                <w:sz w:val="18"/>
                <w:szCs w:val="18"/>
                <w:color w:val="auto"/>
                <w:w w:val="98"/>
              </w:rPr>
              <w:t>115,892</w:t>
            </w:r>
          </w:p>
        </w:tc>
        <w:tc>
          <w:tcPr>
            <w:tcW w:w="100" w:type="dxa"/>
            <w:vAlign w:val="bottom"/>
            <w:shd w:val="clear" w:color="auto" w:fill="B3B3B3"/>
          </w:tcPr>
          <w:p>
            <w:pPr>
              <w:spacing w:after="0"/>
              <w:rPr>
                <w:sz w:val="20"/>
                <w:szCs w:val="20"/>
                <w:color w:val="auto"/>
              </w:rPr>
            </w:pPr>
          </w:p>
        </w:tc>
        <w:tc>
          <w:tcPr>
            <w:tcW w:w="96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rPr>
              <w:t>231,784</w:t>
            </w: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0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1360" w:type="dxa"/>
            <w:vAlign w:val="bottom"/>
            <w:tcBorders>
              <w:right w:val="single" w:sz="8" w:color="auto"/>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Erstad</w:t>
            </w: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5/23/2019</w:t>
            </w:r>
          </w:p>
        </w:tc>
        <w:tc>
          <w:tcPr>
            <w:tcW w:w="100" w:type="dxa"/>
            <w:vAlign w:val="bottom"/>
            <w:shd w:val="clear" w:color="auto" w:fill="B3B3B3"/>
          </w:tcPr>
          <w:p>
            <w:pPr>
              <w:spacing w:after="0"/>
              <w:rPr>
                <w:sz w:val="24"/>
                <w:szCs w:val="24"/>
                <w:color w:val="auto"/>
              </w:rPr>
            </w:pPr>
          </w:p>
        </w:tc>
        <w:tc>
          <w:tcPr>
            <w:tcW w:w="920" w:type="dxa"/>
            <w:vAlign w:val="bottom"/>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920" w:type="dxa"/>
            <w:vAlign w:val="bottom"/>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960" w:type="dxa"/>
            <w:vAlign w:val="bottom"/>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920" w:type="dxa"/>
            <w:vAlign w:val="bottom"/>
            <w:shd w:val="clear" w:color="auto" w:fill="B3B3B3"/>
          </w:tcPr>
          <w:p>
            <w:pPr>
              <w:jc w:val="right"/>
              <w:ind w:right="58"/>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B3B3B3"/>
          </w:tcPr>
          <w:p>
            <w:pPr>
              <w:spacing w:after="0"/>
              <w:rPr>
                <w:sz w:val="24"/>
                <w:szCs w:val="24"/>
                <w:color w:val="auto"/>
              </w:rPr>
            </w:pPr>
          </w:p>
        </w:tc>
        <w:tc>
          <w:tcPr>
            <w:tcW w:w="90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B3B3B3"/>
          </w:tcPr>
          <w:p>
            <w:pPr>
              <w:spacing w:after="0"/>
              <w:rPr>
                <w:sz w:val="24"/>
                <w:szCs w:val="24"/>
                <w:color w:val="auto"/>
              </w:rPr>
            </w:pPr>
          </w:p>
        </w:tc>
        <w:tc>
          <w:tcPr>
            <w:tcW w:w="92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rPr>
              <w:t>8,181</w:t>
            </w:r>
          </w:p>
        </w:tc>
        <w:tc>
          <w:tcPr>
            <w:tcW w:w="1460" w:type="dxa"/>
            <w:vAlign w:val="bottom"/>
            <w:tcBorders>
              <w:right w:val="single" w:sz="8" w:color="auto"/>
            </w:tcBorders>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188,108</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Thomas J.</w:t>
            </w:r>
          </w:p>
        </w:tc>
        <w:tc>
          <w:tcPr>
            <w:tcW w:w="1080" w:type="dxa"/>
            <w:vAlign w:val="bottom"/>
          </w:tcPr>
          <w:p>
            <w:pPr>
              <w:jc w:val="right"/>
              <w:spacing w:after="0"/>
              <w:rPr>
                <w:sz w:val="20"/>
                <w:szCs w:val="20"/>
                <w:color w:val="auto"/>
              </w:rPr>
            </w:pPr>
            <w:r>
              <w:rPr>
                <w:rFonts w:ascii="Arial" w:cs="Arial" w:eastAsia="Arial" w:hAnsi="Arial"/>
                <w:sz w:val="18"/>
                <w:szCs w:val="18"/>
                <w:color w:val="auto"/>
              </w:rPr>
              <w:t>5/23/2019</w:t>
            </w: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55,620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111,240</w:t>
            </w:r>
          </w:p>
        </w:tc>
        <w:tc>
          <w:tcPr>
            <w:tcW w:w="1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222,480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Keller</w:t>
            </w:r>
          </w:p>
        </w:tc>
        <w:tc>
          <w:tcPr>
            <w:tcW w:w="1080" w:type="dxa"/>
            <w:vAlign w:val="bottom"/>
          </w:tcPr>
          <w:p>
            <w:pPr>
              <w:jc w:val="right"/>
              <w:spacing w:after="0"/>
              <w:rPr>
                <w:sz w:val="20"/>
                <w:szCs w:val="20"/>
                <w:color w:val="auto"/>
              </w:rPr>
            </w:pPr>
            <w:r>
              <w:rPr>
                <w:rFonts w:ascii="Arial" w:cs="Arial" w:eastAsia="Arial" w:hAnsi="Arial"/>
                <w:sz w:val="18"/>
                <w:szCs w:val="18"/>
                <w:color w:val="auto"/>
              </w:rPr>
              <w:t>5/23/2019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24"/>
                <w:szCs w:val="24"/>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7,256</w:t>
            </w:r>
          </w:p>
        </w:tc>
        <w:tc>
          <w:tcPr>
            <w:tcW w:w="1460" w:type="dxa"/>
            <w:vAlign w:val="bottom"/>
            <w:tcBorders>
              <w:right w:val="single" w:sz="8" w:color="auto"/>
            </w:tcBorders>
            <w:gridSpan w:val="2"/>
          </w:tcPr>
          <w:p>
            <w:pPr>
              <w:jc w:val="right"/>
              <w:ind w:right="88"/>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35"/>
        </w:trPr>
        <w:tc>
          <w:tcPr>
            <w:tcW w:w="13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John R.</w:t>
            </w:r>
          </w:p>
        </w:tc>
        <w:tc>
          <w:tcPr>
            <w:tcW w:w="140" w:type="dxa"/>
            <w:vAlign w:val="bottom"/>
            <w:shd w:val="clear" w:color="auto" w:fill="B3B3B3"/>
          </w:tcPr>
          <w:p>
            <w:pPr>
              <w:spacing w:after="0"/>
              <w:rPr>
                <w:sz w:val="20"/>
                <w:szCs w:val="20"/>
                <w:color w:val="auto"/>
              </w:rPr>
            </w:pPr>
          </w:p>
        </w:tc>
        <w:tc>
          <w:tcPr>
            <w:tcW w:w="1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5/23/2019</w:t>
            </w:r>
          </w:p>
        </w:tc>
        <w:tc>
          <w:tcPr>
            <w:tcW w:w="1020" w:type="dxa"/>
            <w:vAlign w:val="bottom"/>
            <w:gridSpan w:val="2"/>
            <w:shd w:val="clear" w:color="auto" w:fill="B3B3B3"/>
          </w:tcPr>
          <w:p>
            <w:pPr>
              <w:jc w:val="right"/>
              <w:ind w:right="68"/>
              <w:spacing w:after="0"/>
              <w:rPr>
                <w:sz w:val="20"/>
                <w:szCs w:val="20"/>
                <w:color w:val="auto"/>
              </w:rPr>
            </w:pPr>
            <w:r>
              <w:rPr>
                <w:rFonts w:ascii="Arial" w:cs="Arial" w:eastAsia="Arial" w:hAnsi="Arial"/>
                <w:sz w:val="18"/>
                <w:szCs w:val="18"/>
                <w:color w:val="auto"/>
              </w:rPr>
              <w:t>54,590</w:t>
            </w: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jc w:val="center"/>
              <w:spacing w:after="0"/>
              <w:rPr>
                <w:sz w:val="20"/>
                <w:szCs w:val="20"/>
                <w:color w:val="auto"/>
              </w:rPr>
            </w:pPr>
            <w:r>
              <w:rPr>
                <w:rFonts w:ascii="Arial" w:cs="Arial" w:eastAsia="Arial" w:hAnsi="Arial"/>
                <w:sz w:val="18"/>
                <w:szCs w:val="18"/>
                <w:color w:val="auto"/>
                <w:w w:val="98"/>
              </w:rPr>
              <w:t>109,180</w:t>
            </w:r>
          </w:p>
        </w:tc>
        <w:tc>
          <w:tcPr>
            <w:tcW w:w="100" w:type="dxa"/>
            <w:vAlign w:val="bottom"/>
            <w:shd w:val="clear" w:color="auto" w:fill="B3B3B3"/>
          </w:tcPr>
          <w:p>
            <w:pPr>
              <w:spacing w:after="0"/>
              <w:rPr>
                <w:sz w:val="20"/>
                <w:szCs w:val="20"/>
                <w:color w:val="auto"/>
              </w:rPr>
            </w:pPr>
          </w:p>
        </w:tc>
        <w:tc>
          <w:tcPr>
            <w:tcW w:w="960" w:type="dxa"/>
            <w:vAlign w:val="bottom"/>
            <w:shd w:val="clear" w:color="auto" w:fill="B3B3B3"/>
          </w:tcPr>
          <w:p>
            <w:pPr>
              <w:jc w:val="right"/>
              <w:ind w:right="55"/>
              <w:spacing w:after="0"/>
              <w:rPr>
                <w:sz w:val="20"/>
                <w:szCs w:val="20"/>
                <w:color w:val="auto"/>
              </w:rPr>
            </w:pPr>
            <w:r>
              <w:rPr>
                <w:rFonts w:ascii="Arial" w:cs="Arial" w:eastAsia="Arial" w:hAnsi="Arial"/>
                <w:sz w:val="18"/>
                <w:szCs w:val="18"/>
                <w:color w:val="auto"/>
              </w:rPr>
              <w:t>218,360</w:t>
            </w: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0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1360" w:type="dxa"/>
            <w:vAlign w:val="bottom"/>
            <w:tcBorders>
              <w:right w:val="single" w:sz="8" w:color="auto"/>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300" w:type="dxa"/>
            <w:vAlign w:val="bottom"/>
            <w:tcBorders>
              <w:left w:val="single" w:sz="8" w:color="auto"/>
              <w:bottom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Sevenich</w:t>
            </w:r>
          </w:p>
        </w:tc>
        <w:tc>
          <w:tcPr>
            <w:tcW w:w="140" w:type="dxa"/>
            <w:vAlign w:val="bottom"/>
            <w:tcBorders>
              <w:bottom w:val="single" w:sz="8" w:color="auto"/>
            </w:tcBorders>
            <w:shd w:val="clear" w:color="auto" w:fill="B3B3B3"/>
          </w:tcPr>
          <w:p>
            <w:pPr>
              <w:spacing w:after="0"/>
              <w:rPr>
                <w:sz w:val="24"/>
                <w:szCs w:val="24"/>
                <w:color w:val="auto"/>
              </w:rPr>
            </w:pPr>
          </w:p>
        </w:tc>
        <w:tc>
          <w:tcPr>
            <w:tcW w:w="1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5/23/2019</w:t>
            </w:r>
          </w:p>
        </w:tc>
        <w:tc>
          <w:tcPr>
            <w:tcW w:w="100" w:type="dxa"/>
            <w:vAlign w:val="bottom"/>
            <w:tcBorders>
              <w:bottom w:val="single" w:sz="8" w:color="auto"/>
            </w:tcBorders>
            <w:shd w:val="clear" w:color="auto" w:fill="B3B3B3"/>
          </w:tcPr>
          <w:p>
            <w:pPr>
              <w:spacing w:after="0"/>
              <w:rPr>
                <w:sz w:val="24"/>
                <w:szCs w:val="24"/>
                <w:color w:val="auto"/>
              </w:rPr>
            </w:pPr>
          </w:p>
        </w:tc>
        <w:tc>
          <w:tcPr>
            <w:tcW w:w="920" w:type="dxa"/>
            <w:vAlign w:val="bottom"/>
            <w:tcBorders>
              <w:bottom w:val="single" w:sz="8" w:color="auto"/>
            </w:tcBorders>
            <w:shd w:val="clear" w:color="auto" w:fill="B3B3B3"/>
          </w:tcPr>
          <w:p>
            <w:pPr>
              <w:spacing w:after="0"/>
              <w:rPr>
                <w:sz w:val="24"/>
                <w:szCs w:val="24"/>
                <w:color w:val="auto"/>
              </w:rPr>
            </w:pPr>
          </w:p>
        </w:tc>
        <w:tc>
          <w:tcPr>
            <w:tcW w:w="120" w:type="dxa"/>
            <w:vAlign w:val="bottom"/>
            <w:tcBorders>
              <w:bottom w:val="single" w:sz="8" w:color="auto"/>
            </w:tcBorders>
            <w:shd w:val="clear" w:color="auto" w:fill="B3B3B3"/>
          </w:tcPr>
          <w:p>
            <w:pPr>
              <w:spacing w:after="0"/>
              <w:rPr>
                <w:sz w:val="24"/>
                <w:szCs w:val="24"/>
                <w:color w:val="auto"/>
              </w:rPr>
            </w:pPr>
          </w:p>
        </w:tc>
        <w:tc>
          <w:tcPr>
            <w:tcW w:w="920" w:type="dxa"/>
            <w:vAlign w:val="bottom"/>
            <w:tcBorders>
              <w:bottom w:val="single" w:sz="8" w:color="auto"/>
            </w:tcBorders>
            <w:shd w:val="clear" w:color="auto" w:fill="B3B3B3"/>
          </w:tcPr>
          <w:p>
            <w:pPr>
              <w:spacing w:after="0"/>
              <w:rPr>
                <w:sz w:val="24"/>
                <w:szCs w:val="24"/>
                <w:color w:val="auto"/>
              </w:rPr>
            </w:pPr>
          </w:p>
        </w:tc>
        <w:tc>
          <w:tcPr>
            <w:tcW w:w="100" w:type="dxa"/>
            <w:vAlign w:val="bottom"/>
            <w:tcBorders>
              <w:bottom w:val="single" w:sz="8" w:color="auto"/>
            </w:tcBorders>
            <w:shd w:val="clear" w:color="auto" w:fill="B3B3B3"/>
          </w:tcPr>
          <w:p>
            <w:pPr>
              <w:spacing w:after="0"/>
              <w:rPr>
                <w:sz w:val="24"/>
                <w:szCs w:val="24"/>
                <w:color w:val="auto"/>
              </w:rPr>
            </w:pPr>
          </w:p>
        </w:tc>
        <w:tc>
          <w:tcPr>
            <w:tcW w:w="960" w:type="dxa"/>
            <w:vAlign w:val="bottom"/>
            <w:tcBorders>
              <w:bottom w:val="single" w:sz="8" w:color="auto"/>
            </w:tcBorders>
            <w:shd w:val="clear" w:color="auto" w:fill="B3B3B3"/>
          </w:tcPr>
          <w:p>
            <w:pPr>
              <w:spacing w:after="0"/>
              <w:rPr>
                <w:sz w:val="24"/>
                <w:szCs w:val="24"/>
                <w:color w:val="auto"/>
              </w:rPr>
            </w:pPr>
          </w:p>
        </w:tc>
        <w:tc>
          <w:tcPr>
            <w:tcW w:w="100" w:type="dxa"/>
            <w:vAlign w:val="bottom"/>
            <w:tcBorders>
              <w:bottom w:val="single" w:sz="8" w:color="auto"/>
            </w:tcBorders>
            <w:shd w:val="clear" w:color="auto" w:fill="B3B3B3"/>
          </w:tcPr>
          <w:p>
            <w:pPr>
              <w:spacing w:after="0"/>
              <w:rPr>
                <w:sz w:val="24"/>
                <w:szCs w:val="24"/>
                <w:color w:val="auto"/>
              </w:rPr>
            </w:pPr>
          </w:p>
        </w:tc>
        <w:tc>
          <w:tcPr>
            <w:tcW w:w="920" w:type="dxa"/>
            <w:vAlign w:val="bottom"/>
            <w:tcBorders>
              <w:bottom w:val="single" w:sz="8" w:color="auto"/>
            </w:tcBorders>
            <w:shd w:val="clear" w:color="auto" w:fill="B3B3B3"/>
          </w:tcPr>
          <w:p>
            <w:pPr>
              <w:jc w:val="right"/>
              <w:ind w:right="58"/>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auto"/>
            </w:tcBorders>
            <w:shd w:val="clear" w:color="auto" w:fill="B3B3B3"/>
          </w:tcPr>
          <w:p>
            <w:pPr>
              <w:spacing w:after="0"/>
              <w:rPr>
                <w:sz w:val="24"/>
                <w:szCs w:val="24"/>
                <w:color w:val="auto"/>
              </w:rPr>
            </w:pPr>
          </w:p>
        </w:tc>
        <w:tc>
          <w:tcPr>
            <w:tcW w:w="900" w:type="dxa"/>
            <w:vAlign w:val="bottom"/>
            <w:tcBorders>
              <w:bottom w:val="single" w:sz="8" w:color="auto"/>
            </w:tcBorders>
            <w:shd w:val="clear" w:color="auto" w:fill="B3B3B3"/>
          </w:tcPr>
          <w:p>
            <w:pPr>
              <w:jc w:val="right"/>
              <w:ind w:right="55"/>
              <w:spacing w:after="0"/>
              <w:rPr>
                <w:sz w:val="20"/>
                <w:szCs w:val="20"/>
                <w:color w:val="auto"/>
              </w:rPr>
            </w:pPr>
            <w:r>
              <w:rPr>
                <w:rFonts w:ascii="Arial" w:cs="Arial" w:eastAsia="Arial" w:hAnsi="Arial"/>
                <w:sz w:val="18"/>
                <w:szCs w:val="18"/>
                <w:color w:val="auto"/>
              </w:rPr>
              <w:t>4,748</w:t>
            </w:r>
          </w:p>
        </w:tc>
        <w:tc>
          <w:tcPr>
            <w:tcW w:w="120" w:type="dxa"/>
            <w:vAlign w:val="bottom"/>
            <w:tcBorders>
              <w:bottom w:val="single" w:sz="8" w:color="auto"/>
            </w:tcBorders>
            <w:shd w:val="clear" w:color="auto" w:fill="B3B3B3"/>
          </w:tcPr>
          <w:p>
            <w:pPr>
              <w:spacing w:after="0"/>
              <w:rPr>
                <w:sz w:val="24"/>
                <w:szCs w:val="24"/>
                <w:color w:val="auto"/>
              </w:rPr>
            </w:pPr>
          </w:p>
        </w:tc>
        <w:tc>
          <w:tcPr>
            <w:tcW w:w="920" w:type="dxa"/>
            <w:vAlign w:val="bottom"/>
            <w:tcBorders>
              <w:bottom w:val="single" w:sz="8" w:color="auto"/>
            </w:tcBorders>
            <w:shd w:val="clear" w:color="auto" w:fill="B3B3B3"/>
          </w:tcPr>
          <w:p>
            <w:pPr>
              <w:jc w:val="right"/>
              <w:ind w:right="55"/>
              <w:spacing w:after="0"/>
              <w:rPr>
                <w:sz w:val="20"/>
                <w:szCs w:val="20"/>
                <w:color w:val="auto"/>
              </w:rPr>
            </w:pPr>
            <w:r>
              <w:rPr>
                <w:rFonts w:ascii="Arial" w:cs="Arial" w:eastAsia="Arial" w:hAnsi="Arial"/>
                <w:sz w:val="18"/>
                <w:szCs w:val="18"/>
                <w:color w:val="auto"/>
              </w:rPr>
              <w:t>7,122</w:t>
            </w:r>
          </w:p>
        </w:tc>
        <w:tc>
          <w:tcPr>
            <w:tcW w:w="1460" w:type="dxa"/>
            <w:vAlign w:val="bottom"/>
            <w:tcBorders>
              <w:bottom w:val="single" w:sz="8" w:color="auto"/>
              <w:right w:val="single" w:sz="8" w:color="auto"/>
            </w:tcBorders>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163,759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hanging="412"/>
        <w:spacing w:after="0" w:line="268" w:lineRule="auto"/>
        <w:tabs>
          <w:tab w:leader="none" w:pos="4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Awards represent potential payments under our annual non-equity incentive arrangement for fiscal 2020. Potential payments are based on specified levels of performance against corporate, business unit and individual objectives, as described under “Annual Non-Equity Incentive Compensation” in the Compensation Discussion and Analysis. The actual amounts earned for fiscal 2020 are the sole components of “Non-Equity Incentive Plan Compensation” in the Summary Compensation Table above. Except in the case of death or retirement, executives must be employed on the date the payments are made (typically in May or June of each year with respect to the most recently completed fiscal year) to be eligible for a payment. The threshold, target and maximum payments are based on the plan’s requirements, which were 50%, 100% and 200% of base salary, respectively, for our Chief Executive Officer, 25%, 50% and 100% of base salary, respectively, for the CFO and 20%, 40% and 80% of base salary, respectively, for the other named executive officers.</w:t>
      </w:r>
    </w:p>
    <w:p>
      <w:pPr>
        <w:spacing w:after="0" w:line="62" w:lineRule="exact"/>
        <w:rPr>
          <w:rFonts w:ascii="Arial" w:cs="Arial" w:eastAsia="Arial" w:hAnsi="Arial"/>
          <w:sz w:val="17"/>
          <w:szCs w:val="17"/>
          <w:color w:val="auto"/>
        </w:rPr>
      </w:pPr>
    </w:p>
    <w:p>
      <w:pPr>
        <w:ind w:left="420" w:right="40" w:hanging="412"/>
        <w:spacing w:after="0" w:line="254"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2020 under our 2019 Equity Incentive Plan. The number of restricted shares to be issued was based on the degree to which we achieved specified levels of income before taxes during fiscal 2020. See “Annual Equity Awards” in the Compensation Discussion and Analysis for the performance goals applicable to the performance-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003" w:right="399" w:bottom="1440" w:gutter="0" w:footer="0" w:header="0"/>
        </w:sectPr>
      </w:pPr>
    </w:p>
    <w:bookmarkStart w:id="24" w:name="page25"/>
    <w:bookmarkEnd w:id="24"/>
    <w:p>
      <w:pPr>
        <w:ind w:left="420"/>
        <w:spacing w:after="0" w:line="253" w:lineRule="auto"/>
        <w:rPr>
          <w:sz w:val="20"/>
          <w:szCs w:val="20"/>
          <w:color w:val="auto"/>
        </w:rPr>
      </w:pPr>
      <w:r>
        <w:rPr>
          <w:rFonts w:ascii="Arial" w:cs="Arial" w:eastAsia="Arial" w:hAnsi="Arial"/>
          <w:sz w:val="18"/>
          <w:szCs w:val="18"/>
          <w:color w:val="auto"/>
        </w:rPr>
        <w:t>based restricted stock units granted for performance in fiscal 2020. Additional terms of the outstanding performance-based restricted stock units are described in Note (a) to the Outstanding Equity Awards table. The number of restricted shares actually granted to each individual for fiscal 2020 performance was 140% of target, and is as follows: Mr. Hawkins, 20,241 shares; Mr. Oldenkamp, 9,485 shares; Mr. Erstad, 7,615 shares; Mr. Keller, 6,754 shares; and Mr. Sevenich 6,629 shares. Shares underlying restricted stock units are not entitled to dividends until after the underlying shares have been issued.</w:t>
      </w:r>
    </w:p>
    <w:p>
      <w:pPr>
        <w:spacing w:after="0" w:line="70" w:lineRule="exact"/>
        <w:rPr>
          <w:sz w:val="20"/>
          <w:szCs w:val="20"/>
          <w:color w:val="auto"/>
        </w:rPr>
      </w:pPr>
    </w:p>
    <w:p>
      <w:pPr>
        <w:ind w:left="420" w:right="220" w:hanging="412"/>
        <w:spacing w:after="0" w:line="254" w:lineRule="auto"/>
        <w:tabs>
          <w:tab w:leader="none" w:pos="4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2020 Fiscal Year-En</w:t>
      </w:r>
      <w:r>
        <w:rPr>
          <w:rFonts w:ascii="Arial" w:cs="Arial" w:eastAsia="Arial" w:hAnsi="Arial"/>
          <w:sz w:val="17"/>
          <w:szCs w:val="17"/>
          <w:b w:val="1"/>
          <w:bCs w:val="1"/>
          <w:color w:val="auto"/>
        </w:rPr>
        <w:t>d</w:t>
      </w:r>
    </w:p>
    <w:p>
      <w:pPr>
        <w:spacing w:after="0" w:line="13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certain information concerning outstanding equity awards held by our named executive officers as of March 29, 2020.</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600" w:type="dxa"/>
            <w:vAlign w:val="bottom"/>
            <w:tcBorders>
              <w:top w:val="single" w:sz="8" w:color="auto"/>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80" w:type="dxa"/>
            <w:vAlign w:val="bottom"/>
            <w:tcBorders>
              <w:top w:val="single" w:sz="8" w:color="auto"/>
              <w:bottom w:val="single" w:sz="8" w:color="auto"/>
              <w:right w:val="single" w:sz="8" w:color="auto"/>
            </w:tcBorders>
            <w:gridSpan w:val="3"/>
          </w:tcPr>
          <w:p>
            <w:pPr>
              <w:jc w:val="right"/>
              <w:ind w:right="1598"/>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66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 Shares or</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Market Value of</w:t>
            </w:r>
          </w:p>
        </w:tc>
      </w:tr>
      <w:tr>
        <w:trPr>
          <w:trHeight w:val="162"/>
        </w:trPr>
        <w:tc>
          <w:tcPr>
            <w:tcW w:w="66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 of Stock That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 or Units of</w:t>
            </w:r>
          </w:p>
        </w:tc>
      </w:tr>
      <w:tr>
        <w:trPr>
          <w:trHeight w:val="162"/>
        </w:trPr>
        <w:tc>
          <w:tcPr>
            <w:tcW w:w="66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Have Not Vested</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Stock that Have Not</w:t>
            </w:r>
          </w:p>
        </w:tc>
      </w:tr>
      <w:tr>
        <w:trPr>
          <w:trHeight w:val="196"/>
        </w:trPr>
        <w:tc>
          <w:tcPr>
            <w:tcW w:w="6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B3B3B3"/>
            </w:tcBorders>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B3B3B3"/>
            </w:tcBorders>
          </w:tcPr>
          <w:p>
            <w:pPr>
              <w:spacing w:after="0"/>
              <w:rPr>
                <w:sz w:val="17"/>
                <w:szCs w:val="17"/>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($)(b)</w:t>
            </w:r>
          </w:p>
        </w:tc>
      </w:tr>
      <w:tr>
        <w:trPr>
          <w:trHeight w:val="256"/>
        </w:trPr>
        <w:tc>
          <w:tcPr>
            <w:tcW w:w="672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2080" w:type="dxa"/>
            <w:vAlign w:val="bottom"/>
            <w:shd w:val="clear" w:color="auto" w:fill="B3B3B3"/>
          </w:tcPr>
          <w:p>
            <w:pPr>
              <w:jc w:val="right"/>
              <w:ind w:right="79"/>
              <w:spacing w:after="0"/>
              <w:rPr>
                <w:sz w:val="20"/>
                <w:szCs w:val="20"/>
                <w:color w:val="auto"/>
              </w:rPr>
            </w:pPr>
            <w:r>
              <w:rPr>
                <w:rFonts w:ascii="Arial" w:cs="Arial" w:eastAsia="Arial" w:hAnsi="Arial"/>
                <w:sz w:val="18"/>
                <w:szCs w:val="18"/>
                <w:color w:val="auto"/>
              </w:rPr>
              <w:t>40,575</w:t>
            </w:r>
          </w:p>
        </w:tc>
        <w:tc>
          <w:tcPr>
            <w:tcW w:w="100" w:type="dxa"/>
            <w:vAlign w:val="bottom"/>
            <w:shd w:val="clear" w:color="auto" w:fill="B3B3B3"/>
          </w:tcPr>
          <w:p>
            <w:pPr>
              <w:spacing w:after="0"/>
              <w:rPr>
                <w:sz w:val="22"/>
                <w:szCs w:val="22"/>
                <w:color w:val="auto"/>
              </w:rPr>
            </w:pPr>
          </w:p>
        </w:tc>
        <w:tc>
          <w:tcPr>
            <w:tcW w:w="210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8"/>
                <w:szCs w:val="18"/>
                <w:color w:val="auto"/>
              </w:rPr>
              <w:t>1,350,336</w:t>
            </w:r>
          </w:p>
        </w:tc>
      </w:tr>
      <w:tr>
        <w:trPr>
          <w:trHeight w:val="250"/>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Pr>
          <w:p>
            <w:pPr>
              <w:jc w:val="right"/>
              <w:ind w:right="79"/>
              <w:spacing w:after="0"/>
              <w:rPr>
                <w:sz w:val="20"/>
                <w:szCs w:val="20"/>
                <w:color w:val="auto"/>
              </w:rPr>
            </w:pPr>
            <w:r>
              <w:rPr>
                <w:rFonts w:ascii="Arial" w:cs="Arial" w:eastAsia="Arial" w:hAnsi="Arial"/>
                <w:sz w:val="18"/>
                <w:szCs w:val="18"/>
                <w:color w:val="auto"/>
              </w:rPr>
              <w:t>25,632</w:t>
            </w:r>
          </w:p>
        </w:tc>
        <w:tc>
          <w:tcPr>
            <w:tcW w:w="100" w:type="dxa"/>
            <w:vAlign w:val="bottom"/>
          </w:tcPr>
          <w:p>
            <w:pPr>
              <w:spacing w:after="0"/>
              <w:rPr>
                <w:sz w:val="21"/>
                <w:szCs w:val="21"/>
                <w:color w:val="auto"/>
              </w:rPr>
            </w:pPr>
          </w:p>
        </w:tc>
        <w:tc>
          <w:tcPr>
            <w:tcW w:w="2100" w:type="dxa"/>
            <w:vAlign w:val="bottom"/>
            <w:tcBorders>
              <w:right w:val="single" w:sz="8" w:color="auto"/>
            </w:tcBorders>
          </w:tcPr>
          <w:p>
            <w:pPr>
              <w:jc w:val="right"/>
              <w:ind w:right="98"/>
              <w:spacing w:after="0"/>
              <w:rPr>
                <w:sz w:val="20"/>
                <w:szCs w:val="20"/>
                <w:color w:val="auto"/>
              </w:rPr>
            </w:pPr>
            <w:r>
              <w:rPr>
                <w:rFonts w:ascii="Arial" w:cs="Arial" w:eastAsia="Arial" w:hAnsi="Arial"/>
                <w:sz w:val="18"/>
                <w:szCs w:val="18"/>
                <w:color w:val="auto"/>
              </w:rPr>
              <w:t>853,033</w:t>
            </w:r>
          </w:p>
        </w:tc>
      </w:tr>
      <w:tr>
        <w:trPr>
          <w:trHeight w:val="263"/>
        </w:trPr>
        <w:tc>
          <w:tcPr>
            <w:tcW w:w="672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shd w:val="clear" w:color="auto" w:fill="B3B3B3"/>
          </w:tcPr>
          <w:p>
            <w:pPr>
              <w:jc w:val="right"/>
              <w:ind w:right="79"/>
              <w:spacing w:after="0"/>
              <w:rPr>
                <w:sz w:val="20"/>
                <w:szCs w:val="20"/>
                <w:color w:val="auto"/>
              </w:rPr>
            </w:pPr>
            <w:r>
              <w:rPr>
                <w:rFonts w:ascii="Arial" w:cs="Arial" w:eastAsia="Arial" w:hAnsi="Arial"/>
                <w:sz w:val="18"/>
                <w:szCs w:val="18"/>
                <w:color w:val="auto"/>
              </w:rPr>
              <w:t>16,354</w:t>
            </w:r>
          </w:p>
        </w:tc>
        <w:tc>
          <w:tcPr>
            <w:tcW w:w="100" w:type="dxa"/>
            <w:vAlign w:val="bottom"/>
            <w:shd w:val="clear" w:color="auto" w:fill="B3B3B3"/>
          </w:tcPr>
          <w:p>
            <w:pPr>
              <w:spacing w:after="0"/>
              <w:rPr>
                <w:sz w:val="22"/>
                <w:szCs w:val="22"/>
                <w:color w:val="auto"/>
              </w:rPr>
            </w:pPr>
          </w:p>
        </w:tc>
        <w:tc>
          <w:tcPr>
            <w:tcW w:w="210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8"/>
                <w:szCs w:val="18"/>
                <w:color w:val="auto"/>
              </w:rPr>
              <w:t>544,261</w:t>
            </w:r>
          </w:p>
        </w:tc>
      </w:tr>
      <w:tr>
        <w:trPr>
          <w:trHeight w:val="250"/>
        </w:trPr>
        <w:tc>
          <w:tcPr>
            <w:tcW w:w="67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Thomas J. Keller</w:t>
            </w:r>
          </w:p>
        </w:tc>
        <w:tc>
          <w:tcPr>
            <w:tcW w:w="2080" w:type="dxa"/>
            <w:vAlign w:val="bottom"/>
          </w:tcPr>
          <w:p>
            <w:pPr>
              <w:jc w:val="right"/>
              <w:ind w:right="79"/>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21"/>
                <w:szCs w:val="21"/>
                <w:color w:val="auto"/>
              </w:rPr>
            </w:pPr>
          </w:p>
        </w:tc>
        <w:tc>
          <w:tcPr>
            <w:tcW w:w="2100" w:type="dxa"/>
            <w:vAlign w:val="bottom"/>
            <w:tcBorders>
              <w:right w:val="single" w:sz="8" w:color="auto"/>
            </w:tcBorders>
          </w:tcPr>
          <w:p>
            <w:pPr>
              <w:jc w:val="right"/>
              <w:ind w:right="98"/>
              <w:spacing w:after="0"/>
              <w:rPr>
                <w:sz w:val="20"/>
                <w:szCs w:val="20"/>
                <w:color w:val="auto"/>
              </w:rPr>
            </w:pPr>
            <w:r>
              <w:rPr>
                <w:rFonts w:ascii="Arial" w:cs="Arial" w:eastAsia="Arial" w:hAnsi="Arial"/>
                <w:sz w:val="18"/>
                <w:szCs w:val="18"/>
                <w:color w:val="auto"/>
              </w:rPr>
              <w:t>482,726</w:t>
            </w:r>
          </w:p>
        </w:tc>
      </w:tr>
      <w:tr>
        <w:trPr>
          <w:trHeight w:val="257"/>
        </w:trPr>
        <w:tc>
          <w:tcPr>
            <w:tcW w:w="672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John R. Sevenich</w:t>
            </w:r>
          </w:p>
        </w:tc>
        <w:tc>
          <w:tcPr>
            <w:tcW w:w="2080" w:type="dxa"/>
            <w:vAlign w:val="bottom"/>
            <w:tcBorders>
              <w:bottom w:val="single" w:sz="8" w:color="auto"/>
            </w:tcBorders>
            <w:shd w:val="clear" w:color="auto" w:fill="B3B3B3"/>
          </w:tcPr>
          <w:p>
            <w:pPr>
              <w:jc w:val="right"/>
              <w:ind w:right="79"/>
              <w:spacing w:after="0"/>
              <w:rPr>
                <w:sz w:val="20"/>
                <w:szCs w:val="20"/>
                <w:color w:val="auto"/>
              </w:rPr>
            </w:pPr>
            <w:r>
              <w:rPr>
                <w:rFonts w:ascii="Arial" w:cs="Arial" w:eastAsia="Arial" w:hAnsi="Arial"/>
                <w:sz w:val="18"/>
                <w:szCs w:val="18"/>
                <w:color w:val="auto"/>
              </w:rPr>
              <w:t>14,236</w:t>
            </w:r>
          </w:p>
        </w:tc>
        <w:tc>
          <w:tcPr>
            <w:tcW w:w="100" w:type="dxa"/>
            <w:vAlign w:val="bottom"/>
            <w:tcBorders>
              <w:bottom w:val="single" w:sz="8" w:color="auto"/>
            </w:tcBorders>
            <w:shd w:val="clear" w:color="auto" w:fill="B3B3B3"/>
          </w:tcPr>
          <w:p>
            <w:pPr>
              <w:spacing w:after="0"/>
              <w:rPr>
                <w:sz w:val="22"/>
                <w:szCs w:val="22"/>
                <w:color w:val="auto"/>
              </w:rPr>
            </w:pPr>
          </w:p>
        </w:tc>
        <w:tc>
          <w:tcPr>
            <w:tcW w:w="2100" w:type="dxa"/>
            <w:vAlign w:val="bottom"/>
            <w:tcBorders>
              <w:bottom w:val="single" w:sz="8" w:color="auto"/>
              <w:right w:val="single" w:sz="8" w:color="auto"/>
            </w:tcBorders>
            <w:shd w:val="clear" w:color="auto" w:fill="B3B3B3"/>
          </w:tcPr>
          <w:p>
            <w:pPr>
              <w:jc w:val="right"/>
              <w:ind w:right="98"/>
              <w:spacing w:after="0"/>
              <w:rPr>
                <w:sz w:val="20"/>
                <w:szCs w:val="20"/>
                <w:color w:val="auto"/>
              </w:rPr>
            </w:pPr>
            <w:r>
              <w:rPr>
                <w:rFonts w:ascii="Arial" w:cs="Arial" w:eastAsia="Arial" w:hAnsi="Arial"/>
                <w:sz w:val="18"/>
                <w:szCs w:val="18"/>
                <w:color w:val="auto"/>
              </w:rPr>
              <w:t>473,774</w:t>
            </w:r>
          </w:p>
        </w:tc>
      </w:tr>
    </w:tbl>
    <w:p>
      <w:pPr>
        <w:spacing w:after="0" w:line="107" w:lineRule="exact"/>
        <w:rPr>
          <w:sz w:val="20"/>
          <w:szCs w:val="20"/>
          <w:color w:val="auto"/>
        </w:rPr>
      </w:pPr>
    </w:p>
    <w:p>
      <w:pPr>
        <w:ind w:left="420" w:right="160" w:hanging="412"/>
        <w:spacing w:after="0" w:line="252" w:lineRule="auto"/>
        <w:tabs>
          <w:tab w:leader="none" w:pos="4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for 5,263 of Mr. Oldenkamp's shares, the number of shares shown consists of shares of restricted stock actually issued in settlement of the performance-based restricted stock unit awards granted for fiscal years 2019 and 2020. The 5,263 shares for Mr. Oldenkamp represent a special grant issued to Mr. Oldenkamp in fiscal 2018, which shares vested on April 1, 2020. The performance-based restricted shares vest 100% approximately on the first day of the third fiscal year following the fiscal year to which the awards pertain. The shares granted for fiscal 2019 will vest on March 29, 2021. The shares granted for fiscal 2020, which were issued on May 20, 2020, will vest on April 6, 2022. The number of restricted shares vesting on each of those dates for each of the named executive officers is as follows:</w:t>
      </w:r>
    </w:p>
    <w:tbl>
      <w:tblPr>
        <w:tblLayout w:type="fixed"/>
        <w:tblInd w:w="430" w:type="dxa"/>
        <w:tblCellMar>
          <w:top w:w="0" w:type="dxa"/>
          <w:left w:w="0" w:type="dxa"/>
          <w:bottom w:w="0" w:type="dxa"/>
          <w:right w:w="0" w:type="dxa"/>
        </w:tblCellMar>
      </w:tblPr>
      <w:tr>
        <w:trPr>
          <w:trHeight w:val="222"/>
        </w:trPr>
        <w:tc>
          <w:tcPr>
            <w:tcW w:w="6120" w:type="dxa"/>
            <w:vAlign w:val="bottom"/>
            <w:tcBorders>
              <w:top w:val="single" w:sz="8" w:color="auto"/>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960" w:type="dxa"/>
            <w:vAlign w:val="bottom"/>
            <w:tcBorders>
              <w:top w:val="single" w:sz="8" w:color="auto"/>
              <w:bottom w:val="single" w:sz="8" w:color="auto"/>
              <w:right w:val="single" w:sz="8" w:color="auto"/>
            </w:tcBorders>
            <w:gridSpan w:val="5"/>
          </w:tcPr>
          <w:p>
            <w:pPr>
              <w:jc w:val="right"/>
              <w:ind w:right="873"/>
              <w:spacing w:after="0"/>
              <w:rPr>
                <w:sz w:val="20"/>
                <w:szCs w:val="20"/>
                <w:color w:val="auto"/>
              </w:rPr>
            </w:pPr>
            <w:r>
              <w:rPr>
                <w:rFonts w:ascii="Arial" w:cs="Arial" w:eastAsia="Arial" w:hAnsi="Arial"/>
                <w:sz w:val="14"/>
                <w:szCs w:val="14"/>
                <w:b w:val="1"/>
                <w:bCs w:val="1"/>
                <w:color w:val="auto"/>
              </w:rPr>
              <w:t>Number of Shares Vesting on:</w:t>
            </w:r>
          </w:p>
        </w:tc>
      </w:tr>
      <w:tr>
        <w:trPr>
          <w:trHeight w:val="210"/>
        </w:trPr>
        <w:tc>
          <w:tcPr>
            <w:tcW w:w="6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B3B3B3"/>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April 1, 2020</w:t>
            </w:r>
          </w:p>
        </w:tc>
        <w:tc>
          <w:tcPr>
            <w:tcW w:w="200" w:type="dxa"/>
            <w:vAlign w:val="bottom"/>
            <w:tcBorders>
              <w:bottom w:val="single" w:sz="8" w:color="B3B3B3"/>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2021</w:t>
            </w:r>
          </w:p>
        </w:tc>
        <w:tc>
          <w:tcPr>
            <w:tcW w:w="140" w:type="dxa"/>
            <w:vAlign w:val="bottom"/>
            <w:tcBorders>
              <w:bottom w:val="single" w:sz="8" w:color="B3B3B3"/>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6, 2022</w:t>
            </w:r>
          </w:p>
        </w:tc>
      </w:tr>
      <w:tr>
        <w:trPr>
          <w:trHeight w:val="256"/>
        </w:trPr>
        <w:tc>
          <w:tcPr>
            <w:tcW w:w="626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1400" w:type="dxa"/>
            <w:vAlign w:val="bottom"/>
            <w:gridSpan w:val="2"/>
            <w:shd w:val="clear" w:color="auto" w:fill="B3B3B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3B3B3"/>
          </w:tcPr>
          <w:p>
            <w:pPr>
              <w:jc w:val="right"/>
              <w:ind w:right="53"/>
              <w:spacing w:after="0"/>
              <w:rPr>
                <w:sz w:val="20"/>
                <w:szCs w:val="20"/>
                <w:color w:val="auto"/>
              </w:rPr>
            </w:pPr>
            <w:r>
              <w:rPr>
                <w:rFonts w:ascii="Arial" w:cs="Arial" w:eastAsia="Arial" w:hAnsi="Arial"/>
                <w:sz w:val="18"/>
                <w:szCs w:val="18"/>
                <w:color w:val="auto"/>
              </w:rPr>
              <w:t>20,334</w:t>
            </w:r>
          </w:p>
        </w:tc>
        <w:tc>
          <w:tcPr>
            <w:tcW w:w="140" w:type="dxa"/>
            <w:vAlign w:val="bottom"/>
            <w:shd w:val="clear" w:color="auto" w:fill="B3B3B3"/>
          </w:tcPr>
          <w:p>
            <w:pPr>
              <w:spacing w:after="0"/>
              <w:rPr>
                <w:sz w:val="22"/>
                <w:szCs w:val="22"/>
                <w:color w:val="auto"/>
              </w:rPr>
            </w:pPr>
          </w:p>
        </w:tc>
        <w:tc>
          <w:tcPr>
            <w:tcW w:w="1220" w:type="dxa"/>
            <w:vAlign w:val="bottom"/>
            <w:tcBorders>
              <w:right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20,241</w:t>
            </w:r>
          </w:p>
        </w:tc>
      </w:tr>
      <w:tr>
        <w:trPr>
          <w:trHeight w:val="250"/>
        </w:trPr>
        <w:tc>
          <w:tcPr>
            <w:tcW w:w="62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5,263</w:t>
            </w:r>
          </w:p>
        </w:tc>
        <w:tc>
          <w:tcPr>
            <w:tcW w:w="20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10,884</w:t>
            </w:r>
          </w:p>
        </w:tc>
        <w:tc>
          <w:tcPr>
            <w:tcW w:w="140" w:type="dxa"/>
            <w:vAlign w:val="bottom"/>
          </w:tcPr>
          <w:p>
            <w:pPr>
              <w:spacing w:after="0"/>
              <w:rPr>
                <w:sz w:val="21"/>
                <w:szCs w:val="21"/>
                <w:color w:val="auto"/>
              </w:rPr>
            </w:pPr>
          </w:p>
        </w:tc>
        <w:tc>
          <w:tcPr>
            <w:tcW w:w="12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9,485</w:t>
            </w:r>
          </w:p>
        </w:tc>
      </w:tr>
      <w:tr>
        <w:trPr>
          <w:trHeight w:val="263"/>
        </w:trPr>
        <w:tc>
          <w:tcPr>
            <w:tcW w:w="626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Richard G. Erstad</w:t>
            </w:r>
          </w:p>
        </w:tc>
        <w:tc>
          <w:tcPr>
            <w:tcW w:w="1400" w:type="dxa"/>
            <w:vAlign w:val="bottom"/>
            <w:gridSpan w:val="2"/>
            <w:shd w:val="clear" w:color="auto" w:fill="B3B3B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3B3B3"/>
          </w:tcPr>
          <w:p>
            <w:pPr>
              <w:jc w:val="right"/>
              <w:ind w:right="53"/>
              <w:spacing w:after="0"/>
              <w:rPr>
                <w:sz w:val="20"/>
                <w:szCs w:val="20"/>
                <w:color w:val="auto"/>
              </w:rPr>
            </w:pPr>
            <w:r>
              <w:rPr>
                <w:rFonts w:ascii="Arial" w:cs="Arial" w:eastAsia="Arial" w:hAnsi="Arial"/>
                <w:sz w:val="18"/>
                <w:szCs w:val="18"/>
                <w:color w:val="auto"/>
              </w:rPr>
              <w:t>8,739</w:t>
            </w:r>
          </w:p>
        </w:tc>
        <w:tc>
          <w:tcPr>
            <w:tcW w:w="140" w:type="dxa"/>
            <w:vAlign w:val="bottom"/>
            <w:shd w:val="clear" w:color="auto" w:fill="B3B3B3"/>
          </w:tcPr>
          <w:p>
            <w:pPr>
              <w:spacing w:after="0"/>
              <w:rPr>
                <w:sz w:val="22"/>
                <w:szCs w:val="22"/>
                <w:color w:val="auto"/>
              </w:rPr>
            </w:pPr>
          </w:p>
        </w:tc>
        <w:tc>
          <w:tcPr>
            <w:tcW w:w="1220" w:type="dxa"/>
            <w:vAlign w:val="bottom"/>
            <w:tcBorders>
              <w:right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7,615</w:t>
            </w:r>
          </w:p>
        </w:tc>
      </w:tr>
      <w:tr>
        <w:trPr>
          <w:trHeight w:val="250"/>
        </w:trPr>
        <w:tc>
          <w:tcPr>
            <w:tcW w:w="62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Thomas J. Keller</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7,751</w:t>
            </w:r>
          </w:p>
        </w:tc>
        <w:tc>
          <w:tcPr>
            <w:tcW w:w="140" w:type="dxa"/>
            <w:vAlign w:val="bottom"/>
          </w:tcPr>
          <w:p>
            <w:pPr>
              <w:spacing w:after="0"/>
              <w:rPr>
                <w:sz w:val="21"/>
                <w:szCs w:val="21"/>
                <w:color w:val="auto"/>
              </w:rPr>
            </w:pPr>
          </w:p>
        </w:tc>
        <w:tc>
          <w:tcPr>
            <w:tcW w:w="122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6,754</w:t>
            </w:r>
          </w:p>
        </w:tc>
      </w:tr>
      <w:tr>
        <w:trPr>
          <w:trHeight w:val="257"/>
        </w:trPr>
        <w:tc>
          <w:tcPr>
            <w:tcW w:w="626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John R. Sevenich</w:t>
            </w:r>
          </w:p>
        </w:tc>
        <w:tc>
          <w:tcPr>
            <w:tcW w:w="1400" w:type="dxa"/>
            <w:vAlign w:val="bottom"/>
            <w:tcBorders>
              <w:bottom w:val="single" w:sz="8" w:color="auto"/>
            </w:tcBorders>
            <w:gridSpan w:val="2"/>
            <w:shd w:val="clear" w:color="auto" w:fill="B3B3B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3B3B3"/>
          </w:tcPr>
          <w:p>
            <w:pPr>
              <w:jc w:val="right"/>
              <w:ind w:right="53"/>
              <w:spacing w:after="0"/>
              <w:rPr>
                <w:sz w:val="20"/>
                <w:szCs w:val="20"/>
                <w:color w:val="auto"/>
              </w:rPr>
            </w:pPr>
            <w:r>
              <w:rPr>
                <w:rFonts w:ascii="Arial" w:cs="Arial" w:eastAsia="Arial" w:hAnsi="Arial"/>
                <w:sz w:val="18"/>
                <w:szCs w:val="18"/>
                <w:color w:val="auto"/>
              </w:rPr>
              <w:t>7,607</w:t>
            </w:r>
          </w:p>
        </w:tc>
        <w:tc>
          <w:tcPr>
            <w:tcW w:w="140" w:type="dxa"/>
            <w:vAlign w:val="bottom"/>
            <w:tcBorders>
              <w:bottom w:val="single" w:sz="8" w:color="auto"/>
            </w:tcBorders>
            <w:shd w:val="clear" w:color="auto" w:fill="B3B3B3"/>
          </w:tcPr>
          <w:p>
            <w:pPr>
              <w:spacing w:after="0"/>
              <w:rPr>
                <w:sz w:val="22"/>
                <w:szCs w:val="22"/>
                <w:color w:val="auto"/>
              </w:rPr>
            </w:pPr>
          </w:p>
        </w:tc>
        <w:tc>
          <w:tcPr>
            <w:tcW w:w="1220" w:type="dxa"/>
            <w:vAlign w:val="bottom"/>
            <w:tcBorders>
              <w:bottom w:val="single" w:sz="8" w:color="auto"/>
              <w:right w:val="single" w:sz="8" w:color="auto"/>
            </w:tcBorders>
            <w:shd w:val="clear" w:color="auto" w:fill="B3B3B3"/>
          </w:tcPr>
          <w:p>
            <w:pPr>
              <w:jc w:val="right"/>
              <w:ind w:right="73"/>
              <w:spacing w:after="0"/>
              <w:rPr>
                <w:sz w:val="20"/>
                <w:szCs w:val="20"/>
                <w:color w:val="auto"/>
              </w:rPr>
            </w:pPr>
            <w:r>
              <w:rPr>
                <w:rFonts w:ascii="Arial" w:cs="Arial" w:eastAsia="Arial" w:hAnsi="Arial"/>
                <w:sz w:val="18"/>
                <w:szCs w:val="18"/>
                <w:color w:val="auto"/>
              </w:rPr>
              <w:t>6,629</w:t>
            </w:r>
          </w:p>
        </w:tc>
      </w:tr>
    </w:tbl>
    <w:p>
      <w:pPr>
        <w:spacing w:after="0" w:line="107" w:lineRule="exact"/>
        <w:rPr>
          <w:sz w:val="20"/>
          <w:szCs w:val="20"/>
          <w:color w:val="auto"/>
        </w:rPr>
      </w:pPr>
    </w:p>
    <w:p>
      <w:pPr>
        <w:ind w:left="420" w:right="480"/>
        <w:spacing w:after="0" w:line="256" w:lineRule="auto"/>
        <w:rPr>
          <w:sz w:val="20"/>
          <w:szCs w:val="20"/>
          <w:color w:val="auto"/>
        </w:rPr>
      </w:pPr>
      <w:r>
        <w:rPr>
          <w:rFonts w:ascii="Arial" w:cs="Arial" w:eastAsia="Arial" w:hAnsi="Arial"/>
          <w:sz w:val="18"/>
          <w:szCs w:val="18"/>
          <w:color w:val="auto"/>
        </w:rPr>
        <w:t>The unvested restricted shares will be forfeited in their entirety if the executive officer departs the company before the end of the applicable vesting period. The vesting of the units and restricted shares may be accelerated upon the occurrence of certain events described below under “Potential Payments Upon Termination or Change in Control”.</w:t>
      </w:r>
    </w:p>
    <w:p>
      <w:pPr>
        <w:spacing w:after="0" w:line="80" w:lineRule="exact"/>
        <w:rPr>
          <w:sz w:val="20"/>
          <w:szCs w:val="20"/>
          <w:color w:val="auto"/>
        </w:rPr>
      </w:pPr>
    </w:p>
    <w:p>
      <w:pPr>
        <w:ind w:left="420" w:right="420" w:hanging="412"/>
        <w:spacing w:after="0" w:line="261"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closing price of our common stock of $33.28 per share as reported by Nasdaq on March 27, 2020, the last business day of fiscal 2020.</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Vested</w:t>
      </w:r>
    </w:p>
    <w:p>
      <w:pPr>
        <w:spacing w:after="0" w:line="134"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color w:val="auto"/>
        </w:rPr>
        <w:t>The following table provides information concerning the aggregate number of shares of restricted stock that vested for each of our named executive officers during fiscal 2020, and the aggregate dollar values realized by each of our named executive officers upon such vesting.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03" w:right="339" w:bottom="1440" w:gutter="0" w:footer="0" w:header="0"/>
        </w:sectPr>
      </w:pPr>
    </w:p>
    <w:bookmarkStart w:id="25" w:name="page26"/>
    <w:bookmarkEnd w:id="25"/>
    <w:tbl>
      <w:tblPr>
        <w:tblLayout w:type="fixed"/>
        <w:tblInd w:w="150" w:type="dxa"/>
        <w:tblCellMar>
          <w:top w:w="0" w:type="dxa"/>
          <w:left w:w="0" w:type="dxa"/>
          <w:bottom w:w="0" w:type="dxa"/>
          <w:right w:w="0" w:type="dxa"/>
        </w:tblCellMar>
      </w:tblPr>
      <w:tr>
        <w:trPr>
          <w:trHeight w:val="224"/>
        </w:trPr>
        <w:tc>
          <w:tcPr>
            <w:tcW w:w="6600" w:type="dxa"/>
            <w:vAlign w:val="bottom"/>
            <w:tcBorders>
              <w:top w:val="single" w:sz="8" w:color="auto"/>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80" w:type="dxa"/>
            <w:vAlign w:val="bottom"/>
            <w:tcBorders>
              <w:top w:val="single" w:sz="8" w:color="auto"/>
              <w:bottom w:val="single" w:sz="8" w:color="auto"/>
              <w:right w:val="single" w:sz="8" w:color="auto"/>
            </w:tcBorders>
            <w:gridSpan w:val="3"/>
          </w:tcPr>
          <w:p>
            <w:pPr>
              <w:jc w:val="right"/>
              <w:ind w:right="1595"/>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66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 Acquired</w:t>
            </w:r>
          </w:p>
        </w:tc>
        <w:tc>
          <w:tcPr>
            <w:tcW w:w="21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Value Realized on Vesting ($)</w:t>
            </w:r>
          </w:p>
        </w:tc>
      </w:tr>
      <w:tr>
        <w:trPr>
          <w:trHeight w:val="196"/>
        </w:trPr>
        <w:tc>
          <w:tcPr>
            <w:tcW w:w="66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B3B3B3"/>
            </w:tcBorders>
          </w:tcPr>
          <w:p>
            <w:pPr>
              <w:spacing w:after="0"/>
              <w:rPr>
                <w:sz w:val="17"/>
                <w:szCs w:val="17"/>
                <w:color w:val="auto"/>
              </w:rPr>
            </w:pPr>
          </w:p>
        </w:tc>
        <w:tc>
          <w:tcPr>
            <w:tcW w:w="2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on Vesting (#) (a)</w:t>
            </w:r>
          </w:p>
        </w:tc>
        <w:tc>
          <w:tcPr>
            <w:tcW w:w="100" w:type="dxa"/>
            <w:vAlign w:val="bottom"/>
            <w:tcBorders>
              <w:bottom w:val="single" w:sz="8" w:color="B3B3B3"/>
            </w:tcBorders>
          </w:tcPr>
          <w:p>
            <w:pPr>
              <w:spacing w:after="0"/>
              <w:rPr>
                <w:sz w:val="17"/>
                <w:szCs w:val="17"/>
                <w:color w:val="auto"/>
              </w:rPr>
            </w:pPr>
          </w:p>
        </w:tc>
        <w:tc>
          <w:tcPr>
            <w:tcW w:w="2100" w:type="dxa"/>
            <w:vAlign w:val="bottom"/>
            <w:tcBorders>
              <w:bottom w:val="single" w:sz="8" w:color="auto"/>
              <w:right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(b)</w:t>
            </w:r>
          </w:p>
        </w:tc>
      </w:tr>
      <w:tr>
        <w:trPr>
          <w:trHeight w:val="256"/>
        </w:trPr>
        <w:tc>
          <w:tcPr>
            <w:tcW w:w="67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Patrick H. Hawkins</w:t>
            </w:r>
          </w:p>
        </w:tc>
        <w:tc>
          <w:tcPr>
            <w:tcW w:w="2080" w:type="dxa"/>
            <w:vAlign w:val="bottom"/>
            <w:shd w:val="clear" w:color="auto" w:fill="B3B3B3"/>
          </w:tcPr>
          <w:p>
            <w:pPr>
              <w:jc w:val="right"/>
              <w:ind w:right="97"/>
              <w:spacing w:after="0"/>
              <w:rPr>
                <w:sz w:val="20"/>
                <w:szCs w:val="20"/>
                <w:color w:val="auto"/>
              </w:rPr>
            </w:pPr>
            <w:r>
              <w:rPr>
                <w:rFonts w:ascii="Arial" w:cs="Arial" w:eastAsia="Arial" w:hAnsi="Arial"/>
                <w:sz w:val="18"/>
                <w:szCs w:val="18"/>
                <w:color w:val="auto"/>
              </w:rPr>
              <w:t>9,378</w:t>
            </w:r>
          </w:p>
        </w:tc>
        <w:tc>
          <w:tcPr>
            <w:tcW w:w="100" w:type="dxa"/>
            <w:vAlign w:val="bottom"/>
            <w:shd w:val="clear" w:color="auto" w:fill="B3B3B3"/>
          </w:tcPr>
          <w:p>
            <w:pPr>
              <w:spacing w:after="0"/>
              <w:rPr>
                <w:sz w:val="22"/>
                <w:szCs w:val="22"/>
                <w:color w:val="auto"/>
              </w:rPr>
            </w:pPr>
          </w:p>
        </w:tc>
        <w:tc>
          <w:tcPr>
            <w:tcW w:w="2100" w:type="dxa"/>
            <w:vAlign w:val="bottom"/>
            <w:tcBorders>
              <w:right w:val="single" w:sz="8" w:color="auto"/>
            </w:tcBorders>
            <w:shd w:val="clear" w:color="auto" w:fill="B3B3B3"/>
          </w:tcPr>
          <w:p>
            <w:pPr>
              <w:jc w:val="right"/>
              <w:ind w:right="95"/>
              <w:spacing w:after="0"/>
              <w:rPr>
                <w:sz w:val="20"/>
                <w:szCs w:val="20"/>
                <w:color w:val="auto"/>
              </w:rPr>
            </w:pPr>
            <w:r>
              <w:rPr>
                <w:rFonts w:ascii="Arial" w:cs="Arial" w:eastAsia="Arial" w:hAnsi="Arial"/>
                <w:sz w:val="18"/>
                <w:szCs w:val="18"/>
                <w:color w:val="auto"/>
              </w:rPr>
              <w:t>351,863</w:t>
            </w:r>
          </w:p>
        </w:tc>
      </w:tr>
      <w:tr>
        <w:trPr>
          <w:trHeight w:val="250"/>
        </w:trPr>
        <w:tc>
          <w:tcPr>
            <w:tcW w:w="67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Jeffrey P. Oldenkamp</w:t>
            </w:r>
          </w:p>
        </w:tc>
        <w:tc>
          <w:tcPr>
            <w:tcW w:w="2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right"/>
              <w:ind w:right="95"/>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Borders>
              <w:left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Richard G. Erstad</w:t>
            </w:r>
          </w:p>
        </w:tc>
        <w:tc>
          <w:tcPr>
            <w:tcW w:w="2080" w:type="dxa"/>
            <w:vAlign w:val="bottom"/>
            <w:shd w:val="clear" w:color="auto" w:fill="B3B3B3"/>
          </w:tcPr>
          <w:p>
            <w:pPr>
              <w:jc w:val="right"/>
              <w:ind w:right="97"/>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B3B3B3"/>
          </w:tcPr>
          <w:p>
            <w:pPr>
              <w:spacing w:after="0"/>
              <w:rPr>
                <w:sz w:val="22"/>
                <w:szCs w:val="22"/>
                <w:color w:val="auto"/>
              </w:rPr>
            </w:pPr>
          </w:p>
        </w:tc>
        <w:tc>
          <w:tcPr>
            <w:tcW w:w="2100" w:type="dxa"/>
            <w:vAlign w:val="bottom"/>
            <w:tcBorders>
              <w:right w:val="single" w:sz="8" w:color="auto"/>
            </w:tcBorders>
            <w:shd w:val="clear" w:color="auto" w:fill="B3B3B3"/>
          </w:tcPr>
          <w:p>
            <w:pPr>
              <w:jc w:val="right"/>
              <w:ind w:right="95"/>
              <w:spacing w:after="0"/>
              <w:rPr>
                <w:sz w:val="20"/>
                <w:szCs w:val="20"/>
                <w:color w:val="auto"/>
              </w:rPr>
            </w:pPr>
            <w:r>
              <w:rPr>
                <w:rFonts w:ascii="Arial" w:cs="Arial" w:eastAsia="Arial" w:hAnsi="Arial"/>
                <w:sz w:val="18"/>
                <w:szCs w:val="18"/>
                <w:color w:val="auto"/>
              </w:rPr>
              <w:t>150,980</w:t>
            </w:r>
          </w:p>
        </w:tc>
      </w:tr>
      <w:tr>
        <w:trPr>
          <w:trHeight w:val="250"/>
        </w:trPr>
        <w:tc>
          <w:tcPr>
            <w:tcW w:w="67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Thomas J. Keller</w:t>
            </w:r>
          </w:p>
        </w:tc>
        <w:tc>
          <w:tcPr>
            <w:tcW w:w="2080" w:type="dxa"/>
            <w:vAlign w:val="bottom"/>
          </w:tcPr>
          <w:p>
            <w:pPr>
              <w:jc w:val="right"/>
              <w:ind w:right="97"/>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2100" w:type="dxa"/>
            <w:vAlign w:val="bottom"/>
            <w:tcBorders>
              <w:right w:val="single" w:sz="8" w:color="auto"/>
            </w:tcBorders>
          </w:tcPr>
          <w:p>
            <w:pPr>
              <w:jc w:val="right"/>
              <w:ind w:right="95"/>
              <w:spacing w:after="0"/>
              <w:rPr>
                <w:sz w:val="20"/>
                <w:szCs w:val="20"/>
                <w:color w:val="auto"/>
              </w:rPr>
            </w:pPr>
            <w:r>
              <w:rPr>
                <w:rFonts w:ascii="Arial" w:cs="Arial" w:eastAsia="Arial" w:hAnsi="Arial"/>
                <w:sz w:val="18"/>
                <w:szCs w:val="18"/>
                <w:color w:val="auto"/>
              </w:rPr>
              <w:t>131,234</w:t>
            </w:r>
          </w:p>
        </w:tc>
      </w:tr>
      <w:tr>
        <w:trPr>
          <w:trHeight w:val="257"/>
        </w:trPr>
        <w:tc>
          <w:tcPr>
            <w:tcW w:w="672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Arial" w:cs="Arial" w:eastAsia="Arial" w:hAnsi="Arial"/>
                <w:sz w:val="18"/>
                <w:szCs w:val="18"/>
                <w:color w:val="auto"/>
              </w:rPr>
              <w:t>John R. Sevenich</w:t>
            </w:r>
          </w:p>
        </w:tc>
        <w:tc>
          <w:tcPr>
            <w:tcW w:w="2080" w:type="dxa"/>
            <w:vAlign w:val="bottom"/>
            <w:tcBorders>
              <w:bottom w:val="single" w:sz="8" w:color="auto"/>
            </w:tcBorders>
            <w:shd w:val="clear" w:color="auto" w:fill="B3B3B3"/>
          </w:tcPr>
          <w:p>
            <w:pPr>
              <w:jc w:val="right"/>
              <w:ind w:right="97"/>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auto"/>
            </w:tcBorders>
            <w:shd w:val="clear" w:color="auto" w:fill="B3B3B3"/>
          </w:tcPr>
          <w:p>
            <w:pPr>
              <w:spacing w:after="0"/>
              <w:rPr>
                <w:sz w:val="22"/>
                <w:szCs w:val="22"/>
                <w:color w:val="auto"/>
              </w:rPr>
            </w:pPr>
          </w:p>
        </w:tc>
        <w:tc>
          <w:tcPr>
            <w:tcW w:w="2100" w:type="dxa"/>
            <w:vAlign w:val="bottom"/>
            <w:tcBorders>
              <w:bottom w:val="single" w:sz="8" w:color="auto"/>
              <w:right w:val="single" w:sz="8" w:color="auto"/>
            </w:tcBorders>
            <w:shd w:val="clear" w:color="auto" w:fill="B3B3B3"/>
          </w:tcPr>
          <w:p>
            <w:pPr>
              <w:jc w:val="right"/>
              <w:ind w:right="95"/>
              <w:spacing w:after="0"/>
              <w:rPr>
                <w:sz w:val="20"/>
                <w:szCs w:val="20"/>
                <w:color w:val="auto"/>
              </w:rPr>
            </w:pPr>
            <w:r>
              <w:rPr>
                <w:rFonts w:ascii="Arial" w:cs="Arial" w:eastAsia="Arial" w:hAnsi="Arial"/>
                <w:sz w:val="18"/>
                <w:szCs w:val="18"/>
                <w:color w:val="auto"/>
              </w:rPr>
              <w:t>132,746</w:t>
            </w:r>
          </w:p>
        </w:tc>
      </w:tr>
    </w:tbl>
    <w:p>
      <w:pPr>
        <w:spacing w:after="0" w:line="107" w:lineRule="exact"/>
        <w:rPr>
          <w:sz w:val="20"/>
          <w:szCs w:val="20"/>
          <w:color w:val="auto"/>
        </w:rPr>
      </w:pPr>
    </w:p>
    <w:p>
      <w:pPr>
        <w:ind w:left="420" w:hanging="412"/>
        <w:spacing w:after="0" w:line="261" w:lineRule="auto"/>
        <w:tabs>
          <w:tab w:leader="none" w:pos="2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restricted shares vest 100% approximately on the first day of the third fiscal year following the fiscal year to which the awards pertain. The shares vesting in fiscal 2020 were those shares issued for fiscal 2017.</w:t>
      </w:r>
    </w:p>
    <w:p>
      <w:pPr>
        <w:spacing w:after="0" w:line="62" w:lineRule="exact"/>
        <w:rPr>
          <w:rFonts w:ascii="Arial" w:cs="Arial" w:eastAsia="Arial" w:hAnsi="Arial"/>
          <w:sz w:val="18"/>
          <w:szCs w:val="18"/>
          <w:color w:val="auto"/>
        </w:rPr>
      </w:pPr>
    </w:p>
    <w:p>
      <w:pPr>
        <w:ind w:left="420" w:right="100" w:hanging="412"/>
        <w:spacing w:after="0" w:line="261" w:lineRule="auto"/>
        <w:tabs>
          <w:tab w:leader="none" w:pos="2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$37.52 per share for the fiscal 2017 shares that vested on April 2, 2019.</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13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2020 we made contributions to this plan equal to 10% of each participant’s eligible compensation in the plan year, resulting in a contribution of $28,000 on behalf of each eligible named executive officer.</w:t>
      </w:r>
    </w:p>
    <w:p>
      <w:pPr>
        <w:spacing w:after="0" w:line="23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for fiscal 2020. Contributions to this plan were made after the end of fiscal 2020, and thus the aggregate balance at fiscal 2020 year end shown below does not include fiscal 2020 contributions yet to be made.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94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Registrant</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Aggregate Balance at</w:t>
            </w:r>
          </w:p>
        </w:tc>
      </w:tr>
      <w:tr>
        <w:trPr>
          <w:trHeight w:val="162"/>
        </w:trPr>
        <w:tc>
          <w:tcPr>
            <w:tcW w:w="594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rPr>
              <w:t>Contributions for</w:t>
            </w:r>
          </w:p>
        </w:tc>
        <w:tc>
          <w:tcPr>
            <w:tcW w:w="1780" w:type="dxa"/>
            <w:vAlign w:val="bottom"/>
            <w:gridSpan w:val="3"/>
          </w:tcPr>
          <w:p>
            <w:pPr>
              <w:ind w:left="220"/>
              <w:spacing w:after="0"/>
              <w:rPr>
                <w:sz w:val="20"/>
                <w:szCs w:val="20"/>
                <w:color w:val="auto"/>
              </w:rPr>
            </w:pPr>
            <w:r>
              <w:rPr>
                <w:rFonts w:ascii="Arial" w:cs="Arial" w:eastAsia="Arial" w:hAnsi="Arial"/>
                <w:sz w:val="14"/>
                <w:szCs w:val="14"/>
                <w:b w:val="1"/>
                <w:bCs w:val="1"/>
                <w:color w:val="auto"/>
              </w:rPr>
              <w:t>Aggregate Earnings</w:t>
            </w:r>
          </w:p>
        </w:tc>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Fiscal 2020 Year End</w:t>
            </w:r>
          </w:p>
        </w:tc>
      </w:tr>
      <w:tr>
        <w:trPr>
          <w:trHeight w:val="196"/>
        </w:trPr>
        <w:tc>
          <w:tcPr>
            <w:tcW w:w="5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B3B3B3"/>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Fiscal 2020 (a)</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in Fiscal 2020 (b)</w:t>
            </w:r>
          </w:p>
        </w:tc>
        <w:tc>
          <w:tcPr>
            <w:tcW w:w="120" w:type="dxa"/>
            <w:vAlign w:val="bottom"/>
            <w:tcBorders>
              <w:bottom w:val="single" w:sz="8" w:color="B3B3B3"/>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3"/>
              </w:rPr>
              <w:t>(c)</w:t>
            </w:r>
          </w:p>
        </w:tc>
      </w:tr>
      <w:tr>
        <w:trPr>
          <w:trHeight w:val="256"/>
        </w:trPr>
        <w:tc>
          <w:tcPr>
            <w:tcW w:w="60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B3B3B3"/>
          </w:tcPr>
          <w:p>
            <w:pPr>
              <w:jc w:val="right"/>
              <w:ind w:right="58"/>
              <w:spacing w:after="0"/>
              <w:rPr>
                <w:sz w:val="20"/>
                <w:szCs w:val="20"/>
                <w:color w:val="auto"/>
              </w:rPr>
            </w:pPr>
            <w:r>
              <w:rPr>
                <w:rFonts w:ascii="Arial" w:cs="Arial" w:eastAsia="Arial" w:hAnsi="Arial"/>
                <w:sz w:val="18"/>
                <w:szCs w:val="18"/>
                <w:color w:val="auto"/>
              </w:rPr>
              <w:t>28,000</w:t>
            </w:r>
          </w:p>
        </w:tc>
        <w:tc>
          <w:tcPr>
            <w:tcW w:w="2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B3B3B3"/>
          </w:tcPr>
          <w:p>
            <w:pPr>
              <w:jc w:val="right"/>
              <w:ind w:right="14"/>
              <w:spacing w:after="0"/>
              <w:rPr>
                <w:sz w:val="20"/>
                <w:szCs w:val="20"/>
                <w:color w:val="auto"/>
              </w:rPr>
            </w:pPr>
            <w:r>
              <w:rPr>
                <w:rFonts w:ascii="Arial" w:cs="Arial" w:eastAsia="Arial" w:hAnsi="Arial"/>
                <w:sz w:val="18"/>
                <w:szCs w:val="18"/>
                <w:color w:val="auto"/>
              </w:rPr>
              <w:t>(8,572)</w:t>
            </w:r>
          </w:p>
        </w:tc>
        <w:tc>
          <w:tcPr>
            <w:tcW w:w="120" w:type="dxa"/>
            <w:vAlign w:val="bottom"/>
            <w:shd w:val="clear" w:color="auto" w:fill="B3B3B3"/>
          </w:tcPr>
          <w:p>
            <w:pPr>
              <w:spacing w:after="0"/>
              <w:rPr>
                <w:sz w:val="22"/>
                <w:szCs w:val="22"/>
                <w:color w:val="auto"/>
              </w:rPr>
            </w:pPr>
          </w:p>
        </w:tc>
        <w:tc>
          <w:tcPr>
            <w:tcW w:w="420" w:type="dxa"/>
            <w:vAlign w:val="bottom"/>
            <w:shd w:val="clear" w:color="auto" w:fill="B3B3B3"/>
          </w:tcPr>
          <w:p>
            <w:pPr>
              <w:jc w:val="right"/>
              <w:ind w:right="216"/>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shd w:val="clear" w:color="auto" w:fill="B3B3B3"/>
          </w:tcPr>
          <w:p>
            <w:pPr>
              <w:jc w:val="right"/>
              <w:ind w:right="94"/>
              <w:spacing w:after="0"/>
              <w:rPr>
                <w:sz w:val="20"/>
                <w:szCs w:val="20"/>
                <w:color w:val="auto"/>
              </w:rPr>
            </w:pPr>
            <w:r>
              <w:rPr>
                <w:rFonts w:ascii="Arial" w:cs="Arial" w:eastAsia="Arial" w:hAnsi="Arial"/>
                <w:sz w:val="18"/>
                <w:szCs w:val="18"/>
                <w:color w:val="auto"/>
              </w:rPr>
              <w:t>76,113</w:t>
            </w:r>
          </w:p>
        </w:tc>
      </w:tr>
      <w:tr>
        <w:trPr>
          <w:trHeight w:val="250"/>
        </w:trPr>
        <w:tc>
          <w:tcPr>
            <w:tcW w:w="60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8"/>
              <w:spacing w:after="0"/>
              <w:rPr>
                <w:sz w:val="20"/>
                <w:szCs w:val="20"/>
                <w:color w:val="auto"/>
              </w:rPr>
            </w:pPr>
            <w:r>
              <w:rPr>
                <w:rFonts w:ascii="Arial" w:cs="Arial" w:eastAsia="Arial" w:hAnsi="Arial"/>
                <w:sz w:val="18"/>
                <w:szCs w:val="18"/>
                <w:color w:val="auto"/>
              </w:rPr>
              <w:t>28,000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(3,984)</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80,413</w:t>
            </w:r>
          </w:p>
        </w:tc>
      </w:tr>
      <w:tr>
        <w:trPr>
          <w:trHeight w:val="263"/>
        </w:trPr>
        <w:tc>
          <w:tcPr>
            <w:tcW w:w="60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Thomas J. Keller</w:t>
            </w: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B3B3B3"/>
          </w:tcPr>
          <w:p>
            <w:pPr>
              <w:jc w:val="right"/>
              <w:ind w:right="58"/>
              <w:spacing w:after="0"/>
              <w:rPr>
                <w:sz w:val="20"/>
                <w:szCs w:val="20"/>
                <w:color w:val="auto"/>
              </w:rPr>
            </w:pPr>
            <w:r>
              <w:rPr>
                <w:rFonts w:ascii="Arial" w:cs="Arial" w:eastAsia="Arial" w:hAnsi="Arial"/>
                <w:sz w:val="18"/>
                <w:szCs w:val="18"/>
                <w:color w:val="auto"/>
              </w:rPr>
              <w:t>28,000</w:t>
            </w:r>
          </w:p>
        </w:tc>
        <w:tc>
          <w:tcPr>
            <w:tcW w:w="2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B3B3B3"/>
          </w:tcPr>
          <w:p>
            <w:pPr>
              <w:jc w:val="right"/>
              <w:ind w:right="14"/>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B3B3B3"/>
          </w:tcPr>
          <w:p>
            <w:pPr>
              <w:spacing w:after="0"/>
              <w:rPr>
                <w:sz w:val="22"/>
                <w:szCs w:val="22"/>
                <w:color w:val="auto"/>
              </w:rPr>
            </w:pPr>
          </w:p>
        </w:tc>
        <w:tc>
          <w:tcPr>
            <w:tcW w:w="420" w:type="dxa"/>
            <w:vAlign w:val="bottom"/>
            <w:shd w:val="clear" w:color="auto" w:fill="B3B3B3"/>
          </w:tcPr>
          <w:p>
            <w:pPr>
              <w:jc w:val="right"/>
              <w:ind w:right="216"/>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shd w:val="clear" w:color="auto" w:fill="B3B3B3"/>
          </w:tcPr>
          <w:p>
            <w:pPr>
              <w:jc w:val="right"/>
              <w:ind w:right="94"/>
              <w:spacing w:after="0"/>
              <w:rPr>
                <w:sz w:val="20"/>
                <w:szCs w:val="20"/>
                <w:color w:val="auto"/>
              </w:rPr>
            </w:pPr>
            <w:r>
              <w:rPr>
                <w:rFonts w:ascii="Arial" w:cs="Arial" w:eastAsia="Arial" w:hAnsi="Arial"/>
                <w:sz w:val="18"/>
                <w:szCs w:val="18"/>
                <w:color w:val="auto"/>
              </w:rPr>
              <w:t>81,213</w:t>
            </w:r>
          </w:p>
        </w:tc>
      </w:tr>
      <w:tr>
        <w:trPr>
          <w:trHeight w:val="250"/>
        </w:trPr>
        <w:tc>
          <w:tcPr>
            <w:tcW w:w="60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John R. Sevenich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28,000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rPr>
              <w:t>80,475</w:t>
            </w:r>
          </w:p>
        </w:tc>
      </w:tr>
    </w:tbl>
    <w:p>
      <w:pPr>
        <w:spacing w:after="0" w:line="107" w:lineRule="exact"/>
        <w:rPr>
          <w:sz w:val="20"/>
          <w:szCs w:val="20"/>
          <w:color w:val="auto"/>
        </w:rPr>
      </w:pPr>
    </w:p>
    <w:p>
      <w:pPr>
        <w:ind w:left="420" w:right="160" w:hanging="412"/>
        <w:spacing w:after="0" w:line="261" w:lineRule="auto"/>
        <w:tabs>
          <w:tab w:leader="none" w:pos="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included as nonqualified deferred compensation are included in “all other compensation” in the Summary Compensation Table above.</w:t>
      </w:r>
    </w:p>
    <w:p>
      <w:pPr>
        <w:spacing w:after="0" w:line="76" w:lineRule="exact"/>
        <w:rPr>
          <w:rFonts w:ascii="Arial" w:cs="Arial" w:eastAsia="Arial" w:hAnsi="Arial"/>
          <w:sz w:val="18"/>
          <w:szCs w:val="18"/>
          <w:color w:val="auto"/>
        </w:rPr>
      </w:pPr>
    </w:p>
    <w:p>
      <w:pPr>
        <w:ind w:left="420" w:right="40" w:hanging="412"/>
        <w:spacing w:after="0" w:line="253" w:lineRule="auto"/>
        <w:tabs>
          <w:tab w:leader="none" w:pos="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deferred are credited with earnings from measuring investments selected by the participant from a collection of unaffiliated mutual funds identified by the company. The nonqualified deferred compensation plan does not credit above market earnings or preferential earnings to amounts deferred. The returns on the investment alternatives available to participants during fiscal 2020 ranged from -23.3% to 7.4%, with a median return of -7.1% for fiscal 2020. Participants may change their investment selections on a daily basis.</w:t>
      </w:r>
    </w:p>
    <w:p>
      <w:pPr>
        <w:spacing w:after="0" w:line="70" w:lineRule="exact"/>
        <w:rPr>
          <w:rFonts w:ascii="Arial" w:cs="Arial" w:eastAsia="Arial" w:hAnsi="Arial"/>
          <w:sz w:val="18"/>
          <w:szCs w:val="18"/>
          <w:color w:val="auto"/>
        </w:rPr>
      </w:pPr>
    </w:p>
    <w:p>
      <w:pPr>
        <w:ind w:left="420" w:right="120" w:hanging="412"/>
        <w:spacing w:after="0" w:line="261" w:lineRule="auto"/>
        <w:tabs>
          <w:tab w:leader="none" w:pos="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aggregate contributions made for each eligible named executive officer of $81,000 prior to the end of fiscal 2020, as reported in the Summary Compensation Table in the prior years.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ectPr>
          <w:pgSz w:w="11900" w:h="16838" w:orient="portrait"/>
          <w:cols w:equalWidth="0" w:num="1">
            <w:col w:w="11220"/>
          </w:cols>
          <w:pgMar w:left="320" w:top="1010"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20"/>
          </w:cols>
          <w:pgMar w:left="320" w:top="1010"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i w:val="1"/>
          <w:iCs w:val="1"/>
          <w:color w:val="auto"/>
        </w:rPr>
        <w:t>Potential Payments under Executive Severance Plan</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Messrs. Oldenkamp, Keller and Sevenich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“cause” means:</w:t>
      </w:r>
    </w:p>
    <w:p>
      <w:pPr>
        <w:spacing w:after="0" w:line="9"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660" w:right="40" w:hanging="328"/>
        <w:spacing w:after="0" w:line="261"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25"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w:t>
      </w:r>
    </w:p>
    <w:p>
      <w:pPr>
        <w:spacing w:after="0" w:line="1" w:lineRule="exact"/>
        <w:rPr>
          <w:sz w:val="20"/>
          <w:szCs w:val="20"/>
          <w:color w:val="auto"/>
        </w:rPr>
      </w:pPr>
    </w:p>
    <w:p>
      <w:pPr>
        <w:ind w:right="20" w:firstLine="8"/>
        <w:spacing w:after="0" w:line="252"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nonqualified deferred compensation plan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9" w:lineRule="exact"/>
        <w:rPr>
          <w:sz w:val="20"/>
          <w:szCs w:val="20"/>
          <w:color w:val="auto"/>
        </w:rPr>
      </w:pPr>
    </w:p>
    <w:p>
      <w:pPr>
        <w:ind w:left="660" w:right="160" w:hanging="328"/>
        <w:spacing w:after="0" w:line="250"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1" w:lineRule="exact"/>
        <w:rPr>
          <w:rFonts w:ascii="Arial" w:cs="Arial" w:eastAsia="Arial" w:hAnsi="Arial"/>
          <w:sz w:val="18"/>
          <w:szCs w:val="18"/>
          <w:color w:val="auto"/>
        </w:rPr>
      </w:pPr>
    </w:p>
    <w:p>
      <w:pPr>
        <w:ind w:left="660" w:right="40" w:hanging="328"/>
        <w:spacing w:after="0" w:line="25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28" w:right="339" w:bottom="1440" w:gutter="0" w:footer="0" w:header="0"/>
        </w:sectPr>
      </w:pPr>
    </w:p>
    <w:bookmarkStart w:id="27" w:name="page28"/>
    <w:bookmarkEnd w:id="27"/>
    <w:p>
      <w:pPr>
        <w:ind w:left="660" w:right="120" w:hanging="328"/>
        <w:spacing w:after="0" w:line="254"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2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to qualify for payments and benefits under the Executive Severance Plan.</w:t>
      </w:r>
    </w:p>
    <w:p>
      <w:pPr>
        <w:spacing w:after="0" w:line="22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2"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Accelerated Vesting of Equity Awards</w:t>
      </w:r>
    </w:p>
    <w:p>
      <w:pPr>
        <w:spacing w:after="0" w:line="1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Termination Following a Fundamental Change.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2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had taken place on the last business day of our most recently completed fiscal year under the following circumstances: termination without cause not in connection with a change in control, death or disability, or termination without cause or for good reason in connection with a change in control.</w:t>
      </w: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980" w:type="dxa"/>
            <w:vAlign w:val="bottom"/>
            <w:tcBorders>
              <w:top w:val="single" w:sz="8" w:color="auto"/>
              <w:left w:val="single" w:sz="8" w:color="auto"/>
            </w:tcBorders>
          </w:tcPr>
          <w:p>
            <w:pPr>
              <w:spacing w:after="0"/>
              <w:rPr>
                <w:sz w:val="19"/>
                <w:szCs w:val="19"/>
                <w:color w:val="auto"/>
              </w:rPr>
            </w:pPr>
          </w:p>
        </w:tc>
        <w:tc>
          <w:tcPr>
            <w:tcW w:w="30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Termination Without</w:t>
            </w:r>
          </w:p>
        </w:tc>
      </w:tr>
      <w:tr>
        <w:trPr>
          <w:trHeight w:val="203"/>
        </w:trPr>
        <w:tc>
          <w:tcPr>
            <w:tcW w:w="3980" w:type="dxa"/>
            <w:vAlign w:val="bottom"/>
            <w:tcBorders>
              <w:left w:val="single" w:sz="8" w:color="auto"/>
            </w:tcBorders>
          </w:tcPr>
          <w:p>
            <w:pPr>
              <w:spacing w:after="0"/>
              <w:rPr>
                <w:sz w:val="17"/>
                <w:szCs w:val="17"/>
                <w:color w:val="auto"/>
              </w:rPr>
            </w:pPr>
          </w:p>
        </w:tc>
        <w:tc>
          <w:tcPr>
            <w:tcW w:w="3080" w:type="dxa"/>
            <w:vAlign w:val="bottom"/>
          </w:tcPr>
          <w:p>
            <w:pPr>
              <w:jc w:val="center"/>
              <w:ind w:left="938"/>
              <w:spacing w:after="0" w:line="202" w:lineRule="exact"/>
              <w:rPr>
                <w:sz w:val="20"/>
                <w:szCs w:val="20"/>
                <w:color w:val="auto"/>
              </w:rPr>
            </w:pPr>
            <w:r>
              <w:rPr>
                <w:rFonts w:ascii="Arial" w:cs="Arial" w:eastAsia="Arial" w:hAnsi="Arial"/>
                <w:sz w:val="18"/>
                <w:szCs w:val="18"/>
                <w:b w:val="1"/>
                <w:bCs w:val="1"/>
                <w:color w:val="auto"/>
                <w:w w:val="99"/>
              </w:rPr>
              <w:t>Termination Without</w:t>
            </w:r>
          </w:p>
        </w:tc>
        <w:tc>
          <w:tcPr>
            <w:tcW w:w="1880" w:type="dxa"/>
            <w:vAlign w:val="bottom"/>
          </w:tcPr>
          <w:p>
            <w:pPr>
              <w:spacing w:after="0"/>
              <w:rPr>
                <w:sz w:val="17"/>
                <w:szCs w:val="17"/>
                <w:color w:val="auto"/>
              </w:rPr>
            </w:pPr>
          </w:p>
        </w:tc>
        <w:tc>
          <w:tcPr>
            <w:tcW w:w="1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Cause or for Good</w:t>
            </w:r>
          </w:p>
        </w:tc>
      </w:tr>
      <w:tr>
        <w:trPr>
          <w:trHeight w:val="203"/>
        </w:trPr>
        <w:tc>
          <w:tcPr>
            <w:tcW w:w="3980" w:type="dxa"/>
            <w:vAlign w:val="bottom"/>
            <w:tcBorders>
              <w:left w:val="single" w:sz="8" w:color="auto"/>
            </w:tcBorders>
          </w:tcPr>
          <w:p>
            <w:pPr>
              <w:spacing w:after="0"/>
              <w:rPr>
                <w:sz w:val="17"/>
                <w:szCs w:val="17"/>
                <w:color w:val="auto"/>
              </w:rPr>
            </w:pPr>
          </w:p>
        </w:tc>
        <w:tc>
          <w:tcPr>
            <w:tcW w:w="3080" w:type="dxa"/>
            <w:vAlign w:val="bottom"/>
          </w:tcPr>
          <w:p>
            <w:pPr>
              <w:jc w:val="center"/>
              <w:ind w:left="958"/>
              <w:spacing w:after="0" w:line="202" w:lineRule="exact"/>
              <w:rPr>
                <w:sz w:val="20"/>
                <w:szCs w:val="20"/>
                <w:color w:val="auto"/>
              </w:rPr>
            </w:pPr>
            <w:r>
              <w:rPr>
                <w:rFonts w:ascii="Arial" w:cs="Arial" w:eastAsia="Arial" w:hAnsi="Arial"/>
                <w:sz w:val="18"/>
                <w:szCs w:val="18"/>
                <w:b w:val="1"/>
                <w:bCs w:val="1"/>
                <w:color w:val="auto"/>
                <w:w w:val="99"/>
              </w:rPr>
              <w:t>Cause not in</w:t>
            </w:r>
          </w:p>
        </w:tc>
        <w:tc>
          <w:tcPr>
            <w:tcW w:w="1880" w:type="dxa"/>
            <w:vAlign w:val="bottom"/>
          </w:tcPr>
          <w:p>
            <w:pPr>
              <w:spacing w:after="0"/>
              <w:rPr>
                <w:sz w:val="17"/>
                <w:szCs w:val="17"/>
                <w:color w:val="auto"/>
              </w:rPr>
            </w:pPr>
          </w:p>
        </w:tc>
        <w:tc>
          <w:tcPr>
            <w:tcW w:w="1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Reason in</w:t>
            </w:r>
          </w:p>
        </w:tc>
      </w:tr>
      <w:tr>
        <w:trPr>
          <w:trHeight w:val="203"/>
        </w:trPr>
        <w:tc>
          <w:tcPr>
            <w:tcW w:w="3980" w:type="dxa"/>
            <w:vAlign w:val="bottom"/>
            <w:tcBorders>
              <w:left w:val="single" w:sz="8" w:color="auto"/>
            </w:tcBorders>
          </w:tcPr>
          <w:p>
            <w:pPr>
              <w:spacing w:after="0"/>
              <w:rPr>
                <w:sz w:val="17"/>
                <w:szCs w:val="17"/>
                <w:color w:val="auto"/>
              </w:rPr>
            </w:pPr>
          </w:p>
        </w:tc>
        <w:tc>
          <w:tcPr>
            <w:tcW w:w="3080" w:type="dxa"/>
            <w:vAlign w:val="bottom"/>
          </w:tcPr>
          <w:p>
            <w:pPr>
              <w:jc w:val="center"/>
              <w:ind w:left="958"/>
              <w:spacing w:after="0" w:line="202" w:lineRule="exact"/>
              <w:rPr>
                <w:sz w:val="20"/>
                <w:szCs w:val="20"/>
                <w:color w:val="auto"/>
              </w:rPr>
            </w:pPr>
            <w:r>
              <w:rPr>
                <w:rFonts w:ascii="Arial" w:cs="Arial" w:eastAsia="Arial" w:hAnsi="Arial"/>
                <w:sz w:val="18"/>
                <w:szCs w:val="18"/>
                <w:b w:val="1"/>
                <w:bCs w:val="1"/>
                <w:color w:val="auto"/>
                <w:w w:val="99"/>
              </w:rPr>
              <w:t>connection with a</w:t>
            </w:r>
          </w:p>
        </w:tc>
        <w:tc>
          <w:tcPr>
            <w:tcW w:w="1880" w:type="dxa"/>
            <w:vAlign w:val="bottom"/>
          </w:tcPr>
          <w:p>
            <w:pPr>
              <w:spacing w:after="0"/>
              <w:rPr>
                <w:sz w:val="17"/>
                <w:szCs w:val="17"/>
                <w:color w:val="auto"/>
              </w:rPr>
            </w:pPr>
          </w:p>
        </w:tc>
        <w:tc>
          <w:tcPr>
            <w:tcW w:w="1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connection with a</w:t>
            </w:r>
          </w:p>
        </w:tc>
      </w:tr>
      <w:tr>
        <w:trPr>
          <w:trHeight w:val="203"/>
        </w:trPr>
        <w:tc>
          <w:tcPr>
            <w:tcW w:w="3980" w:type="dxa"/>
            <w:vAlign w:val="bottom"/>
            <w:tcBorders>
              <w:left w:val="single" w:sz="8" w:color="auto"/>
            </w:tcBorders>
          </w:tcPr>
          <w:p>
            <w:pPr>
              <w:spacing w:after="0"/>
              <w:rPr>
                <w:sz w:val="17"/>
                <w:szCs w:val="17"/>
                <w:color w:val="auto"/>
              </w:rPr>
            </w:pPr>
          </w:p>
        </w:tc>
        <w:tc>
          <w:tcPr>
            <w:tcW w:w="3080" w:type="dxa"/>
            <w:vAlign w:val="bottom"/>
          </w:tcPr>
          <w:p>
            <w:pPr>
              <w:jc w:val="center"/>
              <w:ind w:left="958"/>
              <w:spacing w:after="0" w:line="202" w:lineRule="exact"/>
              <w:rPr>
                <w:sz w:val="20"/>
                <w:szCs w:val="20"/>
                <w:color w:val="auto"/>
              </w:rPr>
            </w:pPr>
            <w:r>
              <w:rPr>
                <w:rFonts w:ascii="Arial" w:cs="Arial" w:eastAsia="Arial" w:hAnsi="Arial"/>
                <w:sz w:val="18"/>
                <w:szCs w:val="18"/>
                <w:b w:val="1"/>
                <w:bCs w:val="1"/>
                <w:color w:val="auto"/>
                <w:w w:val="99"/>
              </w:rPr>
              <w:t>Change in Control</w:t>
            </w:r>
          </w:p>
        </w:tc>
        <w:tc>
          <w:tcPr>
            <w:tcW w:w="1880" w:type="dxa"/>
            <w:vAlign w:val="bottom"/>
          </w:tcPr>
          <w:p>
            <w:pPr>
              <w:jc w:val="right"/>
              <w:ind w:right="79"/>
              <w:spacing w:after="0" w:line="202" w:lineRule="exact"/>
              <w:rPr>
                <w:sz w:val="20"/>
                <w:szCs w:val="20"/>
                <w:color w:val="auto"/>
              </w:rPr>
            </w:pPr>
            <w:r>
              <w:rPr>
                <w:rFonts w:ascii="Arial" w:cs="Arial" w:eastAsia="Arial" w:hAnsi="Arial"/>
                <w:sz w:val="18"/>
                <w:szCs w:val="18"/>
                <w:b w:val="1"/>
                <w:bCs w:val="1"/>
                <w:color w:val="auto"/>
              </w:rPr>
              <w:t>Death or Disability</w:t>
            </w:r>
          </w:p>
        </w:tc>
        <w:tc>
          <w:tcPr>
            <w:tcW w:w="1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Change in Control</w:t>
            </w:r>
          </w:p>
        </w:tc>
      </w:tr>
      <w:tr>
        <w:trPr>
          <w:trHeight w:val="246"/>
        </w:trPr>
        <w:tc>
          <w:tcPr>
            <w:tcW w:w="3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3080" w:type="dxa"/>
            <w:vAlign w:val="bottom"/>
            <w:tcBorders>
              <w:bottom w:val="single" w:sz="8" w:color="auto"/>
            </w:tcBorders>
          </w:tcPr>
          <w:p>
            <w:pPr>
              <w:jc w:val="center"/>
              <w:ind w:left="938"/>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rPr>
              <w:t>($)</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Salary Continuation Amount (a)</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750,000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1,000,000</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360,500</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540,750</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289,430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434,145</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278,100</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417,150</w:t>
            </w:r>
          </w:p>
        </w:tc>
      </w:tr>
      <w:tr>
        <w:trPr>
          <w:trHeight w:val="224"/>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272,950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409,425</w:t>
            </w:r>
          </w:p>
        </w:tc>
      </w:tr>
      <w:tr>
        <w:trPr>
          <w:trHeight w:val="114"/>
        </w:trPr>
        <w:tc>
          <w:tcPr>
            <w:tcW w:w="3980" w:type="dxa"/>
            <w:vAlign w:val="bottom"/>
            <w:tcBorders>
              <w:left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Medical and Dental Coverage (b)</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21,773</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21,773</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14,170</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21,255</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14,407</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21,611</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10,425</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15,638</w:t>
            </w:r>
          </w:p>
        </w:tc>
      </w:tr>
      <w:tr>
        <w:trPr>
          <w:trHeight w:val="22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10,411</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15,617</w:t>
            </w:r>
          </w:p>
        </w:tc>
      </w:tr>
      <w:tr>
        <w:trPr>
          <w:trHeight w:val="114"/>
        </w:trPr>
        <w:tc>
          <w:tcPr>
            <w:tcW w:w="3980" w:type="dxa"/>
            <w:vAlign w:val="bottom"/>
            <w:tcBorders>
              <w:left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Outplacement Costs (c)</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12,500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12,500</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12,500</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12,500</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12,500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12,500</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12,500</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12,500</w:t>
            </w:r>
          </w:p>
        </w:tc>
      </w:tr>
      <w:tr>
        <w:trPr>
          <w:trHeight w:val="22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12,500</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12,500</w:t>
            </w:r>
          </w:p>
        </w:tc>
      </w:tr>
      <w:tr>
        <w:trPr>
          <w:trHeight w:val="114"/>
        </w:trPr>
        <w:tc>
          <w:tcPr>
            <w:tcW w:w="3980" w:type="dxa"/>
            <w:vAlign w:val="bottom"/>
            <w:tcBorders>
              <w:left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Target Bonus Amount (d)</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1,000,000</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270,375</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173,838</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166,860</w:t>
            </w:r>
          </w:p>
        </w:tc>
      </w:tr>
      <w:tr>
        <w:trPr>
          <w:trHeight w:val="224"/>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163,770</w:t>
            </w:r>
          </w:p>
        </w:tc>
      </w:tr>
      <w:tr>
        <w:trPr>
          <w:trHeight w:val="114"/>
        </w:trPr>
        <w:tc>
          <w:tcPr>
            <w:tcW w:w="3980" w:type="dxa"/>
            <w:vAlign w:val="bottom"/>
            <w:tcBorders>
              <w:left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Profit Sharing / 401(k) Contribution (e)</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85,500</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42,750</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64,125</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64,125</w:t>
            </w:r>
          </w:p>
        </w:tc>
      </w:tr>
      <w:tr>
        <w:trPr>
          <w:trHeight w:val="22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64,125</w:t>
            </w:r>
          </w:p>
        </w:tc>
      </w:tr>
      <w:tr>
        <w:trPr>
          <w:trHeight w:val="114"/>
        </w:trPr>
        <w:tc>
          <w:tcPr>
            <w:tcW w:w="3980" w:type="dxa"/>
            <w:vAlign w:val="bottom"/>
            <w:tcBorders>
              <w:left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Acceleration of Equity Awards (f)</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1,224,275</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1,224,275</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806,341</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806,341</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498,884</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498,884</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442,468</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442,468</w:t>
            </w:r>
          </w:p>
        </w:tc>
      </w:tr>
      <w:tr>
        <w:trPr>
          <w:trHeight w:val="22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434,278</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434,278</w:t>
            </w:r>
          </w:p>
        </w:tc>
      </w:tr>
      <w:tr>
        <w:trPr>
          <w:trHeight w:val="114"/>
        </w:trPr>
        <w:tc>
          <w:tcPr>
            <w:tcW w:w="3980" w:type="dxa"/>
            <w:vAlign w:val="bottom"/>
            <w:tcBorders>
              <w:left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r>
      <w:tr>
        <w:trPr>
          <w:trHeight w:val="243"/>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Total</w:t>
            </w:r>
          </w:p>
        </w:tc>
        <w:tc>
          <w:tcPr>
            <w:tcW w:w="3080" w:type="dxa"/>
            <w:vAlign w:val="bottom"/>
            <w:shd w:val="clear" w:color="auto" w:fill="B3B3B3"/>
          </w:tcPr>
          <w:p>
            <w:pPr>
              <w:spacing w:after="0"/>
              <w:rPr>
                <w:sz w:val="21"/>
                <w:szCs w:val="21"/>
                <w:color w:val="auto"/>
              </w:rPr>
            </w:pPr>
          </w:p>
        </w:tc>
        <w:tc>
          <w:tcPr>
            <w:tcW w:w="1880" w:type="dxa"/>
            <w:vAlign w:val="bottom"/>
            <w:shd w:val="clear" w:color="auto" w:fill="B3B3B3"/>
          </w:tcPr>
          <w:p>
            <w:pPr>
              <w:spacing w:after="0"/>
              <w:rPr>
                <w:sz w:val="21"/>
                <w:szCs w:val="21"/>
                <w:color w:val="auto"/>
              </w:rPr>
            </w:pPr>
          </w:p>
        </w:tc>
        <w:tc>
          <w:tcPr>
            <w:tcW w:w="1960" w:type="dxa"/>
            <w:vAlign w:val="bottom"/>
            <w:tcBorders>
              <w:right w:val="single" w:sz="8" w:color="auto"/>
            </w:tcBorders>
            <w:shd w:val="clear" w:color="auto" w:fill="B3B3B3"/>
          </w:tcPr>
          <w:p>
            <w:pPr>
              <w:spacing w:after="0"/>
              <w:rPr>
                <w:sz w:val="21"/>
                <w:szCs w:val="21"/>
                <w:color w:val="auto"/>
              </w:rPr>
            </w:pP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784,273</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1,224,275</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3,344,048</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387,170</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806,341</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1,693,971</w:t>
            </w:r>
          </w:p>
        </w:tc>
      </w:tr>
      <w:tr>
        <w:trPr>
          <w:trHeight w:val="23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316,337</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498,884</w:t>
            </w:r>
          </w:p>
        </w:tc>
        <w:tc>
          <w:tcPr>
            <w:tcW w:w="1960" w:type="dxa"/>
            <w:vAlign w:val="bottom"/>
            <w:tcBorders>
              <w:right w:val="single" w:sz="8" w:color="auto"/>
            </w:tcBorders>
          </w:tcPr>
          <w:p>
            <w:pPr>
              <w:jc w:val="right"/>
              <w:ind w:right="98"/>
              <w:spacing w:after="0"/>
              <w:rPr>
                <w:sz w:val="20"/>
                <w:szCs w:val="20"/>
                <w:color w:val="auto"/>
              </w:rPr>
            </w:pPr>
            <w:r>
              <w:rPr>
                <w:rFonts w:ascii="Arial" w:cs="Arial" w:eastAsia="Arial" w:hAnsi="Arial"/>
                <w:sz w:val="16"/>
                <w:szCs w:val="16"/>
                <w:color w:val="auto"/>
              </w:rPr>
              <w:t>1,205,103</w:t>
            </w:r>
          </w:p>
        </w:tc>
      </w:tr>
      <w:tr>
        <w:trPr>
          <w:trHeight w:val="253"/>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Thomas J. Keller</w:t>
            </w:r>
          </w:p>
        </w:tc>
        <w:tc>
          <w:tcPr>
            <w:tcW w:w="3080" w:type="dxa"/>
            <w:vAlign w:val="bottom"/>
            <w:shd w:val="clear" w:color="auto" w:fill="B3B3B3"/>
          </w:tcPr>
          <w:p>
            <w:pPr>
              <w:jc w:val="right"/>
              <w:ind w:right="178"/>
              <w:spacing w:after="0"/>
              <w:rPr>
                <w:sz w:val="20"/>
                <w:szCs w:val="20"/>
                <w:color w:val="auto"/>
              </w:rPr>
            </w:pPr>
            <w:r>
              <w:rPr>
                <w:rFonts w:ascii="Arial" w:cs="Arial" w:eastAsia="Arial" w:hAnsi="Arial"/>
                <w:sz w:val="16"/>
                <w:szCs w:val="16"/>
                <w:color w:val="auto"/>
              </w:rPr>
              <w:t>301,025</w:t>
            </w:r>
          </w:p>
        </w:tc>
        <w:tc>
          <w:tcPr>
            <w:tcW w:w="1880" w:type="dxa"/>
            <w:vAlign w:val="bottom"/>
            <w:shd w:val="clear" w:color="auto" w:fill="B3B3B3"/>
          </w:tcPr>
          <w:p>
            <w:pPr>
              <w:jc w:val="right"/>
              <w:ind w:right="99"/>
              <w:spacing w:after="0"/>
              <w:rPr>
                <w:sz w:val="20"/>
                <w:szCs w:val="20"/>
                <w:color w:val="auto"/>
              </w:rPr>
            </w:pPr>
            <w:r>
              <w:rPr>
                <w:rFonts w:ascii="Arial" w:cs="Arial" w:eastAsia="Arial" w:hAnsi="Arial"/>
                <w:sz w:val="16"/>
                <w:szCs w:val="16"/>
                <w:color w:val="auto"/>
              </w:rPr>
              <w:t>442,468</w:t>
            </w:r>
          </w:p>
        </w:tc>
        <w:tc>
          <w:tcPr>
            <w:tcW w:w="1960" w:type="dxa"/>
            <w:vAlign w:val="bottom"/>
            <w:tcBorders>
              <w:right w:val="single" w:sz="8" w:color="auto"/>
            </w:tcBorders>
            <w:shd w:val="clear" w:color="auto" w:fill="B3B3B3"/>
          </w:tcPr>
          <w:p>
            <w:pPr>
              <w:jc w:val="right"/>
              <w:ind w:right="98"/>
              <w:spacing w:after="0"/>
              <w:rPr>
                <w:sz w:val="20"/>
                <w:szCs w:val="20"/>
                <w:color w:val="auto"/>
              </w:rPr>
            </w:pPr>
            <w:r>
              <w:rPr>
                <w:rFonts w:ascii="Arial" w:cs="Arial" w:eastAsia="Arial" w:hAnsi="Arial"/>
                <w:sz w:val="16"/>
                <w:szCs w:val="16"/>
                <w:color w:val="auto"/>
              </w:rPr>
              <w:t>1,118,741</w:t>
            </w:r>
          </w:p>
        </w:tc>
      </w:tr>
      <w:tr>
        <w:trPr>
          <w:trHeight w:val="236"/>
        </w:trPr>
        <w:tc>
          <w:tcPr>
            <w:tcW w:w="398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John R. Sevenich</w:t>
            </w:r>
          </w:p>
        </w:tc>
        <w:tc>
          <w:tcPr>
            <w:tcW w:w="3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295,861</w:t>
            </w:r>
          </w:p>
        </w:tc>
        <w:tc>
          <w:tcPr>
            <w:tcW w:w="1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434,278</w:t>
            </w:r>
          </w:p>
        </w:tc>
        <w:tc>
          <w:tcPr>
            <w:tcW w:w="1960" w:type="dxa"/>
            <w:vAlign w:val="bottom"/>
            <w:tcBorders>
              <w:bottom w:val="single" w:sz="8" w:color="auto"/>
              <w:right w:val="single" w:sz="8" w:color="auto"/>
            </w:tcBorders>
          </w:tcPr>
          <w:p>
            <w:pPr>
              <w:jc w:val="right"/>
              <w:ind w:right="98"/>
              <w:spacing w:after="0"/>
              <w:rPr>
                <w:sz w:val="20"/>
                <w:szCs w:val="20"/>
                <w:color w:val="auto"/>
              </w:rPr>
            </w:pPr>
            <w:r>
              <w:rPr>
                <w:rFonts w:ascii="Arial" w:cs="Arial" w:eastAsia="Arial" w:hAnsi="Arial"/>
                <w:sz w:val="16"/>
                <w:szCs w:val="16"/>
                <w:color w:val="auto"/>
              </w:rPr>
              <w:t>1,099,715</w:t>
            </w:r>
          </w:p>
        </w:tc>
      </w:tr>
    </w:tbl>
    <w:p>
      <w:pPr>
        <w:spacing w:after="0" w:line="200" w:lineRule="exact"/>
        <w:rPr>
          <w:sz w:val="20"/>
          <w:szCs w:val="20"/>
          <w:color w:val="auto"/>
        </w:rPr>
      </w:pPr>
    </w:p>
    <w:p>
      <w:pPr>
        <w:sectPr>
          <w:pgSz w:w="11900" w:h="16838" w:orient="portrait"/>
          <w:cols w:equalWidth="0" w:num="1">
            <w:col w:w="11000"/>
          </w:cols>
          <w:pgMar w:left="320" w:top="908" w:right="579" w:bottom="941"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00"/>
          </w:cols>
          <w:pgMar w:left="320" w:top="908" w:right="579" w:bottom="941" w:gutter="0" w:footer="0" w:header="0"/>
          <w:type w:val="continuous"/>
        </w:sectPr>
      </w:pPr>
    </w:p>
    <w:bookmarkStart w:id="29" w:name="page30"/>
    <w:bookmarkEnd w:id="29"/>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90" w:lineRule="exact"/>
        <w:rPr>
          <w:rFonts w:ascii="Arial" w:cs="Arial" w:eastAsia="Arial" w:hAnsi="Arial"/>
          <w:sz w:val="18"/>
          <w:szCs w:val="18"/>
          <w:color w:val="auto"/>
        </w:rPr>
      </w:pPr>
    </w:p>
    <w:p>
      <w:pPr>
        <w:ind w:left="420" w:right="120" w:hanging="412"/>
        <w:spacing w:after="0" w:line="261"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76" w:lineRule="exact"/>
        <w:rPr>
          <w:rFonts w:ascii="Arial" w:cs="Arial" w:eastAsia="Arial" w:hAnsi="Arial"/>
          <w:sz w:val="18"/>
          <w:szCs w:val="18"/>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103" w:lineRule="exact"/>
        <w:rPr>
          <w:rFonts w:ascii="Arial" w:cs="Arial" w:eastAsia="Arial" w:hAnsi="Arial"/>
          <w:sz w:val="18"/>
          <w:szCs w:val="18"/>
          <w:color w:val="auto"/>
        </w:rPr>
      </w:pPr>
    </w:p>
    <w:p>
      <w:pPr>
        <w:ind w:left="420" w:right="380" w:hanging="412"/>
        <w:spacing w:after="0" w:line="261"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62" w:lineRule="exact"/>
        <w:rPr>
          <w:rFonts w:ascii="Arial" w:cs="Arial" w:eastAsia="Arial" w:hAnsi="Arial"/>
          <w:sz w:val="18"/>
          <w:szCs w:val="18"/>
          <w:color w:val="auto"/>
        </w:rPr>
      </w:pPr>
    </w:p>
    <w:p>
      <w:pPr>
        <w:ind w:left="420" w:right="20" w:hanging="412"/>
        <w:spacing w:after="0" w:line="252" w:lineRule="auto"/>
        <w:tabs>
          <w:tab w:leader="none" w:pos="4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equal the amounts the eligible executive would have received under the company’s profit sharing plan or nonqualified deferred compensation plan, depending upon participant eligibility, if the executive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86" w:lineRule="exact"/>
        <w:rPr>
          <w:rFonts w:ascii="Arial" w:cs="Arial" w:eastAsia="Arial" w:hAnsi="Arial"/>
          <w:sz w:val="18"/>
          <w:szCs w:val="18"/>
          <w:color w:val="auto"/>
        </w:rPr>
      </w:pPr>
    </w:p>
    <w:p>
      <w:pPr>
        <w:ind w:left="420" w:right="220" w:hanging="412"/>
        <w:spacing w:after="0" w:line="256" w:lineRule="auto"/>
        <w:tabs>
          <w:tab w:leader="none" w:pos="4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both outstanding Performance-Based Restricted Stock Units and Restricted Stock issued upon settlement of the same. Amounts determined by multiplying the number of shares for which vesting is accelerated by the closing price of our common stock of $33.28 per share as reported by Nasdaq on March 27, 2020, the last business day of fiscal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3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Patrick H. Hawkins, our Chief Executive Officer (our “CEO”). For 2020, our last completed fiscal year, the annual total compensation of our CEO was $1,873,926 as reported in the Summary Compensation Table above, and the annual total compensation of our median employee was $ 91,452. This comparison results in a CEO pay ratio of 20 to 1. This pay ratio estimate has been calculated in a manner consistent with Item 402(u) of Regulation S-K.</w:t>
      </w:r>
    </w:p>
    <w:p>
      <w:pPr>
        <w:spacing w:after="0" w:line="23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To identify the median employee and determine the annual total compensation of our median employee, the methodology and the material assumptions, adjustments, and estimates that we used are described below.</w:t>
      </w:r>
    </w:p>
    <w:p>
      <w:pPr>
        <w:spacing w:after="0" w:line="1" w:lineRule="exact"/>
        <w:rPr>
          <w:sz w:val="20"/>
          <w:szCs w:val="20"/>
          <w:color w:val="auto"/>
        </w:rPr>
      </w:pPr>
    </w:p>
    <w:p>
      <w:pPr>
        <w:ind w:left="580" w:right="260" w:hanging="248"/>
        <w:spacing w:after="0" w:line="250"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determined that, as of January 15, 2019, our employee population consisted of 640 individuals (including full-time and part-time employees, other than the CEO) working at Hawkins together with our consolidated subsidiaries.</w:t>
      </w:r>
    </w:p>
    <w:p>
      <w:pPr>
        <w:ind w:left="580" w:right="600" w:hanging="248"/>
        <w:spacing w:after="0" w:line="250"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2018 but did not work for us or our consolidated subsidiaries for the entire twelve-month period described below.</w:t>
      </w:r>
    </w:p>
    <w:p>
      <w:pPr>
        <w:ind w:left="580" w:right="280" w:hanging="248"/>
        <w:spacing w:after="0" w:line="250"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identified our median employee based on the total Medicare Wages reported on Form W-2 paid during the twelve-month period ended December 31, 2018.</w:t>
      </w:r>
    </w:p>
    <w:p>
      <w:pPr>
        <w:ind w:left="580" w:right="620" w:hanging="248"/>
        <w:spacing w:after="0" w:line="256" w:lineRule="auto"/>
        <w:tabs>
          <w:tab w:leader="none" w:pos="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Once we identified our median employee, we then determined that employee's total compensation, including any cash paid as reflected in our payroll records and other benefits, in the same manner that we determine the total compensation of our named executive officers for purposes of the Summary Compensation Table disclosed above.</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fiscal 2020, there were no material changes to the company’s employee population or compensation arrangements, including the previously identified median employee, that would reasonably be expected to significantly impact the pay ratio or warrant identifying a new median employee.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for Fiscal 2020</w:t>
      </w:r>
    </w:p>
    <w:p>
      <w:pPr>
        <w:spacing w:after="0" w:line="13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fiscal 2020, each non-employee director earned an annual retainer of $40,000. Supplemental annual retainers were earned by our Chairman of the Board ($70,000) and the chairs of our Audit committee ($ 10,000), Compensation committee ($8,750) and Governance and Nominating Committee ($5,000). Additionally, our non-employee directors received a meeting fee of $2,000 for each Board and committee meeting attended.</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Compensation Committee oversees our director compensation grants, under which each director, other than the Chief Executive Officer, receives a grant of restricted shares with a value of $50,000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2020, each applicable director was granted 1,144 shares of restricted shares on July 31, 2019, and these shares will vest in their entirety one year from their date of issuance.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003" w:right="339" w:bottom="1440" w:gutter="0" w:footer="0" w:header="0"/>
        </w:sectPr>
      </w:pPr>
    </w:p>
    <w:bookmarkStart w:id="30" w:name="page31"/>
    <w:bookmarkEnd w:id="30"/>
    <w:p>
      <w:pPr>
        <w:ind w:right="340"/>
        <w:spacing w:after="0" w:line="261" w:lineRule="auto"/>
        <w:rPr>
          <w:sz w:val="20"/>
          <w:szCs w:val="20"/>
          <w:color w:val="auto"/>
        </w:rPr>
      </w:pPr>
      <w:r>
        <w:rPr>
          <w:rFonts w:ascii="Arial" w:cs="Arial" w:eastAsia="Arial" w:hAnsi="Arial"/>
          <w:sz w:val="18"/>
          <w:szCs w:val="18"/>
          <w:color w:val="auto"/>
        </w:rPr>
        <w:t>The following table shows, for each applicable director, information concerning annual compensation earned for services in all capacities during fiscal 2020:</w:t>
      </w:r>
    </w:p>
    <w:tbl>
      <w:tblPr>
        <w:tblLayout w:type="fixed"/>
        <w:tblInd w:w="10" w:type="dxa"/>
        <w:tblCellMar>
          <w:top w:w="0" w:type="dxa"/>
          <w:left w:w="0" w:type="dxa"/>
          <w:bottom w:w="0" w:type="dxa"/>
          <w:right w:w="0" w:type="dxa"/>
        </w:tblCellMar>
      </w:tblPr>
      <w:tr>
        <w:trPr>
          <w:trHeight w:val="179"/>
        </w:trPr>
        <w:tc>
          <w:tcPr>
            <w:tcW w:w="424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Fees Earned</w:t>
            </w: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r>
      <w:tr>
        <w:trPr>
          <w:trHeight w:val="162"/>
        </w:trPr>
        <w:tc>
          <w:tcPr>
            <w:tcW w:w="42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Paid</w:t>
            </w: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Stock</w:t>
            </w:r>
          </w:p>
        </w:tc>
        <w:tc>
          <w:tcPr>
            <w:tcW w:w="1840" w:type="dxa"/>
            <w:vAlign w:val="bottom"/>
            <w:gridSpan w:val="2"/>
          </w:tcPr>
          <w:p>
            <w:pPr>
              <w:ind w:left="56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Borders>
              <w:right w:val="single" w:sz="8" w:color="auto"/>
            </w:tcBorders>
          </w:tcPr>
          <w:p>
            <w:pPr>
              <w:spacing w:after="0"/>
              <w:rPr>
                <w:sz w:val="14"/>
                <w:szCs w:val="14"/>
                <w:color w:val="auto"/>
              </w:rPr>
            </w:pPr>
          </w:p>
        </w:tc>
      </w:tr>
      <w:tr>
        <w:trPr>
          <w:trHeight w:val="196"/>
        </w:trPr>
        <w:tc>
          <w:tcPr>
            <w:tcW w:w="4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B3B3B3"/>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Cash ($)</w:t>
            </w:r>
          </w:p>
        </w:tc>
        <w:tc>
          <w:tcPr>
            <w:tcW w:w="100" w:type="dxa"/>
            <w:vAlign w:val="bottom"/>
            <w:tcBorders>
              <w:bottom w:val="single" w:sz="8" w:color="B3B3B3"/>
            </w:tcBorders>
          </w:tcPr>
          <w:p>
            <w:pPr>
              <w:spacing w:after="0"/>
              <w:rPr>
                <w:sz w:val="17"/>
                <w:szCs w:val="17"/>
                <w:color w:val="auto"/>
              </w:rPr>
            </w:pP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Awards ($)(a)</w:t>
            </w:r>
          </w:p>
        </w:tc>
        <w:tc>
          <w:tcPr>
            <w:tcW w:w="100" w:type="dxa"/>
            <w:vAlign w:val="bottom"/>
            <w:tcBorders>
              <w:bottom w:val="single" w:sz="8" w:color="B3B3B3"/>
            </w:tcBorders>
          </w:tcPr>
          <w:p>
            <w:pPr>
              <w:spacing w:after="0"/>
              <w:rPr>
                <w:sz w:val="17"/>
                <w:szCs w:val="17"/>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Compensation ($)</w:t>
            </w:r>
          </w:p>
        </w:tc>
        <w:tc>
          <w:tcPr>
            <w:tcW w:w="100" w:type="dxa"/>
            <w:vAlign w:val="bottom"/>
            <w:tcBorders>
              <w:bottom w:val="single" w:sz="8" w:color="B3B3B3"/>
            </w:tcBorders>
          </w:tcPr>
          <w:p>
            <w:pPr>
              <w:spacing w:after="0"/>
              <w:rPr>
                <w:sz w:val="17"/>
                <w:szCs w:val="17"/>
                <w:color w:val="auto"/>
              </w:rPr>
            </w:pPr>
          </w:p>
        </w:tc>
        <w:tc>
          <w:tcPr>
            <w:tcW w:w="1340" w:type="dxa"/>
            <w:vAlign w:val="bottom"/>
            <w:tcBorders>
              <w:bottom w:val="single" w:sz="8" w:color="auto"/>
              <w:right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 ($)</w:t>
            </w:r>
          </w:p>
        </w:tc>
      </w:tr>
      <w:tr>
        <w:trPr>
          <w:trHeight w:val="256"/>
        </w:trPr>
        <w:tc>
          <w:tcPr>
            <w:tcW w:w="436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420" w:type="dxa"/>
            <w:vAlign w:val="bottom"/>
            <w:shd w:val="clear" w:color="auto" w:fill="B3B3B3"/>
          </w:tcPr>
          <w:p>
            <w:pPr>
              <w:jc w:val="right"/>
              <w:ind w:right="75"/>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B3B3B3"/>
          </w:tcPr>
          <w:p>
            <w:pPr>
              <w:spacing w:after="0"/>
              <w:rPr>
                <w:sz w:val="22"/>
                <w:szCs w:val="22"/>
                <w:color w:val="auto"/>
              </w:rPr>
            </w:pPr>
          </w:p>
        </w:tc>
        <w:tc>
          <w:tcPr>
            <w:tcW w:w="144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shd w:val="clear" w:color="auto" w:fill="B3B3B3"/>
          </w:tcPr>
          <w:p>
            <w:pPr>
              <w:spacing w:after="0"/>
              <w:rPr>
                <w:sz w:val="22"/>
                <w:szCs w:val="22"/>
                <w:color w:val="auto"/>
              </w:rPr>
            </w:pPr>
          </w:p>
        </w:tc>
        <w:tc>
          <w:tcPr>
            <w:tcW w:w="1840" w:type="dxa"/>
            <w:vAlign w:val="bottom"/>
            <w:gridSpan w:val="2"/>
            <w:shd w:val="clear" w:color="auto" w:fill="B3B3B3"/>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119,958</w:t>
            </w:r>
          </w:p>
        </w:tc>
      </w:tr>
      <w:tr>
        <w:trPr>
          <w:trHeight w:val="250"/>
        </w:trPr>
        <w:tc>
          <w:tcPr>
            <w:tcW w:w="4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Duane M. Jergenson</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59,000</w:t>
            </w:r>
          </w:p>
        </w:tc>
        <w:tc>
          <w:tcPr>
            <w:tcW w:w="1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tcPr>
          <w:p>
            <w:pPr>
              <w:spacing w:after="0"/>
              <w:rPr>
                <w:sz w:val="21"/>
                <w:szCs w:val="21"/>
                <w:color w:val="auto"/>
              </w:rPr>
            </w:pP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108,958</w:t>
            </w:r>
          </w:p>
        </w:tc>
      </w:tr>
      <w:tr>
        <w:trPr>
          <w:trHeight w:val="263"/>
        </w:trPr>
        <w:tc>
          <w:tcPr>
            <w:tcW w:w="436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John S. McKeon</w:t>
            </w:r>
          </w:p>
        </w:tc>
        <w:tc>
          <w:tcPr>
            <w:tcW w:w="1420" w:type="dxa"/>
            <w:vAlign w:val="bottom"/>
            <w:shd w:val="clear" w:color="auto" w:fill="B3B3B3"/>
          </w:tcPr>
          <w:p>
            <w:pPr>
              <w:jc w:val="right"/>
              <w:ind w:right="75"/>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B3B3B3"/>
          </w:tcPr>
          <w:p>
            <w:pPr>
              <w:spacing w:after="0"/>
              <w:rPr>
                <w:sz w:val="22"/>
                <w:szCs w:val="22"/>
                <w:color w:val="auto"/>
              </w:rPr>
            </w:pPr>
          </w:p>
        </w:tc>
        <w:tc>
          <w:tcPr>
            <w:tcW w:w="144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shd w:val="clear" w:color="auto" w:fill="B3B3B3"/>
          </w:tcPr>
          <w:p>
            <w:pPr>
              <w:spacing w:after="0"/>
              <w:rPr>
                <w:sz w:val="22"/>
                <w:szCs w:val="22"/>
                <w:color w:val="auto"/>
              </w:rPr>
            </w:pPr>
          </w:p>
        </w:tc>
        <w:tc>
          <w:tcPr>
            <w:tcW w:w="1840" w:type="dxa"/>
            <w:vAlign w:val="bottom"/>
            <w:gridSpan w:val="2"/>
            <w:shd w:val="clear" w:color="auto" w:fill="B3B3B3"/>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184,958</w:t>
            </w:r>
          </w:p>
        </w:tc>
      </w:tr>
      <w:tr>
        <w:trPr>
          <w:trHeight w:val="250"/>
        </w:trPr>
        <w:tc>
          <w:tcPr>
            <w:tcW w:w="4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Mary J. Schumacher</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tcPr>
          <w:p>
            <w:pPr>
              <w:spacing w:after="0"/>
              <w:rPr>
                <w:sz w:val="21"/>
                <w:szCs w:val="21"/>
                <w:color w:val="auto"/>
              </w:rPr>
            </w:pP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116,958</w:t>
            </w:r>
          </w:p>
        </w:tc>
      </w:tr>
      <w:tr>
        <w:trPr>
          <w:trHeight w:val="263"/>
        </w:trPr>
        <w:tc>
          <w:tcPr>
            <w:tcW w:w="436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Daniel J. Stauber</w:t>
            </w:r>
          </w:p>
        </w:tc>
        <w:tc>
          <w:tcPr>
            <w:tcW w:w="1520" w:type="dxa"/>
            <w:vAlign w:val="bottom"/>
            <w:gridSpan w:val="2"/>
            <w:shd w:val="clear" w:color="auto" w:fill="B3B3B3"/>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B3B3B3"/>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shd w:val="clear" w:color="auto" w:fill="B3B3B3"/>
          </w:tcPr>
          <w:p>
            <w:pPr>
              <w:spacing w:after="0"/>
              <w:rPr>
                <w:sz w:val="22"/>
                <w:szCs w:val="22"/>
                <w:color w:val="auto"/>
              </w:rPr>
            </w:pPr>
          </w:p>
        </w:tc>
        <w:tc>
          <w:tcPr>
            <w:tcW w:w="1840" w:type="dxa"/>
            <w:vAlign w:val="bottom"/>
            <w:gridSpan w:val="2"/>
            <w:shd w:val="clear" w:color="auto" w:fill="B3B3B3"/>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49,958</w:t>
            </w:r>
          </w:p>
        </w:tc>
      </w:tr>
      <w:tr>
        <w:trPr>
          <w:trHeight w:val="250"/>
        </w:trPr>
        <w:tc>
          <w:tcPr>
            <w:tcW w:w="4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T. Thompson</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73,439</w:t>
            </w:r>
          </w:p>
        </w:tc>
        <w:tc>
          <w:tcPr>
            <w:tcW w:w="1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tcPr>
          <w:p>
            <w:pPr>
              <w:spacing w:after="0"/>
              <w:rPr>
                <w:sz w:val="21"/>
                <w:szCs w:val="21"/>
                <w:color w:val="auto"/>
              </w:rPr>
            </w:pP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ind w:right="92"/>
              <w:spacing w:after="0"/>
              <w:rPr>
                <w:sz w:val="20"/>
                <w:szCs w:val="20"/>
                <w:color w:val="auto"/>
              </w:rPr>
            </w:pPr>
            <w:r>
              <w:rPr>
                <w:rFonts w:ascii="Arial" w:cs="Arial" w:eastAsia="Arial" w:hAnsi="Arial"/>
                <w:sz w:val="18"/>
                <w:szCs w:val="18"/>
                <w:color w:val="auto"/>
              </w:rPr>
              <w:t>123,397</w:t>
            </w:r>
          </w:p>
        </w:tc>
      </w:tr>
      <w:tr>
        <w:trPr>
          <w:trHeight w:val="257"/>
        </w:trPr>
        <w:tc>
          <w:tcPr>
            <w:tcW w:w="436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L. Wright</w:t>
            </w:r>
          </w:p>
        </w:tc>
        <w:tc>
          <w:tcPr>
            <w:tcW w:w="1420" w:type="dxa"/>
            <w:vAlign w:val="bottom"/>
            <w:tcBorders>
              <w:bottom w:val="single" w:sz="8" w:color="auto"/>
            </w:tcBorders>
            <w:shd w:val="clear" w:color="auto" w:fill="B3B3B3"/>
          </w:tcPr>
          <w:p>
            <w:pPr>
              <w:jc w:val="right"/>
              <w:ind w:right="75"/>
              <w:spacing w:after="0"/>
              <w:rPr>
                <w:sz w:val="20"/>
                <w:szCs w:val="20"/>
                <w:color w:val="auto"/>
              </w:rPr>
            </w:pPr>
            <w:r>
              <w:rPr>
                <w:rFonts w:ascii="Arial" w:cs="Arial" w:eastAsia="Arial" w:hAnsi="Arial"/>
                <w:sz w:val="18"/>
                <w:szCs w:val="18"/>
                <w:color w:val="auto"/>
              </w:rPr>
              <w:t>82,375</w:t>
            </w:r>
          </w:p>
        </w:tc>
        <w:tc>
          <w:tcPr>
            <w:tcW w:w="100" w:type="dxa"/>
            <w:vAlign w:val="bottom"/>
            <w:tcBorders>
              <w:bottom w:val="single" w:sz="8" w:color="auto"/>
            </w:tcBorders>
            <w:shd w:val="clear" w:color="auto" w:fill="B3B3B3"/>
          </w:tcPr>
          <w:p>
            <w:pPr>
              <w:spacing w:after="0"/>
              <w:rPr>
                <w:sz w:val="22"/>
                <w:szCs w:val="22"/>
                <w:color w:val="auto"/>
              </w:rPr>
            </w:pPr>
          </w:p>
        </w:tc>
        <w:tc>
          <w:tcPr>
            <w:tcW w:w="1440" w:type="dxa"/>
            <w:vAlign w:val="bottom"/>
            <w:tcBorders>
              <w:bottom w:val="single" w:sz="8" w:color="auto"/>
            </w:tcBorders>
            <w:shd w:val="clear" w:color="auto" w:fill="B3B3B3"/>
          </w:tcPr>
          <w:p>
            <w:pPr>
              <w:jc w:val="right"/>
              <w:ind w:right="74"/>
              <w:spacing w:after="0"/>
              <w:rPr>
                <w:sz w:val="20"/>
                <w:szCs w:val="20"/>
                <w:color w:val="auto"/>
              </w:rPr>
            </w:pPr>
            <w:r>
              <w:rPr>
                <w:rFonts w:ascii="Arial" w:cs="Arial" w:eastAsia="Arial" w:hAnsi="Arial"/>
                <w:sz w:val="18"/>
                <w:szCs w:val="18"/>
                <w:color w:val="auto"/>
              </w:rPr>
              <w:t>49,958</w:t>
            </w:r>
          </w:p>
        </w:tc>
        <w:tc>
          <w:tcPr>
            <w:tcW w:w="100" w:type="dxa"/>
            <w:vAlign w:val="bottom"/>
            <w:tcBorders>
              <w:bottom w:val="single" w:sz="8" w:color="auto"/>
            </w:tcBorders>
            <w:shd w:val="clear" w:color="auto" w:fill="B3B3B3"/>
          </w:tcPr>
          <w:p>
            <w:pPr>
              <w:spacing w:after="0"/>
              <w:rPr>
                <w:sz w:val="22"/>
                <w:szCs w:val="22"/>
                <w:color w:val="auto"/>
              </w:rPr>
            </w:pPr>
          </w:p>
        </w:tc>
        <w:tc>
          <w:tcPr>
            <w:tcW w:w="1840" w:type="dxa"/>
            <w:vAlign w:val="bottom"/>
            <w:tcBorders>
              <w:bottom w:val="single" w:sz="8" w:color="auto"/>
            </w:tcBorders>
            <w:gridSpan w:val="2"/>
            <w:shd w:val="clear" w:color="auto" w:fill="B3B3B3"/>
          </w:tcPr>
          <w:p>
            <w:pPr>
              <w:ind w:left="14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B3B3B3"/>
          </w:tcPr>
          <w:p>
            <w:pPr>
              <w:jc w:val="right"/>
              <w:ind w:right="92"/>
              <w:spacing w:after="0"/>
              <w:rPr>
                <w:sz w:val="20"/>
                <w:szCs w:val="20"/>
                <w:color w:val="auto"/>
              </w:rPr>
            </w:pPr>
            <w:r>
              <w:rPr>
                <w:rFonts w:ascii="Arial" w:cs="Arial" w:eastAsia="Arial" w:hAnsi="Arial"/>
                <w:sz w:val="18"/>
                <w:szCs w:val="18"/>
                <w:color w:val="auto"/>
              </w:rPr>
              <w:t>132,333</w:t>
            </w:r>
          </w:p>
        </w:tc>
      </w:tr>
    </w:tbl>
    <w:p>
      <w:pPr>
        <w:spacing w:after="0" w:line="161" w:lineRule="exact"/>
        <w:rPr>
          <w:sz w:val="20"/>
          <w:szCs w:val="20"/>
          <w:color w:val="auto"/>
        </w:rPr>
      </w:pPr>
    </w:p>
    <w:p>
      <w:pPr>
        <w:ind w:left="420" w:hanging="412"/>
        <w:spacing w:after="0" w:line="252" w:lineRule="auto"/>
        <w:tabs>
          <w:tab w:leader="none" w:pos="4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On July 31, 2019, each applicable Board member received 1,144 shares of restricted stock as part of his or her retainer pursuant to the Hawkins, Inc. 2010 Omnibus Plan. The amounts shown in this column represent the grant-date fair value of each of the awards computed in accordance with FASB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2020 for a description of our accounting for these awards and the assumptions used in valuing the awards. All of these shares vest in full on July 31, 2020, are eligible to receive dividends paid on our common stock and were the only shares of restricted stock held by each director at the end of our most recently completed fiscal year.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All decisions regarding compensation of our executive officers during fiscal 2020 were made by the Compensation Committee of our Board. During fiscal 2020, the following directors served on the Compensation Committee: Duane M. Jergenson, Mary J. Schumacher, James T. Thompson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8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table provides information about shares that may be issued under the Hawkins, Inc. 2010 Omnibus Incentive Plan (the "2010 Plan") and the Hawkins, Inc. 2019 Equity Incentive Plan (the “2019 Plan”) as of March 29, 2020. The 2019 Plan replaced the 2010 Plan in fiscal 2020.</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94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49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 to Be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49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Issued upon</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2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49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 of</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 Price of</w:t>
            </w:r>
          </w:p>
        </w:tc>
        <w:tc>
          <w:tcPr>
            <w:tcW w:w="22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49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2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49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 Warrants</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 Warrants</w:t>
            </w:r>
          </w:p>
        </w:tc>
        <w:tc>
          <w:tcPr>
            <w:tcW w:w="22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securities reflected in</w:t>
            </w:r>
          </w:p>
        </w:tc>
      </w:tr>
      <w:tr>
        <w:trPr>
          <w:trHeight w:val="196"/>
        </w:trPr>
        <w:tc>
          <w:tcPr>
            <w:tcW w:w="4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(a)</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first column) (b)</w:t>
            </w:r>
          </w:p>
        </w:tc>
        <w:tc>
          <w:tcPr>
            <w:tcW w:w="560" w:type="dxa"/>
            <w:vAlign w:val="bottom"/>
            <w:tcBorders>
              <w:right w:val="single" w:sz="8" w:color="auto"/>
            </w:tcBorders>
          </w:tcPr>
          <w:p>
            <w:pPr>
              <w:spacing w:after="0"/>
              <w:rPr>
                <w:sz w:val="17"/>
                <w:szCs w:val="17"/>
                <w:color w:val="auto"/>
              </w:rPr>
            </w:pPr>
          </w:p>
        </w:tc>
      </w:tr>
      <w:tr>
        <w:trPr>
          <w:trHeight w:val="250"/>
        </w:trPr>
        <w:tc>
          <w:tcPr>
            <w:tcW w:w="50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20" w:type="dxa"/>
            <w:vAlign w:val="bottom"/>
            <w:tcBorders>
              <w:bottom w:val="single" w:sz="8" w:color="auto"/>
            </w:tcBorders>
          </w:tcPr>
          <w:p>
            <w:pPr>
              <w:jc w:val="right"/>
              <w:ind w:right="86"/>
              <w:spacing w:after="0"/>
              <w:rPr>
                <w:sz w:val="20"/>
                <w:szCs w:val="20"/>
                <w:color w:val="auto"/>
              </w:rPr>
            </w:pPr>
            <w:r>
              <w:rPr>
                <w:rFonts w:ascii="Arial" w:cs="Arial" w:eastAsia="Arial" w:hAnsi="Arial"/>
                <w:sz w:val="18"/>
                <w:szCs w:val="18"/>
                <w:color w:val="auto"/>
              </w:rPr>
              <w:t>69,232</w:t>
            </w:r>
          </w:p>
        </w:tc>
        <w:tc>
          <w:tcPr>
            <w:tcW w:w="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86"/>
              <w:spacing w:after="0"/>
              <w:rPr>
                <w:sz w:val="20"/>
                <w:szCs w:val="20"/>
                <w:color w:val="auto"/>
              </w:rPr>
            </w:pPr>
            <w:r>
              <w:rPr>
                <w:rFonts w:ascii="Arial" w:cs="Arial" w:eastAsia="Arial" w:hAnsi="Arial"/>
                <w:sz w:val="18"/>
                <w:szCs w:val="18"/>
                <w:color w:val="auto"/>
              </w:rPr>
              <w:t>990,219</w:t>
            </w:r>
          </w:p>
        </w:tc>
        <w:tc>
          <w:tcPr>
            <w:tcW w:w="560" w:type="dxa"/>
            <w:vAlign w:val="bottom"/>
            <w:tcBorders>
              <w:bottom w:val="single" w:sz="8" w:color="auto"/>
              <w:right w:val="single" w:sz="8" w:color="auto"/>
            </w:tcBorders>
          </w:tcPr>
          <w:p>
            <w:pPr>
              <w:spacing w:after="0"/>
              <w:rPr>
                <w:sz w:val="21"/>
                <w:szCs w:val="21"/>
                <w:color w:val="auto"/>
              </w:rPr>
            </w:pPr>
          </w:p>
        </w:tc>
      </w:tr>
    </w:tbl>
    <w:p>
      <w:pPr>
        <w:spacing w:after="0" w:line="175" w:lineRule="exact"/>
        <w:rPr>
          <w:sz w:val="20"/>
          <w:szCs w:val="20"/>
          <w:color w:val="auto"/>
        </w:rPr>
      </w:pPr>
    </w:p>
    <w:p>
      <w:pPr>
        <w:ind w:left="420" w:right="400" w:hanging="412"/>
        <w:spacing w:after="0" w:line="261" w:lineRule="auto"/>
        <w:tabs>
          <w:tab w:leader="none" w:pos="4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securities available for issuance under the 2010 Plan pursuant to restricted stock unit awards for fiscal 2020. A total of 64,813 restricted shares were issued in settlement of these awards subsequent to the end of fiscal 2020.</w:t>
      </w:r>
    </w:p>
    <w:p>
      <w:pPr>
        <w:spacing w:after="0" w:line="76" w:lineRule="exact"/>
        <w:rPr>
          <w:rFonts w:ascii="Arial" w:cs="Arial" w:eastAsia="Arial" w:hAnsi="Arial"/>
          <w:sz w:val="18"/>
          <w:szCs w:val="18"/>
          <w:color w:val="auto"/>
        </w:rPr>
      </w:pPr>
    </w:p>
    <w:p>
      <w:pPr>
        <w:ind w:left="420" w:right="400" w:hanging="412"/>
        <w:spacing w:after="0" w:line="261"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750,000 shares available for future issuance under the 2019 Plan and 240,219 shares available for issuance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908" w:right="39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auto"/>
        </w:rPr>
        <w:t>SECURITY OWNERSHIP OF MANAGEMENT AND BENEFICIAL OWNERSHIP</w:t>
      </w:r>
    </w:p>
    <w:p>
      <w:pPr>
        <w:spacing w:after="0" w:line="2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 contains information as of June 5, 2020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48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0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40" w:type="dxa"/>
            <w:vAlign w:val="bottom"/>
            <w:tcBorders>
              <w:top w:val="single" w:sz="8" w:color="auto"/>
              <w:right w:val="single" w:sz="8" w:color="auto"/>
            </w:tcBorders>
          </w:tcPr>
          <w:p>
            <w:pPr>
              <w:spacing w:after="0"/>
              <w:rPr>
                <w:sz w:val="16"/>
                <w:szCs w:val="16"/>
                <w:color w:val="auto"/>
              </w:rPr>
            </w:pPr>
          </w:p>
        </w:tc>
      </w:tr>
      <w:tr>
        <w:trPr>
          <w:trHeight w:val="162"/>
        </w:trPr>
        <w:tc>
          <w:tcPr>
            <w:tcW w:w="64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1080" w:type="dxa"/>
            <w:vAlign w:val="bottom"/>
          </w:tcPr>
          <w:p>
            <w:pPr>
              <w:spacing w:after="0"/>
              <w:rPr>
                <w:sz w:val="14"/>
                <w:szCs w:val="14"/>
                <w:color w:val="auto"/>
              </w:rPr>
            </w:pPr>
          </w:p>
        </w:tc>
        <w:tc>
          <w:tcPr>
            <w:tcW w:w="1360" w:type="dxa"/>
            <w:vAlign w:val="bottom"/>
          </w:tcPr>
          <w:p>
            <w:pPr>
              <w:jc w:val="right"/>
              <w:ind w:right="133"/>
              <w:spacing w:after="0"/>
              <w:rPr>
                <w:sz w:val="20"/>
                <w:szCs w:val="20"/>
                <w:color w:val="auto"/>
              </w:rPr>
            </w:pPr>
            <w:r>
              <w:rPr>
                <w:rFonts w:ascii="Arial" w:cs="Arial" w:eastAsia="Arial" w:hAnsi="Arial"/>
                <w:sz w:val="14"/>
                <w:szCs w:val="14"/>
                <w:b w:val="1"/>
                <w:bCs w:val="1"/>
                <w:color w:val="auto"/>
              </w:rPr>
              <w:t>Percent of</w:t>
            </w:r>
          </w:p>
        </w:tc>
        <w:tc>
          <w:tcPr>
            <w:tcW w:w="240" w:type="dxa"/>
            <w:vAlign w:val="bottom"/>
            <w:tcBorders>
              <w:right w:val="single" w:sz="8" w:color="auto"/>
            </w:tcBorders>
          </w:tcPr>
          <w:p>
            <w:pPr>
              <w:spacing w:after="0"/>
              <w:rPr>
                <w:sz w:val="14"/>
                <w:szCs w:val="14"/>
                <w:color w:val="auto"/>
              </w:rPr>
            </w:pPr>
          </w:p>
        </w:tc>
      </w:tr>
      <w:tr>
        <w:trPr>
          <w:trHeight w:val="196"/>
        </w:trPr>
        <w:tc>
          <w:tcPr>
            <w:tcW w:w="6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Borders>
              <w:bottom w:val="single" w:sz="8" w:color="B3B3B3"/>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 (a)</w:t>
            </w:r>
          </w:p>
        </w:tc>
        <w:tc>
          <w:tcPr>
            <w:tcW w:w="1080" w:type="dxa"/>
            <w:vAlign w:val="bottom"/>
            <w:tcBorders>
              <w:bottom w:val="single" w:sz="8" w:color="B3B3B3"/>
            </w:tcBorders>
          </w:tcPr>
          <w:p>
            <w:pPr>
              <w:spacing w:after="0"/>
              <w:rPr>
                <w:sz w:val="17"/>
                <w:szCs w:val="17"/>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right w:val="single" w:sz="8" w:color="auto"/>
            </w:tcBorders>
          </w:tcPr>
          <w:p>
            <w:pPr>
              <w:spacing w:after="0"/>
              <w:rPr>
                <w:sz w:val="17"/>
                <w:szCs w:val="17"/>
                <w:color w:val="auto"/>
              </w:rPr>
            </w:pPr>
          </w:p>
        </w:tc>
      </w:tr>
      <w:tr>
        <w:trPr>
          <w:trHeight w:val="256"/>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14,998</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(b)(e)</w:t>
            </w:r>
          </w:p>
        </w:tc>
        <w:tc>
          <w:tcPr>
            <w:tcW w:w="1360" w:type="dxa"/>
            <w:vAlign w:val="bottom"/>
            <w:shd w:val="clear" w:color="auto" w:fill="B3B3B3"/>
          </w:tcPr>
          <w:p>
            <w:pPr>
              <w:spacing w:after="0"/>
              <w:rPr>
                <w:sz w:val="22"/>
                <w:szCs w:val="22"/>
                <w:color w:val="auto"/>
              </w:rPr>
            </w:pP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138,126</w:t>
            </w:r>
          </w:p>
        </w:tc>
        <w:tc>
          <w:tcPr>
            <w:tcW w:w="1080" w:type="dxa"/>
            <w:vAlign w:val="bottom"/>
          </w:tcPr>
          <w:p>
            <w:pPr>
              <w:ind w:left="120"/>
              <w:spacing w:after="0"/>
              <w:rPr>
                <w:sz w:val="20"/>
                <w:szCs w:val="20"/>
                <w:color w:val="auto"/>
              </w:rPr>
            </w:pPr>
            <w:r>
              <w:rPr>
                <w:rFonts w:ascii="Arial" w:cs="Arial" w:eastAsia="Arial" w:hAnsi="Arial"/>
                <w:sz w:val="18"/>
                <w:szCs w:val="18"/>
                <w:color w:val="auto"/>
              </w:rPr>
              <w:t>(c)(d)</w:t>
            </w:r>
          </w:p>
        </w:tc>
        <w:tc>
          <w:tcPr>
            <w:tcW w:w="16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Duane M. Jergenson</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35,019</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(e)</w:t>
            </w:r>
          </w:p>
        </w:tc>
        <w:tc>
          <w:tcPr>
            <w:tcW w:w="1360" w:type="dxa"/>
            <w:vAlign w:val="bottom"/>
            <w:shd w:val="clear" w:color="auto" w:fill="B3B3B3"/>
          </w:tcPr>
          <w:p>
            <w:pPr>
              <w:spacing w:after="0"/>
              <w:rPr>
                <w:sz w:val="22"/>
                <w:szCs w:val="22"/>
                <w:color w:val="auto"/>
              </w:rPr>
            </w:pP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John S. McKeon</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47,698</w:t>
            </w:r>
          </w:p>
        </w:tc>
        <w:tc>
          <w:tcPr>
            <w:tcW w:w="1080" w:type="dxa"/>
            <w:vAlign w:val="bottom"/>
          </w:tcPr>
          <w:p>
            <w:pPr>
              <w:ind w:left="120"/>
              <w:spacing w:after="0"/>
              <w:rPr>
                <w:sz w:val="20"/>
                <w:szCs w:val="20"/>
                <w:color w:val="auto"/>
              </w:rPr>
            </w:pPr>
            <w:r>
              <w:rPr>
                <w:rFonts w:ascii="Arial" w:cs="Arial" w:eastAsia="Arial" w:hAnsi="Arial"/>
                <w:sz w:val="18"/>
                <w:szCs w:val="18"/>
                <w:color w:val="auto"/>
              </w:rPr>
              <w:t>(e)</w:t>
            </w:r>
          </w:p>
        </w:tc>
        <w:tc>
          <w:tcPr>
            <w:tcW w:w="1360" w:type="dxa"/>
            <w:vAlign w:val="bottom"/>
          </w:tcPr>
          <w:p>
            <w:pPr>
              <w:spacing w:after="0"/>
              <w:rPr>
                <w:sz w:val="21"/>
                <w:szCs w:val="21"/>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Mary J. Schumacher</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9,152</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(e)</w:t>
            </w:r>
          </w:p>
        </w:tc>
        <w:tc>
          <w:tcPr>
            <w:tcW w:w="1360" w:type="dxa"/>
            <w:vAlign w:val="bottom"/>
            <w:shd w:val="clear" w:color="auto" w:fill="B3B3B3"/>
          </w:tcPr>
          <w:p>
            <w:pPr>
              <w:spacing w:after="0"/>
              <w:rPr>
                <w:sz w:val="22"/>
                <w:szCs w:val="22"/>
                <w:color w:val="auto"/>
              </w:rPr>
            </w:pP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12,216</w:t>
            </w:r>
          </w:p>
        </w:tc>
        <w:tc>
          <w:tcPr>
            <w:tcW w:w="1080" w:type="dxa"/>
            <w:vAlign w:val="bottom"/>
          </w:tcPr>
          <w:p>
            <w:pPr>
              <w:ind w:left="120"/>
              <w:spacing w:after="0"/>
              <w:rPr>
                <w:sz w:val="20"/>
                <w:szCs w:val="20"/>
                <w:color w:val="auto"/>
              </w:rPr>
            </w:pPr>
            <w:r>
              <w:rPr>
                <w:rFonts w:ascii="Arial" w:cs="Arial" w:eastAsia="Arial" w:hAnsi="Arial"/>
                <w:sz w:val="18"/>
                <w:szCs w:val="18"/>
                <w:color w:val="auto"/>
              </w:rPr>
              <w:t>(e)(f)</w:t>
            </w:r>
          </w:p>
        </w:tc>
        <w:tc>
          <w:tcPr>
            <w:tcW w:w="1360" w:type="dxa"/>
            <w:vAlign w:val="bottom"/>
          </w:tcPr>
          <w:p>
            <w:pPr>
              <w:spacing w:after="0"/>
              <w:rPr>
                <w:sz w:val="21"/>
                <w:szCs w:val="21"/>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T. Thompson</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14,892</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(e)</w:t>
            </w:r>
          </w:p>
        </w:tc>
        <w:tc>
          <w:tcPr>
            <w:tcW w:w="1360" w:type="dxa"/>
            <w:vAlign w:val="bottom"/>
            <w:shd w:val="clear" w:color="auto" w:fill="B3B3B3"/>
          </w:tcPr>
          <w:p>
            <w:pPr>
              <w:spacing w:after="0"/>
              <w:rPr>
                <w:sz w:val="22"/>
                <w:szCs w:val="22"/>
                <w:color w:val="auto"/>
              </w:rPr>
            </w:pP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16,892</w:t>
            </w:r>
          </w:p>
        </w:tc>
        <w:tc>
          <w:tcPr>
            <w:tcW w:w="1080" w:type="dxa"/>
            <w:vAlign w:val="bottom"/>
          </w:tcPr>
          <w:p>
            <w:pPr>
              <w:ind w:left="120"/>
              <w:spacing w:after="0"/>
              <w:rPr>
                <w:sz w:val="20"/>
                <w:szCs w:val="20"/>
                <w:color w:val="auto"/>
              </w:rPr>
            </w:pPr>
            <w:r>
              <w:rPr>
                <w:rFonts w:ascii="Arial" w:cs="Arial" w:eastAsia="Arial" w:hAnsi="Arial"/>
                <w:sz w:val="18"/>
                <w:szCs w:val="18"/>
                <w:color w:val="auto"/>
              </w:rPr>
              <w:t>(e)</w:t>
            </w:r>
          </w:p>
        </w:tc>
        <w:tc>
          <w:tcPr>
            <w:tcW w:w="1360" w:type="dxa"/>
            <w:vAlign w:val="bottom"/>
          </w:tcPr>
          <w:p>
            <w:pPr>
              <w:spacing w:after="0"/>
              <w:rPr>
                <w:sz w:val="21"/>
                <w:szCs w:val="21"/>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25,619</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(d)(g)</w:t>
            </w:r>
          </w:p>
        </w:tc>
        <w:tc>
          <w:tcPr>
            <w:tcW w:w="1360" w:type="dxa"/>
            <w:vAlign w:val="bottom"/>
            <w:shd w:val="clear" w:color="auto" w:fill="B3B3B3"/>
          </w:tcPr>
          <w:p>
            <w:pPr>
              <w:spacing w:after="0"/>
              <w:rPr>
                <w:sz w:val="22"/>
                <w:szCs w:val="22"/>
                <w:color w:val="auto"/>
              </w:rPr>
            </w:pP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Thomas J. Keller</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67,807</w:t>
            </w:r>
          </w:p>
        </w:tc>
        <w:tc>
          <w:tcPr>
            <w:tcW w:w="1080" w:type="dxa"/>
            <w:vAlign w:val="bottom"/>
          </w:tcPr>
          <w:p>
            <w:pPr>
              <w:ind w:left="120"/>
              <w:spacing w:after="0"/>
              <w:rPr>
                <w:sz w:val="20"/>
                <w:szCs w:val="20"/>
                <w:color w:val="auto"/>
              </w:rPr>
            </w:pPr>
            <w:r>
              <w:rPr>
                <w:rFonts w:ascii="Arial" w:cs="Arial" w:eastAsia="Arial" w:hAnsi="Arial"/>
                <w:sz w:val="18"/>
                <w:szCs w:val="18"/>
                <w:color w:val="auto"/>
              </w:rPr>
              <w:t>(d)(h)</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1"/>
                <w:szCs w:val="21"/>
                <w:color w:val="auto"/>
              </w:rPr>
            </w:pP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Jeffrey P. Oldenkamp</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26,632</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(d)(i)</w:t>
            </w:r>
          </w:p>
        </w:tc>
        <w:tc>
          <w:tcPr>
            <w:tcW w:w="1360" w:type="dxa"/>
            <w:vAlign w:val="bottom"/>
            <w:shd w:val="clear" w:color="auto" w:fill="B3B3B3"/>
          </w:tcPr>
          <w:p>
            <w:pPr>
              <w:spacing w:after="0"/>
              <w:rPr>
                <w:sz w:val="22"/>
                <w:szCs w:val="22"/>
                <w:color w:val="auto"/>
              </w:rPr>
            </w:pP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John R. Sevenich</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49,557</w:t>
            </w:r>
          </w:p>
        </w:tc>
        <w:tc>
          <w:tcPr>
            <w:tcW w:w="1080" w:type="dxa"/>
            <w:vAlign w:val="bottom"/>
          </w:tcPr>
          <w:p>
            <w:pPr>
              <w:ind w:left="120"/>
              <w:spacing w:after="0"/>
              <w:rPr>
                <w:sz w:val="20"/>
                <w:szCs w:val="20"/>
                <w:color w:val="auto"/>
              </w:rPr>
            </w:pPr>
            <w:r>
              <w:rPr>
                <w:rFonts w:ascii="Arial" w:cs="Arial" w:eastAsia="Arial" w:hAnsi="Arial"/>
                <w:sz w:val="18"/>
                <w:szCs w:val="18"/>
                <w:color w:val="auto"/>
              </w:rPr>
              <w:t>(d)(j)</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1"/>
                <w:szCs w:val="21"/>
                <w:color w:val="auto"/>
              </w:rPr>
            </w:pP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All current executive officers and directors as a group (15 persons)</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526,305</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(d)(k)</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8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r>
      <w:tr>
        <w:trPr>
          <w:trHeight w:val="24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BlackRock, Inc.</w:t>
            </w:r>
          </w:p>
        </w:tc>
        <w:tc>
          <w:tcPr>
            <w:tcW w:w="100" w:type="dxa"/>
            <w:vAlign w:val="bottom"/>
            <w:shd w:val="clear" w:color="auto" w:fill="B3B3B3"/>
          </w:tcPr>
          <w:p>
            <w:pPr>
              <w:spacing w:after="0"/>
              <w:rPr>
                <w:sz w:val="21"/>
                <w:szCs w:val="21"/>
                <w:color w:val="auto"/>
              </w:rPr>
            </w:pPr>
          </w:p>
        </w:tc>
        <w:tc>
          <w:tcPr>
            <w:tcW w:w="1820" w:type="dxa"/>
            <w:vAlign w:val="bottom"/>
            <w:shd w:val="clear" w:color="auto" w:fill="B3B3B3"/>
          </w:tcPr>
          <w:p>
            <w:pPr>
              <w:spacing w:after="0"/>
              <w:rPr>
                <w:sz w:val="21"/>
                <w:szCs w:val="21"/>
                <w:color w:val="auto"/>
              </w:rPr>
            </w:pPr>
          </w:p>
        </w:tc>
        <w:tc>
          <w:tcPr>
            <w:tcW w:w="1080" w:type="dxa"/>
            <w:vAlign w:val="bottom"/>
            <w:shd w:val="clear" w:color="auto" w:fill="B3B3B3"/>
          </w:tcPr>
          <w:p>
            <w:pPr>
              <w:spacing w:after="0"/>
              <w:rPr>
                <w:sz w:val="21"/>
                <w:szCs w:val="21"/>
                <w:color w:val="auto"/>
              </w:rPr>
            </w:pPr>
          </w:p>
        </w:tc>
        <w:tc>
          <w:tcPr>
            <w:tcW w:w="1360" w:type="dxa"/>
            <w:vAlign w:val="bottom"/>
            <w:shd w:val="clear" w:color="auto" w:fill="B3B3B3"/>
          </w:tcPr>
          <w:p>
            <w:pPr>
              <w:spacing w:after="0"/>
              <w:rPr>
                <w:sz w:val="21"/>
                <w:szCs w:val="21"/>
                <w:color w:val="auto"/>
              </w:rPr>
            </w:pPr>
          </w:p>
        </w:tc>
        <w:tc>
          <w:tcPr>
            <w:tcW w:w="240" w:type="dxa"/>
            <w:vAlign w:val="bottom"/>
            <w:tcBorders>
              <w:right w:val="single" w:sz="8" w:color="auto"/>
            </w:tcBorders>
            <w:shd w:val="clear" w:color="auto" w:fill="B3B3B3"/>
          </w:tcPr>
          <w:p>
            <w:pPr>
              <w:spacing w:after="0"/>
              <w:rPr>
                <w:sz w:val="21"/>
                <w:szCs w:val="21"/>
                <w:color w:val="auto"/>
              </w:rPr>
            </w:pPr>
          </w:p>
        </w:tc>
      </w:tr>
      <w:tr>
        <w:trPr>
          <w:trHeight w:val="270"/>
        </w:trPr>
        <w:tc>
          <w:tcPr>
            <w:tcW w:w="6480" w:type="dxa"/>
            <w:vAlign w:val="bottom"/>
            <w:tcBorders>
              <w:left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55 East 52nd Street, New York, NY 10055</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1,533,689</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(l)</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The Vanguard Group</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63"/>
        </w:trPr>
        <w:tc>
          <w:tcPr>
            <w:tcW w:w="64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100 Vanguard Blvd, Malvern, PA 19355</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761,821</w:t>
            </w:r>
          </w:p>
        </w:tc>
        <w:tc>
          <w:tcPr>
            <w:tcW w:w="1080" w:type="dxa"/>
            <w:vAlign w:val="bottom"/>
          </w:tcPr>
          <w:p>
            <w:pPr>
              <w:ind w:left="120"/>
              <w:spacing w:after="0"/>
              <w:rPr>
                <w:sz w:val="20"/>
                <w:szCs w:val="20"/>
                <w:color w:val="auto"/>
              </w:rPr>
            </w:pPr>
            <w:r>
              <w:rPr>
                <w:rFonts w:ascii="Arial" w:cs="Arial" w:eastAsia="Arial" w:hAnsi="Arial"/>
                <w:sz w:val="18"/>
                <w:szCs w:val="18"/>
                <w:color w:val="auto"/>
              </w:rPr>
              <w:t>(m)</w:t>
            </w: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Hawkins, Inc. Employee Stock Ownership Plan and Trust</w:t>
            </w:r>
          </w:p>
        </w:tc>
        <w:tc>
          <w:tcPr>
            <w:tcW w:w="1920" w:type="dxa"/>
            <w:vAlign w:val="bottom"/>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675,315</w:t>
            </w:r>
          </w:p>
        </w:tc>
        <w:tc>
          <w:tcPr>
            <w:tcW w:w="1080" w:type="dxa"/>
            <w:vAlign w:val="bottom"/>
            <w:shd w:val="clear" w:color="auto" w:fill="B3B3B3"/>
          </w:tcPr>
          <w:p>
            <w:pPr>
              <w:ind w:left="120"/>
              <w:spacing w:after="0"/>
              <w:rPr>
                <w:sz w:val="20"/>
                <w:szCs w:val="20"/>
                <w:color w:val="auto"/>
              </w:rPr>
            </w:pPr>
            <w:r>
              <w:rPr>
                <w:rFonts w:ascii="Arial" w:cs="Arial" w:eastAsia="Arial" w:hAnsi="Arial"/>
                <w:sz w:val="18"/>
                <w:szCs w:val="18"/>
                <w:color w:val="auto"/>
              </w:rPr>
              <w:t>(n)</w:t>
            </w: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Dimensional Fund Advisors LP</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63"/>
        </w:trPr>
        <w:tc>
          <w:tcPr>
            <w:tcW w:w="64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6300 Bee Cave Road, Austin, TX 78746</w:t>
            </w:r>
          </w:p>
        </w:tc>
        <w:tc>
          <w:tcPr>
            <w:tcW w:w="1920" w:type="dxa"/>
            <w:vAlign w:val="bottom"/>
            <w:gridSpan w:val="2"/>
          </w:tcPr>
          <w:p>
            <w:pPr>
              <w:jc w:val="right"/>
              <w:ind w:right="88"/>
              <w:spacing w:after="0"/>
              <w:rPr>
                <w:sz w:val="20"/>
                <w:szCs w:val="20"/>
                <w:color w:val="auto"/>
              </w:rPr>
            </w:pPr>
            <w:r>
              <w:rPr>
                <w:rFonts w:ascii="Arial" w:cs="Arial" w:eastAsia="Arial" w:hAnsi="Arial"/>
                <w:sz w:val="18"/>
                <w:szCs w:val="18"/>
                <w:color w:val="auto"/>
              </w:rPr>
              <w:t>610,532</w:t>
            </w:r>
          </w:p>
        </w:tc>
        <w:tc>
          <w:tcPr>
            <w:tcW w:w="1080" w:type="dxa"/>
            <w:vAlign w:val="bottom"/>
          </w:tcPr>
          <w:p>
            <w:pPr>
              <w:ind w:left="120"/>
              <w:spacing w:after="0"/>
              <w:rPr>
                <w:sz w:val="20"/>
                <w:szCs w:val="20"/>
                <w:color w:val="auto"/>
              </w:rPr>
            </w:pPr>
            <w:r>
              <w:rPr>
                <w:rFonts w:ascii="Arial" w:cs="Arial" w:eastAsia="Arial" w:hAnsi="Arial"/>
                <w:sz w:val="18"/>
                <w:szCs w:val="18"/>
                <w:color w:val="auto"/>
              </w:rPr>
              <w:t>(o)</w:t>
            </w: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T. Rowe Price Associates, Inc.</w:t>
            </w:r>
          </w:p>
        </w:tc>
        <w:tc>
          <w:tcPr>
            <w:tcW w:w="100" w:type="dxa"/>
            <w:vAlign w:val="bottom"/>
            <w:shd w:val="clear" w:color="auto" w:fill="B3B3B3"/>
          </w:tcPr>
          <w:p>
            <w:pPr>
              <w:spacing w:after="0"/>
              <w:rPr>
                <w:sz w:val="21"/>
                <w:szCs w:val="21"/>
                <w:color w:val="auto"/>
              </w:rPr>
            </w:pPr>
          </w:p>
        </w:tc>
        <w:tc>
          <w:tcPr>
            <w:tcW w:w="1820" w:type="dxa"/>
            <w:vAlign w:val="bottom"/>
            <w:shd w:val="clear" w:color="auto" w:fill="B3B3B3"/>
          </w:tcPr>
          <w:p>
            <w:pPr>
              <w:spacing w:after="0"/>
              <w:rPr>
                <w:sz w:val="21"/>
                <w:szCs w:val="21"/>
                <w:color w:val="auto"/>
              </w:rPr>
            </w:pPr>
          </w:p>
        </w:tc>
        <w:tc>
          <w:tcPr>
            <w:tcW w:w="1080" w:type="dxa"/>
            <w:vAlign w:val="bottom"/>
            <w:shd w:val="clear" w:color="auto" w:fill="B3B3B3"/>
          </w:tcPr>
          <w:p>
            <w:pPr>
              <w:spacing w:after="0"/>
              <w:rPr>
                <w:sz w:val="21"/>
                <w:szCs w:val="21"/>
                <w:color w:val="auto"/>
              </w:rPr>
            </w:pPr>
          </w:p>
        </w:tc>
        <w:tc>
          <w:tcPr>
            <w:tcW w:w="1360" w:type="dxa"/>
            <w:vAlign w:val="bottom"/>
            <w:shd w:val="clear" w:color="auto" w:fill="B3B3B3"/>
          </w:tcPr>
          <w:p>
            <w:pPr>
              <w:spacing w:after="0"/>
              <w:rPr>
                <w:sz w:val="21"/>
                <w:szCs w:val="21"/>
                <w:color w:val="auto"/>
              </w:rPr>
            </w:pPr>
          </w:p>
        </w:tc>
        <w:tc>
          <w:tcPr>
            <w:tcW w:w="240" w:type="dxa"/>
            <w:vAlign w:val="bottom"/>
            <w:tcBorders>
              <w:right w:val="single" w:sz="8" w:color="auto"/>
            </w:tcBorders>
            <w:shd w:val="clear" w:color="auto" w:fill="B3B3B3"/>
          </w:tcPr>
          <w:p>
            <w:pPr>
              <w:spacing w:after="0"/>
              <w:rPr>
                <w:sz w:val="21"/>
                <w:szCs w:val="21"/>
                <w:color w:val="auto"/>
              </w:rPr>
            </w:pPr>
          </w:p>
        </w:tc>
      </w:tr>
      <w:tr>
        <w:trPr>
          <w:trHeight w:val="263"/>
        </w:trPr>
        <w:tc>
          <w:tcPr>
            <w:tcW w:w="6480" w:type="dxa"/>
            <w:vAlign w:val="bottom"/>
            <w:tcBorders>
              <w:left w:val="single" w:sz="8" w:color="auto"/>
              <w:bottom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100 E. Pratt Street, Baltimore, MD 21202</w:t>
            </w:r>
          </w:p>
        </w:tc>
        <w:tc>
          <w:tcPr>
            <w:tcW w:w="1920" w:type="dxa"/>
            <w:vAlign w:val="bottom"/>
            <w:tcBorders>
              <w:bottom w:val="single" w:sz="8" w:color="auto"/>
            </w:tcBorders>
            <w:gridSpan w:val="2"/>
            <w:shd w:val="clear" w:color="auto" w:fill="B3B3B3"/>
          </w:tcPr>
          <w:p>
            <w:pPr>
              <w:jc w:val="right"/>
              <w:ind w:right="88"/>
              <w:spacing w:after="0"/>
              <w:rPr>
                <w:sz w:val="20"/>
                <w:szCs w:val="20"/>
                <w:color w:val="auto"/>
              </w:rPr>
            </w:pPr>
            <w:r>
              <w:rPr>
                <w:rFonts w:ascii="Arial" w:cs="Arial" w:eastAsia="Arial" w:hAnsi="Arial"/>
                <w:sz w:val="18"/>
                <w:szCs w:val="18"/>
                <w:color w:val="auto"/>
              </w:rPr>
              <w:t>605,679</w:t>
            </w:r>
          </w:p>
        </w:tc>
        <w:tc>
          <w:tcPr>
            <w:tcW w:w="1080" w:type="dxa"/>
            <w:vAlign w:val="bottom"/>
            <w:tcBorders>
              <w:bottom w:val="single" w:sz="8" w:color="auto"/>
            </w:tcBorders>
            <w:shd w:val="clear" w:color="auto" w:fill="B3B3B3"/>
          </w:tcPr>
          <w:p>
            <w:pPr>
              <w:ind w:left="120"/>
              <w:spacing w:after="0"/>
              <w:rPr>
                <w:sz w:val="20"/>
                <w:szCs w:val="20"/>
                <w:color w:val="auto"/>
              </w:rPr>
            </w:pPr>
            <w:r>
              <w:rPr>
                <w:rFonts w:ascii="Arial" w:cs="Arial" w:eastAsia="Arial" w:hAnsi="Arial"/>
                <w:sz w:val="18"/>
                <w:szCs w:val="18"/>
                <w:color w:val="auto"/>
              </w:rPr>
              <w:t>(p)</w:t>
            </w: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03" w:lineRule="exact"/>
        <w:rPr>
          <w:rFonts w:ascii="Arial" w:cs="Arial" w:eastAsia="Arial" w:hAnsi="Arial"/>
          <w:sz w:val="18"/>
          <w:szCs w:val="18"/>
          <w:color w:val="auto"/>
        </w:rPr>
      </w:pPr>
    </w:p>
    <w:p>
      <w:pPr>
        <w:ind w:left="420" w:right="280" w:hanging="372"/>
        <w:spacing w:after="0" w:line="261"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w:t>
      </w:r>
    </w:p>
    <w:p>
      <w:pPr>
        <w:spacing w:after="0" w:line="62" w:lineRule="exact"/>
        <w:rPr>
          <w:rFonts w:ascii="Arial" w:cs="Arial" w:eastAsia="Arial" w:hAnsi="Arial"/>
          <w:sz w:val="18"/>
          <w:szCs w:val="18"/>
          <w:color w:val="auto"/>
        </w:rPr>
      </w:pPr>
    </w:p>
    <w:p>
      <w:pPr>
        <w:ind w:left="420" w:right="220" w:hanging="372"/>
        <w:spacing w:after="0" w:line="261"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11,250 shares that Mr. Faulconbridge holds jointly with his wife as to which he shares voting and investment power and 1,144 shares of restricted stock, which shares vest and the related restrictions expire on July 31, 2020.</w:t>
      </w:r>
    </w:p>
    <w:p>
      <w:pPr>
        <w:spacing w:after="0" w:line="76" w:lineRule="exact"/>
        <w:rPr>
          <w:rFonts w:ascii="Arial" w:cs="Arial" w:eastAsia="Arial" w:hAnsi="Arial"/>
          <w:sz w:val="18"/>
          <w:szCs w:val="18"/>
          <w:color w:val="auto"/>
        </w:rPr>
      </w:pPr>
    </w:p>
    <w:p>
      <w:pPr>
        <w:ind w:left="420" w:right="40" w:hanging="372"/>
        <w:spacing w:after="0" w:line="256" w:lineRule="auto"/>
        <w:tabs>
          <w:tab w:leader="none" w:pos="3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13,036 shares representing the beneficial interest of Mr. Hawkins as of June 5, 2020 in the ESOP, 20,334 shares of restricted stock, which shares vest and the related restrictions expire on March 29, 2021, and 20,241 shares of restricted stock, which shares vest and the related restrictions expire on April 6, 2022.</w:t>
      </w:r>
    </w:p>
    <w:p>
      <w:pPr>
        <w:spacing w:after="0" w:line="80" w:lineRule="exact"/>
        <w:rPr>
          <w:rFonts w:ascii="Arial" w:cs="Arial" w:eastAsia="Arial" w:hAnsi="Arial"/>
          <w:sz w:val="18"/>
          <w:szCs w:val="18"/>
          <w:color w:val="auto"/>
        </w:rPr>
      </w:pPr>
    </w:p>
    <w:p>
      <w:pPr>
        <w:ind w:left="320" w:hanging="272"/>
        <w:spacing w:after="0"/>
        <w:tabs>
          <w:tab w:leader="none" w:pos="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90" w:lineRule="exact"/>
        <w:rPr>
          <w:rFonts w:ascii="Arial" w:cs="Arial" w:eastAsia="Arial" w:hAnsi="Arial"/>
          <w:sz w:val="18"/>
          <w:szCs w:val="18"/>
          <w:color w:val="auto"/>
        </w:rPr>
      </w:pPr>
    </w:p>
    <w:p>
      <w:pPr>
        <w:ind w:left="320" w:hanging="272"/>
        <w:spacing w:after="0"/>
        <w:tabs>
          <w:tab w:leader="none" w:pos="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1,144 shares of restricted stock, which shares vest and the related restrictions expire on July 31, 2020.</w:t>
      </w:r>
    </w:p>
    <w:p>
      <w:pPr>
        <w:spacing w:after="0" w:line="103" w:lineRule="exact"/>
        <w:rPr>
          <w:rFonts w:ascii="Arial" w:cs="Arial" w:eastAsia="Arial" w:hAnsi="Arial"/>
          <w:sz w:val="18"/>
          <w:szCs w:val="18"/>
          <w:color w:val="auto"/>
        </w:rPr>
      </w:pPr>
    </w:p>
    <w:p>
      <w:pPr>
        <w:ind w:left="260" w:hanging="212"/>
        <w:spacing w:after="0"/>
        <w:tabs>
          <w:tab w:leader="none" w:pos="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3,833 shares of restricted stock, which shares vest and the related restrictions expire on March 29, 2021.</w:t>
      </w:r>
    </w:p>
    <w:p>
      <w:pPr>
        <w:spacing w:after="0" w:line="103" w:lineRule="exact"/>
        <w:rPr>
          <w:rFonts w:ascii="Arial" w:cs="Arial" w:eastAsia="Arial" w:hAnsi="Arial"/>
          <w:sz w:val="18"/>
          <w:szCs w:val="18"/>
          <w:color w:val="auto"/>
        </w:rPr>
      </w:pPr>
    </w:p>
    <w:p>
      <w:pPr>
        <w:ind w:left="420" w:hanging="372"/>
        <w:spacing w:after="0" w:line="256"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1,224 shares representing the beneficial interest of Mr. Erstad as of June 5, 2020 in the ESOP, 8,739 shares of restricted stock, which shares vest and the related restrictions expire on March 29, 2021, and 7,615 shares of restricted stock, which shares vest and the related restrictions expire on April 6, 2022.</w:t>
      </w:r>
    </w:p>
    <w:p>
      <w:pPr>
        <w:spacing w:after="0" w:line="66" w:lineRule="exact"/>
        <w:rPr>
          <w:rFonts w:ascii="Arial" w:cs="Arial" w:eastAsia="Arial" w:hAnsi="Arial"/>
          <w:sz w:val="18"/>
          <w:szCs w:val="18"/>
          <w:color w:val="auto"/>
        </w:rPr>
      </w:pPr>
    </w:p>
    <w:p>
      <w:pPr>
        <w:ind w:left="420" w:right="520" w:hanging="372"/>
        <w:spacing w:after="0" w:line="261" w:lineRule="auto"/>
        <w:tabs>
          <w:tab w:leader="none" w:pos="3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15,019 shares that Mr. Keller holds jointly with his wife as to which he shares voting and investment power, 36,108 shares representing the beneficial interest of Mr. Keller as of June 5, 2020 in the ESOP, 7,751 shares of restricted</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879" w:right="339" w:bottom="1440" w:gutter="0" w:footer="0" w:header="0"/>
          <w:type w:val="continuous"/>
        </w:sectPr>
      </w:pPr>
    </w:p>
    <w:bookmarkStart w:id="32" w:name="page33"/>
    <w:bookmarkEnd w:id="32"/>
    <w:p>
      <w:pPr>
        <w:ind w:left="420" w:right="180"/>
        <w:spacing w:after="0" w:line="256" w:lineRule="auto"/>
        <w:rPr>
          <w:sz w:val="20"/>
          <w:szCs w:val="20"/>
          <w:color w:val="auto"/>
        </w:rPr>
      </w:pPr>
      <w:r>
        <w:rPr>
          <w:rFonts w:ascii="Arial" w:cs="Arial" w:eastAsia="Arial" w:hAnsi="Arial"/>
          <w:sz w:val="18"/>
          <w:szCs w:val="18"/>
          <w:color w:val="auto"/>
        </w:rPr>
        <w:t>stock, which shares vest and the related restrictions would expire on March 29, 2021, and 6,754 shares of restricted stock, which shares vest and the related restrictions would expire on April 6, 2022. However, due to Mr. Keller's planned retirement in July of 2020, those shares of restricted stock will be forfeited in their entirety upon his retirement.</w:t>
      </w:r>
    </w:p>
    <w:p>
      <w:pPr>
        <w:spacing w:after="0" w:line="67" w:lineRule="exact"/>
        <w:rPr>
          <w:sz w:val="20"/>
          <w:szCs w:val="20"/>
          <w:color w:val="auto"/>
        </w:rPr>
      </w:pPr>
    </w:p>
    <w:p>
      <w:pPr>
        <w:ind w:left="420" w:right="100" w:hanging="372"/>
        <w:spacing w:after="0" w:line="256"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176 shares representing the beneficial interest of Mr. Oldenkamp as of June 5, 2020 in the ESOP, 10,884 shares of restricted stock, which shares vest and the related restrictions expire on March 29, 2021, and 9,485 shares of restricted stock, which shares vest and the related restrictions expire on April 6, 2022.</w:t>
      </w:r>
    </w:p>
    <w:p>
      <w:pPr>
        <w:spacing w:after="0" w:line="80" w:lineRule="exact"/>
        <w:rPr>
          <w:rFonts w:ascii="Arial" w:cs="Arial" w:eastAsia="Arial" w:hAnsi="Arial"/>
          <w:sz w:val="18"/>
          <w:szCs w:val="18"/>
          <w:color w:val="auto"/>
        </w:rPr>
      </w:pPr>
    </w:p>
    <w:p>
      <w:pPr>
        <w:ind w:left="420" w:right="100" w:hanging="372"/>
        <w:spacing w:after="0" w:line="256"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21,084 shares representing the beneficial interest of Mr. Sevenich as of June 5, 2020 in the ESOP, 7,607 shares of restricted stock, which shares vest and the related restrictions expire on March 29, 2021, and 6,629 shares of restricted stock, which shares vest and the related restrictions expire on April 6, 2022.</w:t>
      </w:r>
    </w:p>
    <w:p>
      <w:pPr>
        <w:spacing w:after="0" w:line="80" w:lineRule="exact"/>
        <w:rPr>
          <w:rFonts w:ascii="Arial" w:cs="Arial" w:eastAsia="Arial" w:hAnsi="Arial"/>
          <w:sz w:val="18"/>
          <w:szCs w:val="18"/>
          <w:color w:val="auto"/>
        </w:rPr>
      </w:pPr>
    </w:p>
    <w:p>
      <w:pPr>
        <w:ind w:left="300" w:hanging="25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106,490 shares representing the beneficial interest of the officers as of June 5, 2020 in the ESOP.</w:t>
      </w:r>
    </w:p>
    <w:p>
      <w:pPr>
        <w:spacing w:after="0" w:line="90" w:lineRule="exact"/>
        <w:rPr>
          <w:rFonts w:ascii="Arial" w:cs="Arial" w:eastAsia="Arial" w:hAnsi="Arial"/>
          <w:sz w:val="18"/>
          <w:szCs w:val="18"/>
          <w:color w:val="auto"/>
        </w:rPr>
      </w:pPr>
    </w:p>
    <w:p>
      <w:pPr>
        <w:ind w:left="420" w:right="520" w:hanging="372"/>
        <w:spacing w:after="0" w:line="256"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 filed with the SEC by BlackRock, Inc. on February 4, 2020, reflecting securities beneficially owned as of December 31, 2019. BlackRock, Inc. reported sole voting power with respect to 1,511,736 shares and sole dispositive power with respect to all of the shares.</w:t>
      </w:r>
    </w:p>
    <w:p>
      <w:pPr>
        <w:spacing w:after="0" w:line="80" w:lineRule="exact"/>
        <w:rPr>
          <w:rFonts w:ascii="Arial" w:cs="Arial" w:eastAsia="Arial" w:hAnsi="Arial"/>
          <w:sz w:val="18"/>
          <w:szCs w:val="18"/>
          <w:color w:val="auto"/>
        </w:rPr>
      </w:pPr>
    </w:p>
    <w:p>
      <w:pPr>
        <w:ind w:left="420" w:right="80" w:hanging="372"/>
        <w:spacing w:after="0" w:line="256"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 filed with the SEC by The Vanguard Group on February 12, 2020, reflecting securities beneficially owned as of December 31, 2019. The Vanguard Group reported sole voting power with respect to 9,043 shares and sole dispositive power with respect to all of the shares.</w:t>
      </w:r>
    </w:p>
    <w:p>
      <w:pPr>
        <w:spacing w:after="0" w:line="80" w:lineRule="exact"/>
        <w:rPr>
          <w:rFonts w:ascii="Arial" w:cs="Arial" w:eastAsia="Arial" w:hAnsi="Arial"/>
          <w:sz w:val="18"/>
          <w:szCs w:val="18"/>
          <w:color w:val="auto"/>
        </w:rPr>
      </w:pPr>
    </w:p>
    <w:p>
      <w:pPr>
        <w:ind w:left="420" w:right="20" w:hanging="372"/>
        <w:spacing w:after="0" w:line="252"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held in the ESOP. BMO Harris Bank, N.A. is the trustee for the ESOP.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shares reported. The Trustee also has limited dispositive power with respect to all such shares, reflecting a requirement that the assets of the ESOP must primarily consist of shares of our common stock. The trustee disclaims beneficial ownership of the shares attributed to it in its capacity as trustee of the ESOP.</w:t>
      </w:r>
    </w:p>
    <w:p>
      <w:pPr>
        <w:spacing w:after="0" w:line="71" w:lineRule="exact"/>
        <w:rPr>
          <w:rFonts w:ascii="Arial" w:cs="Arial" w:eastAsia="Arial" w:hAnsi="Arial"/>
          <w:sz w:val="18"/>
          <w:szCs w:val="18"/>
          <w:color w:val="auto"/>
        </w:rPr>
      </w:pPr>
    </w:p>
    <w:p>
      <w:pPr>
        <w:ind w:left="420" w:right="220" w:hanging="372"/>
        <w:spacing w:after="0" w:line="256"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 filed with the SEC by Dimensional Fund Advisors LP on February 12, 2020, reflecting securities beneficially owned as of December 31, 2019. Dimensional Fund Advisors LP reported sole voting power with respect to 579,896 shares and sole dispositive power with respect to all of the shares.</w:t>
      </w:r>
    </w:p>
    <w:p>
      <w:pPr>
        <w:spacing w:after="0" w:line="80" w:lineRule="exact"/>
        <w:rPr>
          <w:rFonts w:ascii="Arial" w:cs="Arial" w:eastAsia="Arial" w:hAnsi="Arial"/>
          <w:sz w:val="18"/>
          <w:szCs w:val="18"/>
          <w:color w:val="auto"/>
        </w:rPr>
      </w:pPr>
    </w:p>
    <w:p>
      <w:pPr>
        <w:ind w:left="420" w:right="260" w:hanging="372"/>
        <w:spacing w:after="0" w:line="256" w:lineRule="auto"/>
        <w:tabs>
          <w:tab w:leader="none" w:pos="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Schedule 13G filed with the SEC by T. Rowe Price Associates, Inc. on February 14, 2020, reflecting securities beneficially owned as of December 31, 2019. T. Rowe Price Associates, Inc. reported sole voting power with respect to 157,548 shares and sole dispositive power with respect to all of the shares.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PARTY TRANSACTIONS</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employ the following relatives of Patrick H. Hawkins, our Chief Executive Officer: Angela Wagamon (sister) and Katherine Hawkins (daughter); and the following relatives of Theresa R. Moran, our Vice President - Purchasing, Logistics and Sales Support: Michael Clemens and John Clemens (brothers). Including retirement plan contributions and bonuses, each such employee earned in excess of $120,000 in fiscal 2020.</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Stauber leases its corporate office building and warehouse in Fullerton, California from an entity that is partially owned by Daniel J. Stauber, Chief Brand Officer of our Health and Nutrition Group and one of our Board members. The amount of rent expense paid in fiscal 2020 totaled $472,000, of which approximately $56,000 was attributable to Mr. Stauber. In addition, Mr. Stauber has a minority ownership interest in Laird Superfood, Inc., a customer of Stauber. Our sales to Laird Superfood, Inc. in fiscal 2020 totaled approximately $350,000. These transactions were reviewed and ratified by the Audit Committee.</w:t>
      </w:r>
    </w:p>
    <w:p>
      <w:pPr>
        <w:spacing w:after="0" w:line="23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003" w:right="379" w:bottom="1440" w:gutter="0" w:footer="0" w:header="0"/>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 xml:space="preserve">PROPOSAL TWO </w:t>
      </w:r>
      <w:r>
        <w:rPr>
          <w:rFonts w:ascii="Arial" w:cs="Arial" w:eastAsia="Arial" w:hAnsi="Arial"/>
          <w:sz w:val="25"/>
          <w:szCs w:val="25"/>
          <w:color w:val="auto"/>
        </w:rPr>
        <w:t>—</w:t>
      </w:r>
      <w:r>
        <w:rPr>
          <w:rFonts w:ascii="Arial" w:cs="Arial" w:eastAsia="Arial" w:hAnsi="Arial"/>
          <w:sz w:val="25"/>
          <w:szCs w:val="25"/>
          <w:b w:val="1"/>
          <w:bCs w:val="1"/>
          <w:color w:val="auto"/>
        </w:rPr>
        <w:t xml:space="preserve"> ADVISORY VOTE ON EXECUTIVE OFFICER COMPENSATION</w:t>
      </w: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Section 14A of the Securities Exchange Act of 1934, as amended, and Section 951 of the Dodd-Frank Wall Street Reform and Consumer Protection Act, the company is seeking a non-binding advisory vote from its shareholders to approve the compensation of our executive officers as described in this proxy statement under “Executive Compensation” and “Compensation Discussion and Analysis.”</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proposal gives our shareholders the opportunity to express their views on our executive officer compensation. Because your vote is advisory, it will not be binding upon the Board. However, the Compensation Committee will take into account the outcome of the vote when making future executive officer compensation decisions. In accordance with the result of the advisory vote on the frequency of the say-on-pay vote, which was conducted at our August 2019 annual meeting of shareholders, the Board has determined that we will continue to conduct an executive compensation advisory vote on an annual basis. Accordingly, the next say-on-pay vote will occur in 2021 in connection with our 2021 annual meeting of shareholders.</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executive compensation program has been designed to attract and retain executives who will lead our company to achieve long-term success and growth in shareholder value. Consistent with that goal, our executive compensation is based on company, business unit and individual performance and the alignment of the interests of our executive officers with those of our shareholders and is used to encourage our executive officers to stay with the company. Our executive compensation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At our August 2019 annual meeting of shareholders, approximately 95% of the advisory votes cast “for” or “against” the corresponding proposal were cast in support of our executive compensation program. The Compensation Committee and the other members of our Board believe that this vote reflected our shareholders’ strong support of the compensation decisions made by the Committee for our named executive officers for fiscal 2019. Based on these results, the Committee concluded that our executive compensation program achieved the goals of our compensation philosophy and, therefore, reaffirmed elements of our executive compensation for fiscal 2020.</w:t>
      </w:r>
    </w:p>
    <w:p>
      <w:pPr>
        <w:spacing w:after="0" w:line="23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22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50" w:lineRule="exact"/>
        <w:rPr>
          <w:sz w:val="20"/>
          <w:szCs w:val="20"/>
          <w:color w:val="auto"/>
        </w:rPr>
      </w:pPr>
    </w:p>
    <w:p>
      <w:pPr>
        <w:jc w:val="center"/>
        <w:ind w:left="340" w:right="200"/>
        <w:spacing w:after="0" w:line="271" w:lineRule="auto"/>
        <w:rPr>
          <w:sz w:val="20"/>
          <w:szCs w:val="20"/>
          <w:color w:val="auto"/>
        </w:rPr>
      </w:pPr>
      <w:r>
        <w:rPr>
          <w:rFonts w:ascii="Arial" w:cs="Arial" w:eastAsia="Arial" w:hAnsi="Arial"/>
          <w:sz w:val="18"/>
          <w:szCs w:val="18"/>
          <w:b w:val="1"/>
          <w:bCs w:val="1"/>
          <w:i w:val="1"/>
          <w:iCs w:val="1"/>
          <w:color w:val="auto"/>
        </w:rPr>
        <w:t>OUR BOARD BELIEVES THAT THE COMPENSATION OF OUR EXECUTIVE OFFICERS IS APPROPRIATE AND RECOMMENDS A VOTE “FOR” THIS PROPOSAL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7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OTHER MATTERS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BY SHAREHOLDERS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order for a shareholder proposal (other than director nominations) to be considered for inclusion in our proxy statement for next year’s annual meeting of shareholders, the written proposal must be received by us at our principal executive offices no later than February 26, 2021. Any such proposals also must comply with all applicable requirements of Minnesota law and the rules and regulations of the SEC regarding shareholder proposals. In order for any other shareholder proposal (including a director nomination) to be properly brought before next year’s annual meeting of shareholders, we must receive a written notice at our principal executive offices no later than May 1, 2021,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Annual Report on Form 10-K for fiscal 2020, including financial statements, is being mailed with this Proxy Statement. Shareholders who wish to obtain an additional copy of our Annual Report on Form 10-K for fiscal 2020 may do so without charge by writing to: Hawkins, Inc., 2381 Rosegate, Roseville, Minnesota 55113, Attention: Secretary. Our Annual Report on Form 10-K, as well as other company reports, are also available on the SEC’s website (www.sec.gov).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3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have adopted a procedure approved by the SEC called “householding,” by which certain shareholders who have the same address and appear to be members of the same family receive only one copy of our annual report and proxy statement. Each shareholder participating in householding continues to receive a separate proxy card. Householding reduces both the environmental impact of our annual meetings and our mailing and printing expenses.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86" w:right="33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5812155" cy="7509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0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03265" cy="7423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03265" cy="74237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2)"/>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lvl w:ilvl="1">
      <w:lvlJc w:val="left"/>
      <w:lvlText w:val="(%2)"/>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4"/>
    </w:lvl>
  </w:abstractNum>
  <w:abstractNum w:abstractNumId="17">
    <w:nsid w:val="54E49EB4"/>
    <w:multiLevelType w:val="hybridMultilevel"/>
    <w:lvl w:ilvl="0">
      <w:lvlJc w:val="left"/>
      <w:lvlText w:val="(%1)"/>
      <w:numFmt w:val="lowerLetter"/>
      <w:start w:val="5"/>
    </w:lvl>
    <w:lvl w:ilvl="1">
      <w:lvlJc w:val="left"/>
      <w:lvlText w:val="•"/>
      <w:numFmt w:val="bullet"/>
      <w:start w:val="1"/>
    </w:lvl>
  </w:abstractNum>
  <w:abstractNum w:abstractNumId="18">
    <w:nsid w:val="71F32454"/>
    <w:multiLevelType w:val="hybridMultilevel"/>
    <w:lvl w:ilvl="0">
      <w:lvlJc w:val="left"/>
      <w:lvlText w:val="(%1)"/>
      <w:numFmt w:val="lowerLetter"/>
      <w:start w:val="5"/>
    </w:lvl>
    <w:lvl w:ilvl="1">
      <w:lvlJc w:val="left"/>
      <w:lvlText w:val="•"/>
      <w:numFmt w:val="bullet"/>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3"/>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
      <w:numFmt w:val="bullet"/>
      <w:start w:val="1"/>
    </w:lvl>
    <w:lvl w:ilvl="1">
      <w:lvlJc w:val="left"/>
      <w:lvlText w:val="(%2)"/>
      <w:numFmt w:val="lowerLetter"/>
      <w:start w:val="1"/>
    </w:lvl>
  </w:abstractNum>
  <w:abstractNum w:abstractNumId="35">
    <w:nsid w:val="507236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2020-06-26T08:03:33Z</dcterms:created>
  <dcterms:modified xsi:type="dcterms:W3CDTF">2020-06-26T08:03:33Z</dcterms:modified>
</cp:coreProperties>
</file>