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60" w:type="dxa"/>
        <w:tblCellMar>
          <w:top w:w="0" w:type="dxa"/>
          <w:left w:w="0" w:type="dxa"/>
          <w:bottom w:w="0" w:type="dxa"/>
          <w:right w:w="0" w:type="dxa"/>
        </w:tblCellMar>
      </w:tblPr>
      <w:tr>
        <w:trPr>
          <w:trHeight w:val="297"/>
        </w:trPr>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gridSpan w:val="2"/>
          </w:tcPr>
          <w:p>
            <w:pPr>
              <w:jc w:val="center"/>
              <w:ind w:right="1000"/>
              <w:spacing w:after="0"/>
              <w:rPr>
                <w:sz w:val="20"/>
                <w:szCs w:val="20"/>
                <w:color w:val="auto"/>
              </w:rPr>
            </w:pPr>
            <w:r>
              <w:rPr>
                <w:rFonts w:ascii="Arial" w:cs="Arial" w:eastAsia="Arial" w:hAnsi="Arial"/>
                <w:sz w:val="25"/>
                <w:szCs w:val="25"/>
                <w:b w:val="1"/>
                <w:bCs w:val="1"/>
                <w:color w:val="auto"/>
                <w:w w:val="79"/>
              </w:rPr>
              <w:t>UNITED STATES</w:t>
            </w:r>
          </w:p>
        </w:tc>
        <w:tc>
          <w:tcPr>
            <w:tcW w:w="0" w:type="dxa"/>
            <w:vAlign w:val="bottom"/>
          </w:tcPr>
          <w:p>
            <w:pPr>
              <w:spacing w:after="0"/>
              <w:rPr>
                <w:sz w:val="1"/>
                <w:szCs w:val="1"/>
                <w:color w:val="auto"/>
              </w:rPr>
            </w:pPr>
          </w:p>
        </w:tc>
      </w:tr>
      <w:tr>
        <w:trPr>
          <w:trHeight w:val="307"/>
        </w:trPr>
        <w:tc>
          <w:tcPr>
            <w:tcW w:w="1340" w:type="dxa"/>
            <w:vAlign w:val="bottom"/>
          </w:tcPr>
          <w:p>
            <w:pPr>
              <w:spacing w:after="0"/>
              <w:rPr>
                <w:sz w:val="24"/>
                <w:szCs w:val="24"/>
                <w:color w:val="auto"/>
              </w:rPr>
            </w:pPr>
          </w:p>
        </w:tc>
        <w:tc>
          <w:tcPr>
            <w:tcW w:w="6020" w:type="dxa"/>
            <w:vAlign w:val="bottom"/>
            <w:gridSpan w:val="3"/>
          </w:tcPr>
          <w:p>
            <w:pPr>
              <w:jc w:val="center"/>
              <w:ind w:left="741"/>
              <w:spacing w:after="0"/>
              <w:rPr>
                <w:sz w:val="20"/>
                <w:szCs w:val="20"/>
                <w:color w:val="auto"/>
              </w:rPr>
            </w:pPr>
            <w:r>
              <w:rPr>
                <w:rFonts w:ascii="Arial" w:cs="Arial" w:eastAsia="Arial" w:hAnsi="Arial"/>
                <w:sz w:val="25"/>
                <w:szCs w:val="25"/>
                <w:b w:val="1"/>
                <w:bCs w:val="1"/>
                <w:color w:val="auto"/>
                <w:w w:val="83"/>
              </w:rPr>
              <w:t>SECURITIES AND EXCHANGE COMMISSION</w:t>
            </w:r>
          </w:p>
        </w:tc>
        <w:tc>
          <w:tcPr>
            <w:tcW w:w="0" w:type="dxa"/>
            <w:vAlign w:val="bottom"/>
          </w:tcPr>
          <w:p>
            <w:pPr>
              <w:spacing w:after="0"/>
              <w:rPr>
                <w:sz w:val="1"/>
                <w:szCs w:val="1"/>
                <w:color w:val="auto"/>
              </w:rPr>
            </w:pPr>
          </w:p>
        </w:tc>
      </w:tr>
      <w:tr>
        <w:trPr>
          <w:trHeight w:val="278"/>
        </w:trPr>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gridSpan w:val="2"/>
          </w:tcPr>
          <w:p>
            <w:pPr>
              <w:jc w:val="center"/>
              <w:ind w:right="1020"/>
              <w:spacing w:after="0"/>
              <w:rPr>
                <w:sz w:val="20"/>
                <w:szCs w:val="20"/>
                <w:color w:val="auto"/>
              </w:rPr>
            </w:pPr>
            <w:r>
              <w:rPr>
                <w:rFonts w:ascii="Arial" w:cs="Arial" w:eastAsia="Arial" w:hAnsi="Arial"/>
                <w:sz w:val="22"/>
                <w:szCs w:val="22"/>
                <w:b w:val="1"/>
                <w:bCs w:val="1"/>
                <w:color w:val="auto"/>
                <w:w w:val="84"/>
              </w:rPr>
              <w:t>Washington, D.C. 20549</w:t>
            </w: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2"/>
        </w:trPr>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gridSpan w:val="2"/>
          </w:tcPr>
          <w:p>
            <w:pPr>
              <w:jc w:val="center"/>
              <w:ind w:right="700"/>
              <w:spacing w:after="0"/>
              <w:rPr>
                <w:sz w:val="20"/>
                <w:szCs w:val="20"/>
                <w:color w:val="auto"/>
              </w:rPr>
            </w:pPr>
            <w:r>
              <w:rPr>
                <w:rFonts w:ascii="Arial" w:cs="Arial" w:eastAsia="Arial" w:hAnsi="Arial"/>
                <w:sz w:val="22"/>
                <w:szCs w:val="22"/>
                <w:b w:val="1"/>
                <w:bCs w:val="1"/>
                <w:color w:val="auto"/>
                <w:w w:val="84"/>
              </w:rPr>
              <w:t>Form 10-K</w:t>
            </w:r>
          </w:p>
        </w:tc>
        <w:tc>
          <w:tcPr>
            <w:tcW w:w="0" w:type="dxa"/>
            <w:vAlign w:val="bottom"/>
          </w:tcPr>
          <w:p>
            <w:pPr>
              <w:spacing w:after="0"/>
              <w:rPr>
                <w:sz w:val="1"/>
                <w:szCs w:val="1"/>
                <w:color w:val="auto"/>
              </w:rPr>
            </w:pPr>
          </w:p>
        </w:tc>
      </w:tr>
      <w:tr>
        <w:trPr>
          <w:trHeight w:val="326"/>
        </w:trPr>
        <w:tc>
          <w:tcPr>
            <w:tcW w:w="1340" w:type="dxa"/>
            <w:vAlign w:val="bottom"/>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6020" w:type="dxa"/>
            <w:vAlign w:val="bottom"/>
            <w:gridSpan w:val="3"/>
          </w:tcPr>
          <w:p>
            <w:pPr>
              <w:jc w:val="center"/>
              <w:ind w:left="1061"/>
              <w:spacing w:after="0"/>
              <w:rPr>
                <w:sz w:val="20"/>
                <w:szCs w:val="20"/>
                <w:color w:val="auto"/>
              </w:rPr>
            </w:pPr>
            <w:r>
              <w:rPr>
                <w:rFonts w:ascii="Arial" w:cs="Arial" w:eastAsia="Arial" w:hAnsi="Arial"/>
                <w:sz w:val="18"/>
                <w:szCs w:val="18"/>
                <w:b w:val="1"/>
                <w:bCs w:val="1"/>
                <w:color w:val="auto"/>
                <w:w w:val="82"/>
              </w:rPr>
              <w:t>ANNUAL REPORT PURSUANT TO SECTION 13 OR 15(d) OF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1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0"/>
              </w:rPr>
              <w:t>SECURITIES EXCHANGE ACT OF 1934</w:t>
            </w:r>
          </w:p>
        </w:tc>
        <w:tc>
          <w:tcPr>
            <w:tcW w:w="0" w:type="dxa"/>
            <w:vAlign w:val="bottom"/>
          </w:tcPr>
          <w:p>
            <w:pPr>
              <w:spacing w:after="0"/>
              <w:rPr>
                <w:sz w:val="1"/>
                <w:szCs w:val="1"/>
                <w:color w:val="auto"/>
              </w:rPr>
            </w:pPr>
          </w:p>
        </w:tc>
      </w:tr>
      <w:tr>
        <w:trPr>
          <w:trHeight w:val="231"/>
        </w:trPr>
        <w:tc>
          <w:tcPr>
            <w:tcW w:w="134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highlight w:val="black"/>
              </w:rPr>
              <w:t>☐</w:t>
            </w:r>
          </w:p>
        </w:tc>
        <w:tc>
          <w:tcPr>
            <w:tcW w:w="6020" w:type="dxa"/>
            <w:vAlign w:val="bottom"/>
            <w:gridSpan w:val="3"/>
          </w:tcPr>
          <w:p>
            <w:pPr>
              <w:ind w:left="1780"/>
              <w:spacing w:after="0"/>
              <w:rPr>
                <w:sz w:val="20"/>
                <w:szCs w:val="20"/>
                <w:color w:val="auto"/>
              </w:rPr>
            </w:pPr>
            <w:r>
              <w:rPr>
                <w:rFonts w:ascii="Arial" w:cs="Arial" w:eastAsia="Arial" w:hAnsi="Arial"/>
                <w:sz w:val="18"/>
                <w:szCs w:val="18"/>
                <w:b w:val="1"/>
                <w:bCs w:val="1"/>
                <w:color w:val="auto"/>
              </w:rPr>
              <w:t>For the Fiscal Year Ended April 2, 2023</w:t>
            </w:r>
          </w:p>
        </w:tc>
        <w:tc>
          <w:tcPr>
            <w:tcW w:w="0" w:type="dxa"/>
            <w:vAlign w:val="bottom"/>
          </w:tcPr>
          <w:p>
            <w:pPr>
              <w:spacing w:after="0"/>
              <w:rPr>
                <w:sz w:val="1"/>
                <w:szCs w:val="1"/>
                <w:color w:val="auto"/>
              </w:rPr>
            </w:pPr>
          </w:p>
        </w:tc>
      </w:tr>
      <w:tr>
        <w:trPr>
          <w:trHeight w:val="323"/>
        </w:trPr>
        <w:tc>
          <w:tcPr>
            <w:tcW w:w="1340" w:type="dxa"/>
            <w:vAlign w:val="bottom"/>
            <w:vMerge w:val="continue"/>
          </w:tcPr>
          <w:p>
            <w:pPr>
              <w:spacing w:after="0"/>
              <w:rPr>
                <w:sz w:val="24"/>
                <w:szCs w:val="24"/>
                <w:color w:val="auto"/>
              </w:rPr>
            </w:pPr>
          </w:p>
        </w:tc>
        <w:tc>
          <w:tcPr>
            <w:tcW w:w="6020" w:type="dxa"/>
            <w:vAlign w:val="bottom"/>
            <w:gridSpan w:val="3"/>
          </w:tcPr>
          <w:p>
            <w:pPr>
              <w:jc w:val="center"/>
              <w:ind w:left="1061"/>
              <w:spacing w:after="0"/>
              <w:rPr>
                <w:sz w:val="20"/>
                <w:szCs w:val="20"/>
                <w:color w:val="auto"/>
              </w:rPr>
            </w:pPr>
            <w:r>
              <w:rPr>
                <w:rFonts w:ascii="Arial" w:cs="Arial" w:eastAsia="Arial" w:hAnsi="Arial"/>
                <w:sz w:val="18"/>
                <w:szCs w:val="18"/>
                <w:b w:val="1"/>
                <w:bCs w:val="1"/>
                <w:color w:val="auto"/>
                <w:w w:val="82"/>
              </w:rPr>
              <w:t>TRANSITION REPORT PURSUANT TO SECTION 13 OR 15(d) OF THE</w:t>
            </w: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0"/>
              </w:rPr>
              <w:t>SECURITIES EXCHANGE ACT OF 1934</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Commission File No. 0-7647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387985</wp:posOffset>
            </wp:positionH>
            <wp:positionV relativeFrom="page">
              <wp:posOffset>328930</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page">
              <wp:posOffset>387985</wp:posOffset>
            </wp:positionH>
            <wp:positionV relativeFrom="page">
              <wp:posOffset>363220</wp:posOffset>
            </wp:positionV>
            <wp:extent cx="6772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114935</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Specifed in its Charter)</w:t>
      </w:r>
    </w:p>
    <w:p>
      <w:pPr>
        <w:sectPr>
          <w:pgSz w:w="11900" w:h="16838" w:orient="portrait"/>
          <w:cols w:equalWidth="0" w:num="1">
            <w:col w:w="11220"/>
          </w:cols>
          <w:pgMar w:left="320" w:top="679" w:right="359" w:bottom="1440" w:gutter="0" w:footer="0" w:header="0"/>
        </w:sectPr>
      </w:pPr>
    </w:p>
    <w:p>
      <w:pPr>
        <w:spacing w:after="0" w:line="46" w:lineRule="exact"/>
        <w:rPr>
          <w:sz w:val="24"/>
          <w:szCs w:val="24"/>
          <w:color w:val="auto"/>
        </w:rPr>
      </w:pPr>
    </w:p>
    <w:p>
      <w:pPr>
        <w:ind w:left="2480"/>
        <w:spacing w:after="0"/>
        <w:rPr>
          <w:sz w:val="20"/>
          <w:szCs w:val="20"/>
          <w:color w:val="auto"/>
        </w:rPr>
      </w:pPr>
      <w:r>
        <w:rPr>
          <w:rFonts w:ascii="Arial" w:cs="Arial" w:eastAsia="Arial" w:hAnsi="Arial"/>
          <w:sz w:val="12"/>
          <w:szCs w:val="12"/>
          <w:b w:val="1"/>
          <w:bCs w:val="1"/>
          <w:color w:val="auto"/>
        </w:rPr>
        <w:t>Minnesota</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41-0771293</w:t>
      </w:r>
    </w:p>
    <w:p>
      <w:pPr>
        <w:spacing w:after="0" w:line="53" w:lineRule="exact"/>
        <w:rPr>
          <w:sz w:val="24"/>
          <w:szCs w:val="24"/>
          <w:color w:val="auto"/>
        </w:rPr>
      </w:pPr>
    </w:p>
    <w:p>
      <w:pPr>
        <w:sectPr>
          <w:pgSz w:w="11900" w:h="16838" w:orient="portrait"/>
          <w:cols w:equalWidth="0" w:num="2">
            <w:col w:w="7580" w:space="720"/>
            <w:col w:w="2920"/>
          </w:cols>
          <w:pgMar w:left="320" w:top="679" w:right="359" w:bottom="1440" w:gutter="0" w:footer="0" w:header="0"/>
          <w:type w:val="continuous"/>
        </w:sectPr>
      </w:pPr>
    </w:p>
    <w:p>
      <w:pPr>
        <w:ind w:left="2120"/>
        <w:spacing w:after="0"/>
        <w:rPr>
          <w:sz w:val="20"/>
          <w:szCs w:val="20"/>
          <w:color w:val="auto"/>
        </w:rPr>
      </w:pPr>
      <w:r>
        <w:rPr>
          <w:rFonts w:ascii="Arial" w:cs="Arial" w:eastAsia="Arial" w:hAnsi="Arial"/>
          <w:sz w:val="13"/>
          <w:szCs w:val="13"/>
          <w:color w:val="auto"/>
        </w:rPr>
        <w:t>(State 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Identfcaton No.)</w:t>
      </w:r>
    </w:p>
    <w:p>
      <w:pPr>
        <w:spacing w:after="0" w:line="40" w:lineRule="exact"/>
        <w:rPr>
          <w:sz w:val="24"/>
          <w:szCs w:val="24"/>
          <w:color w:val="auto"/>
        </w:rPr>
      </w:pPr>
    </w:p>
    <w:p>
      <w:pPr>
        <w:sectPr>
          <w:pgSz w:w="11900" w:h="16838" w:orient="portrait"/>
          <w:cols w:equalWidth="0" w:num="2">
            <w:col w:w="6920" w:space="720"/>
            <w:col w:w="3580"/>
          </w:cols>
          <w:pgMar w:left="320" w:top="679" w:right="3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55113</w:t>
      </w:r>
    </w:p>
    <w:p>
      <w:pPr>
        <w:spacing w:after="0" w:line="65" w:lineRule="exact"/>
        <w:rPr>
          <w:sz w:val="24"/>
          <w:szCs w:val="24"/>
          <w:color w:val="auto"/>
        </w:rPr>
      </w:pPr>
    </w:p>
    <w:p>
      <w:pPr>
        <w:sectPr>
          <w:pgSz w:w="11900" w:h="16838" w:orient="portrait"/>
          <w:cols w:equalWidth="0" w:num="2">
            <w:col w:w="7740" w:space="720"/>
            <w:col w:w="2760"/>
          </w:cols>
          <w:pgMar w:left="320" w:top="679" w:right="359" w:bottom="1440" w:gutter="0" w:footer="0" w:header="0"/>
          <w:type w:val="continuous"/>
        </w:sectPr>
      </w:pPr>
    </w:p>
    <w:p>
      <w:pPr>
        <w:ind w:left="1680"/>
        <w:spacing w:after="0"/>
        <w:rPr>
          <w:sz w:val="20"/>
          <w:szCs w:val="20"/>
          <w:color w:val="auto"/>
        </w:rPr>
      </w:pPr>
      <w:r>
        <w:rPr>
          <w:rFonts w:ascii="Arial" w:cs="Arial" w:eastAsia="Arial" w:hAnsi="Arial"/>
          <w:sz w:val="13"/>
          <w:szCs w:val="13"/>
          <w:color w:val="auto"/>
        </w:rPr>
        <w:t>(Address of Principal Executve Ofces)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132" w:lineRule="exact"/>
        <w:rPr>
          <w:sz w:val="24"/>
          <w:szCs w:val="24"/>
          <w:color w:val="auto"/>
        </w:rPr>
      </w:pPr>
    </w:p>
    <w:p>
      <w:pPr>
        <w:sectPr>
          <w:pgSz w:w="11900" w:h="16838" w:orient="portrait"/>
          <w:cols w:equalWidth="0" w:num="2">
            <w:col w:w="7620" w:space="720"/>
            <w:col w:w="2880"/>
          </w:cols>
          <w:pgMar w:left="320" w:top="679" w:right="3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(612) 331-6910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70" w:lineRule="exact"/>
        <w:rPr>
          <w:sz w:val="24"/>
          <w:szCs w:val="24"/>
          <w:color w:val="auto"/>
        </w:rPr>
      </w:pPr>
    </w:p>
    <w:p>
      <w:pPr>
        <w:jc w:val="center"/>
        <w:ind w:right="100"/>
        <w:spacing w:after="0"/>
        <w:rPr>
          <w:sz w:val="20"/>
          <w:szCs w:val="20"/>
          <w:color w:val="auto"/>
        </w:rPr>
      </w:pPr>
      <w:r>
        <w:rPr>
          <w:rFonts w:ascii="Arial" w:cs="Arial" w:eastAsia="Arial" w:hAnsi="Arial"/>
          <w:sz w:val="13"/>
          <w:szCs w:val="13"/>
          <w:color w:val="auto"/>
        </w:rPr>
        <w:t>Securites registered pursuant to Secton 12(b) of the Act:</w:t>
      </w:r>
    </w:p>
    <w:p>
      <w:pPr>
        <w:sectPr>
          <w:pgSz w:w="11900" w:h="16838" w:orient="portrait"/>
          <w:cols w:equalWidth="0" w:num="1">
            <w:col w:w="11220"/>
          </w:cols>
          <w:pgMar w:left="320" w:top="679" w:right="359" w:bottom="1440" w:gutter="0" w:footer="0" w:header="0"/>
          <w:type w:val="continuous"/>
        </w:sectPr>
      </w:pPr>
    </w:p>
    <w:p>
      <w:pPr>
        <w:spacing w:after="0" w:line="40" w:lineRule="exact"/>
        <w:rPr>
          <w:sz w:val="24"/>
          <w:szCs w:val="24"/>
          <w:color w:val="auto"/>
        </w:rPr>
      </w:pPr>
    </w:p>
    <w:p>
      <w:pPr>
        <w:ind w:left="15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65" w:lineRule="exact"/>
        <w:rPr>
          <w:sz w:val="24"/>
          <w:szCs w:val="24"/>
          <w:color w:val="auto"/>
        </w:rPr>
      </w:pPr>
    </w:p>
    <w:p>
      <w:pPr>
        <w:sectPr>
          <w:pgSz w:w="11900" w:h="16838" w:orient="portrait"/>
          <w:cols w:equalWidth="0" w:num="3">
            <w:col w:w="4420" w:space="720"/>
            <w:col w:w="2040" w:space="720"/>
            <w:col w:w="3320"/>
          </w:cols>
          <w:pgMar w:left="320" w:top="679" w:right="359" w:bottom="1440" w:gutter="0" w:footer="0" w:header="0"/>
          <w:type w:val="continuous"/>
        </w:sectPr>
      </w:pPr>
    </w:p>
    <w:p>
      <w:pPr>
        <w:ind w:left="900"/>
        <w:spacing w:after="0"/>
        <w:rPr>
          <w:sz w:val="20"/>
          <w:szCs w:val="20"/>
          <w:color w:val="auto"/>
        </w:rPr>
      </w:pPr>
      <w:r>
        <w:rPr>
          <w:rFonts w:ascii="Arial" w:cs="Arial" w:eastAsia="Arial" w:hAnsi="Arial"/>
          <w:sz w:val="12"/>
          <w:szCs w:val="12"/>
          <w:color w:val="auto"/>
        </w:rPr>
        <w:t>Common Shares,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Nasdaq Stock Market LLC</w:t>
      </w:r>
    </w:p>
    <w:p>
      <w:pPr>
        <w:spacing w:after="0" w:line="65" w:lineRule="exact"/>
        <w:rPr>
          <w:sz w:val="24"/>
          <w:szCs w:val="24"/>
          <w:color w:val="auto"/>
        </w:rPr>
      </w:pPr>
    </w:p>
    <w:p>
      <w:pPr>
        <w:sectPr>
          <w:pgSz w:w="11900" w:h="16838" w:orient="portrait"/>
          <w:cols w:equalWidth="0" w:num="3">
            <w:col w:w="4720" w:space="720"/>
            <w:col w:w="2240" w:space="720"/>
            <w:col w:w="2820"/>
          </w:cols>
          <w:pgMar w:left="320" w:top="679" w:right="359" w:bottom="1440" w:gutter="0" w:footer="0" w:header="0"/>
          <w:type w:val="continuous"/>
        </w:sectPr>
      </w:pPr>
    </w:p>
    <w:p>
      <w:pPr>
        <w:jc w:val="center"/>
        <w:ind w:right="-39"/>
        <w:spacing w:after="0"/>
        <w:tabs>
          <w:tab w:leader="none" w:pos="100" w:val="left"/>
        </w:tabs>
        <w:rPr>
          <w:sz w:val="20"/>
          <w:szCs w:val="20"/>
          <w:color w:val="auto"/>
        </w:rPr>
      </w:pPr>
      <w:r>
        <w:rPr>
          <w:rFonts w:ascii="Arial" w:cs="Arial" w:eastAsia="Arial" w:hAnsi="Arial"/>
          <w:sz w:val="14"/>
          <w:szCs w:val="14"/>
          <w:b w:val="1"/>
          <w:bCs w:val="1"/>
          <w:color w:val="auto"/>
        </w:rPr>
        <w:t>Securites registered pursuant to Secton 12(g) of the Act:</w:t>
      </w:r>
      <w:r>
        <w:rPr>
          <w:sz w:val="20"/>
          <w:szCs w:val="20"/>
          <w:color w:val="auto"/>
        </w:rPr>
        <w:tab/>
      </w:r>
      <w:r>
        <w:rPr>
          <w:rFonts w:ascii="Arial" w:cs="Arial" w:eastAsia="Arial" w:hAnsi="Arial"/>
          <w:sz w:val="13"/>
          <w:szCs w:val="13"/>
          <w:b w:val="1"/>
          <w:bCs w:val="1"/>
          <w:color w:val="auto"/>
        </w:rPr>
        <w:t>None</w:t>
      </w:r>
    </w:p>
    <w:p>
      <w:pPr>
        <w:sectPr>
          <w:pgSz w:w="11900" w:h="16838" w:orient="portrait"/>
          <w:cols w:equalWidth="0" w:num="1">
            <w:col w:w="11220"/>
          </w:cols>
          <w:pgMar w:left="320" w:top="679" w:right="359" w:bottom="1440" w:gutter="0" w:footer="0" w:header="0"/>
          <w:type w:val="continuous"/>
        </w:sectPr>
      </w:pPr>
    </w:p>
    <w:p>
      <w:pPr>
        <w:spacing w:after="0" w:line="151" w:lineRule="exact"/>
        <w:rPr>
          <w:sz w:val="24"/>
          <w:szCs w:val="24"/>
          <w:color w:val="auto"/>
        </w:rPr>
      </w:pPr>
    </w:p>
    <w:p>
      <w:pPr>
        <w:ind w:left="340" w:right="1940"/>
        <w:spacing w:after="0" w:line="271" w:lineRule="exact"/>
        <w:rPr>
          <w:sz w:val="20"/>
          <w:szCs w:val="20"/>
          <w:color w:val="auto"/>
        </w:rPr>
      </w:pPr>
      <w:r>
        <w:rPr>
          <w:rFonts w:ascii="Arial" w:cs="Arial" w:eastAsia="Arial" w:hAnsi="Arial"/>
          <w:sz w:val="15"/>
          <w:szCs w:val="15"/>
          <w:color w:val="auto"/>
        </w:rPr>
        <w:t xml:space="preserve">Indicate by check mark if the registrant is a well-known seasoned issuer, as defned in Rule 405 of the Securites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fle reports pursuant to Secton 13 or Secton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6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fled all reports required to be fled by Secton 13 or 15(d) of the Securites Exchange Act of 1934 during the preceding twelve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firstLine="324"/>
        <w:spacing w:after="0" w:line="220" w:lineRule="exact"/>
        <w:rPr>
          <w:sz w:val="20"/>
          <w:szCs w:val="20"/>
          <w:color w:val="auto"/>
        </w:rPr>
      </w:pPr>
      <w:r>
        <w:rPr>
          <w:rFonts w:ascii="Arial" w:cs="Arial" w:eastAsia="Arial" w:hAnsi="Arial"/>
          <w:sz w:val="16"/>
          <w:szCs w:val="16"/>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80" w:firstLine="324"/>
        <w:spacing w:after="0" w:line="266" w:lineRule="auto"/>
        <w:rPr>
          <w:sz w:val="20"/>
          <w:szCs w:val="20"/>
          <w:color w:val="auto"/>
        </w:rPr>
      </w:pPr>
      <w:r>
        <w:rPr>
          <w:rFonts w:ascii="Arial" w:cs="Arial" w:eastAsia="Arial" w:hAnsi="Arial"/>
          <w:sz w:val="16"/>
          <w:szCs w:val="16"/>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ectPr>
          <w:pgSz w:w="11900" w:h="16838" w:orient="portrait"/>
          <w:cols w:equalWidth="0" w:num="1">
            <w:col w:w="11220"/>
          </w:cols>
          <w:pgMar w:left="320" w:top="679" w:right="359" w:bottom="1440" w:gutter="0" w:footer="0" w:header="0"/>
          <w:type w:val="continuous"/>
        </w:sectPr>
      </w:pPr>
    </w:p>
    <w:p>
      <w:pPr>
        <w:spacing w:after="0" w:line="1"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Large accelerated fler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fler </w:t>
      </w:r>
      <w:r>
        <w:rPr>
          <w:rFonts w:ascii="MS PGothic" w:cs="MS PGothic" w:eastAsia="MS PGothic" w:hAnsi="MS PGothic"/>
          <w:sz w:val="15"/>
          <w:szCs w:val="15"/>
          <w:color w:val="auto"/>
        </w:rPr>
        <w:t>☐</w:t>
      </w:r>
    </w:p>
    <w:p>
      <w:pPr>
        <w:spacing w:after="0" w:line="165" w:lineRule="exact"/>
        <w:rPr>
          <w:sz w:val="24"/>
          <w:szCs w:val="24"/>
          <w:color w:val="auto"/>
        </w:rPr>
      </w:pPr>
    </w:p>
    <w:p>
      <w:pPr>
        <w:sectPr>
          <w:pgSz w:w="11900" w:h="16838" w:orient="portrait"/>
          <w:cols w:equalWidth="0" w:num="2">
            <w:col w:w="9140" w:space="720"/>
            <w:col w:w="1360"/>
          </w:cols>
          <w:pgMar w:left="320" w:top="679" w:right="359" w:bottom="1440" w:gutter="0" w:footer="0" w:header="0"/>
          <w:type w:val="continuous"/>
        </w:sectPr>
      </w:pPr>
    </w:p>
    <w:p>
      <w:pPr>
        <w:ind w:left="520"/>
        <w:spacing w:after="0" w:line="173" w:lineRule="exact"/>
        <w:rPr>
          <w:sz w:val="20"/>
          <w:szCs w:val="20"/>
          <w:color w:val="auto"/>
        </w:rPr>
      </w:pPr>
      <w:r>
        <w:rPr>
          <w:rFonts w:ascii="Arial" w:cs="Arial" w:eastAsia="Arial" w:hAnsi="Arial"/>
          <w:sz w:val="15"/>
          <w:szCs w:val="15"/>
          <w:color w:val="auto"/>
        </w:rPr>
        <w:t xml:space="preserve">Non-accelerated fler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reportng company </w:t>
      </w:r>
      <w:r>
        <w:rPr>
          <w:rFonts w:ascii="MS PGothic" w:cs="MS PGothic" w:eastAsia="MS PGothic" w:hAnsi="MS PGothic"/>
          <w:sz w:val="15"/>
          <w:szCs w:val="15"/>
          <w:color w:val="auto"/>
        </w:rPr>
        <w:t>☐</w:t>
      </w:r>
    </w:p>
    <w:p>
      <w:pPr>
        <w:spacing w:after="0" w:line="165" w:lineRule="exact"/>
        <w:rPr>
          <w:sz w:val="24"/>
          <w:szCs w:val="24"/>
          <w:color w:val="auto"/>
        </w:rPr>
      </w:pPr>
    </w:p>
    <w:p>
      <w:pPr>
        <w:sectPr>
          <w:pgSz w:w="11900" w:h="16838" w:orient="portrait"/>
          <w:cols w:equalWidth="0" w:num="2">
            <w:col w:w="8420" w:space="720"/>
            <w:col w:w="2080"/>
          </w:cols>
          <w:pgMar w:left="320" w:top="679" w:right="359" w:bottom="1440" w:gutter="0" w:footer="0" w:header="0"/>
          <w:type w:val="continuous"/>
        </w:sectPr>
      </w:pPr>
    </w:p>
    <w:p>
      <w:pPr>
        <w:ind w:left="91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20"/>
          </w:cols>
          <w:pgMar w:left="320" w:top="679" w:right="359" w:bottom="1440" w:gutter="0" w:footer="0" w:header="0"/>
          <w:type w:val="continuous"/>
        </w:sectPr>
      </w:pPr>
    </w:p>
    <w:p>
      <w:pPr>
        <w:spacing w:after="0" w:line="238" w:lineRule="exact"/>
        <w:rPr>
          <w:sz w:val="24"/>
          <w:szCs w:val="24"/>
          <w:color w:val="auto"/>
        </w:rPr>
      </w:pPr>
    </w:p>
    <w:p>
      <w:pPr>
        <w:ind w:right="10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right="240" w:firstLine="324"/>
        <w:spacing w:after="0" w:line="273" w:lineRule="auto"/>
        <w:rPr>
          <w:sz w:val="20"/>
          <w:szCs w:val="20"/>
          <w:color w:val="auto"/>
        </w:rPr>
      </w:pPr>
      <w:r>
        <w:rPr>
          <w:rFonts w:ascii="Arial" w:cs="Arial" w:eastAsia="Arial" w:hAnsi="Arial"/>
          <w:sz w:val="15"/>
          <w:szCs w:val="15"/>
          <w:color w:val="auto"/>
        </w:rPr>
        <w:t>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w:t>
      </w: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88" w:lineRule="exact"/>
        <w:rPr>
          <w:sz w:val="24"/>
          <w:szCs w:val="24"/>
          <w:color w:val="auto"/>
        </w:rPr>
      </w:pPr>
    </w:p>
    <w:p>
      <w:pPr>
        <w:ind w:left="340"/>
        <w:spacing w:after="0" w:line="184" w:lineRule="exact"/>
        <w:tabs>
          <w:tab w:leader="none" w:pos="7800" w:val="left"/>
          <w:tab w:leader="none" w:pos="8380" w:val="left"/>
        </w:tabs>
        <w:rPr>
          <w:sz w:val="20"/>
          <w:szCs w:val="20"/>
          <w:color w:val="auto"/>
        </w:rPr>
      </w:pPr>
      <w:r>
        <w:rPr>
          <w:rFonts w:ascii="Arial" w:cs="Arial" w:eastAsia="Arial" w:hAnsi="Arial"/>
          <w:sz w:val="15"/>
          <w:szCs w:val="15"/>
          <w:color w:val="auto"/>
        </w:rPr>
        <w:t>Indicate by check mark whether the registrant is a shell company (as defned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7" w:lineRule="exact"/>
        <w:rPr>
          <w:sz w:val="24"/>
          <w:szCs w:val="24"/>
          <w:color w:val="auto"/>
        </w:rPr>
      </w:pPr>
    </w:p>
    <w:p>
      <w:pPr>
        <w:ind w:right="80" w:firstLine="324"/>
        <w:spacing w:after="0" w:line="220" w:lineRule="exact"/>
        <w:rPr>
          <w:sz w:val="20"/>
          <w:szCs w:val="20"/>
          <w:color w:val="auto"/>
        </w:rPr>
      </w:pPr>
      <w:r>
        <w:rPr>
          <w:rFonts w:ascii="Arial" w:cs="Arial" w:eastAsia="Arial" w:hAnsi="Arial"/>
          <w:sz w:val="16"/>
          <w:szCs w:val="16"/>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20" w:firstLine="324"/>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324"/>
        <w:spacing w:after="0" w:line="260" w:lineRule="auto"/>
        <w:rPr>
          <w:sz w:val="20"/>
          <w:szCs w:val="20"/>
          <w:color w:val="auto"/>
        </w:rPr>
      </w:pPr>
      <w:r>
        <w:rPr>
          <w:rFonts w:ascii="Arial" w:cs="Arial" w:eastAsia="Arial" w:hAnsi="Arial"/>
          <w:sz w:val="16"/>
          <w:szCs w:val="16"/>
          <w:color w:val="auto"/>
        </w:rPr>
        <w:t>The aggregate market value of votng stock held by non-afliates of the Registrant on October 2, 2022 (the last business day of the Registrant’s most recently completed second fscal quarter) was approximately $787.1 million based upon the closing sale price for the Registrant’s common shares on that date as reported by The Nasdaq Stock Market LLC, excluding all shares held by ofcers and directors of the Registrant and by the Trustees of the Registrant’s Employee Stock Ownership Plan and Trust.</w:t>
      </w:r>
    </w:p>
    <w:p>
      <w:pPr>
        <w:spacing w:after="0" w:line="4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12, 2023, the Registrant had 21,003,799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73025</wp:posOffset>
            </wp:positionV>
            <wp:extent cx="2014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Portons of our defnitve Proxy Statement for the annual meetng of shareholders to be held August 2, 2023, are incorporated by reference in Part III of this Annual Report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38100</wp:posOffset>
            </wp:positionV>
            <wp:extent cx="677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72390</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informaton presented in this Annual Report on Form 10-K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“expect,” “intend,” “plan,” “believe,” “seek,” “estmate,” “will” and similar expressions may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These risks and uncertaintes are described in the risk factors and elsewhere in this Annual Report on Form 10-K. We cauton you not to place undue reliance on these forward-looking statements, which refect our management’s view only as of the date of this Annual Report on Form 10-K. We are not obligated to update these statements or publicly release the result of any revisions to them to refect events or circumstances afer the date of this Annual Report on Form 10-K or to refect the occurrence of unantcipated events.</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used in this Annual Report on Form 10-K, except where otherwise stated or indicated by the context, “Hawkins,” “we,” “us,” “the Company,” “our,” or “the Registrant” means Hawkins, Inc. References to "fscal 2024" means our fscal year ending March 31, 2024, “fscal 2023” means our fscal year ended April 2, 2023, “fscal 2022” means our fscal year ended April 3, 2022, and “fscal 2021” means our fscal year ended March 28,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87"/>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86"/>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0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85"/>
              </w:rPr>
              <w:t>For the Fiscal Year Ended April 2, 2023</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4"/>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
        </w:trPr>
        <w:tc>
          <w:tcPr>
            <w:tcW w:w="11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4840" w:type="dxa"/>
            <w:vAlign w:val="bottom"/>
            <w:gridSpan w:val="8"/>
            <w:vMerge w:val="restart"/>
          </w:tcPr>
          <w:p>
            <w:pPr>
              <w:jc w:val="center"/>
              <w:ind w:right="4060"/>
              <w:spacing w:after="0"/>
              <w:rPr>
                <w:sz w:val="20"/>
                <w:szCs w:val="20"/>
                <w:color w:val="auto"/>
              </w:rPr>
            </w:pPr>
            <w:r>
              <w:rPr>
                <w:rFonts w:ascii="Arial" w:cs="Arial" w:eastAsia="Arial" w:hAnsi="Arial"/>
                <w:sz w:val="18"/>
                <w:szCs w:val="18"/>
                <w:b w:val="1"/>
                <w:bCs w:val="1"/>
                <w:color w:val="auto"/>
                <w:w w:val="77"/>
              </w:rPr>
              <w:t>PART I</w:t>
            </w: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840" w:type="dxa"/>
            <w:vAlign w:val="bottom"/>
            <w:gridSpan w:val="8"/>
            <w:vMerge w:val="continue"/>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1.</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Business</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1A.</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Risk Factors</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1B.</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Unresolved Staf Comments</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2.</w:t>
            </w:r>
          </w:p>
        </w:tc>
        <w:tc>
          <w:tcPr>
            <w:tcW w:w="2020" w:type="dxa"/>
            <w:vAlign w:val="bottom"/>
            <w:gridSpan w:val="10"/>
          </w:tcPr>
          <w:p>
            <w:pPr>
              <w:spacing w:after="0" w:line="176" w:lineRule="exact"/>
              <w:rPr>
                <w:sz w:val="20"/>
                <w:szCs w:val="20"/>
                <w:color w:val="auto"/>
              </w:rPr>
            </w:pPr>
            <w:r>
              <w:rPr>
                <w:rFonts w:ascii="Arial" w:cs="Arial" w:eastAsia="Arial" w:hAnsi="Arial"/>
                <w:sz w:val="18"/>
                <w:szCs w:val="18"/>
                <w:color w:val="0000FF"/>
              </w:rPr>
              <w:t>Propertes</w:t>
            </w:r>
          </w:p>
        </w:tc>
        <w:tc>
          <w:tcPr>
            <w:tcW w:w="6900" w:type="dxa"/>
            <w:vAlign w:val="bottom"/>
            <w:gridSpan w:val="12"/>
          </w:tcPr>
          <w:p>
            <w:pPr>
              <w:spacing w:after="0"/>
              <w:rPr>
                <w:sz w:val="15"/>
                <w:szCs w:val="15"/>
                <w:color w:val="auto"/>
              </w:rPr>
            </w:pP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3.</w:t>
            </w:r>
          </w:p>
        </w:tc>
        <w:tc>
          <w:tcPr>
            <w:tcW w:w="13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FF"/>
                <w:w w:val="85"/>
              </w:rPr>
              <w:t>Legal Proceedings</w:t>
            </w:r>
          </w:p>
        </w:tc>
        <w:tc>
          <w:tcPr>
            <w:tcW w:w="7620" w:type="dxa"/>
            <w:vAlign w:val="bottom"/>
            <w:gridSpan w:val="17"/>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4.</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Mine Safety Disclosures</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40" w:type="dxa"/>
            <w:vAlign w:val="bottom"/>
            <w:gridSpan w:val="8"/>
            <w:shd w:val="clear" w:color="auto" w:fill="CCEEFF"/>
          </w:tcPr>
          <w:p>
            <w:pPr>
              <w:jc w:val="center"/>
              <w:ind w:right="4040"/>
              <w:spacing w:after="0"/>
              <w:rPr>
                <w:sz w:val="20"/>
                <w:szCs w:val="20"/>
                <w:color w:val="auto"/>
              </w:rPr>
            </w:pPr>
            <w:r>
              <w:rPr>
                <w:rFonts w:ascii="Arial" w:cs="Arial" w:eastAsia="Arial" w:hAnsi="Arial"/>
                <w:sz w:val="18"/>
                <w:szCs w:val="18"/>
                <w:b w:val="1"/>
                <w:bCs w:val="1"/>
                <w:color w:val="auto"/>
                <w:w w:val="81"/>
              </w:rPr>
              <w:t>PART II</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8320" w:type="dxa"/>
            <w:vAlign w:val="bottom"/>
            <w:tcBorders>
              <w:bottom w:val="single" w:sz="8" w:color="0000FF"/>
            </w:tcBorders>
            <w:gridSpan w:val="21"/>
          </w:tcPr>
          <w:p>
            <w:pPr>
              <w:spacing w:after="0" w:line="169" w:lineRule="exact"/>
              <w:rPr>
                <w:sz w:val="20"/>
                <w:szCs w:val="20"/>
                <w:color w:val="auto"/>
              </w:rPr>
            </w:pPr>
            <w:r>
              <w:rPr>
                <w:rFonts w:ascii="Arial" w:cs="Arial" w:eastAsia="Arial" w:hAnsi="Arial"/>
                <w:sz w:val="18"/>
                <w:szCs w:val="18"/>
                <w:color w:val="0000FF"/>
                <w:w w:val="90"/>
              </w:rPr>
              <w:t>Market for the Company’s Common Equity, Related Shareholder Maters, and Issuer Purchases of Equity Securites</w:t>
            </w:r>
          </w:p>
        </w:tc>
        <w:tc>
          <w:tcPr>
            <w:tcW w:w="600" w:type="dxa"/>
            <w:vAlign w:val="bottom"/>
          </w:tcPr>
          <w:p>
            <w:pPr>
              <w:spacing w:after="0"/>
              <w:rPr>
                <w:sz w:val="16"/>
                <w:szCs w:val="16"/>
                <w:color w:val="auto"/>
              </w:rPr>
            </w:pPr>
          </w:p>
        </w:tc>
        <w:tc>
          <w:tcPr>
            <w:tcW w:w="110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6.</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Reserved</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14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7.</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Management’s Discussion and Analysis of Financial Conditon and Results of Operatons</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7A.</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Quanttatve and Qualitatve Disclosures about Market Risk</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8.</w:t>
            </w:r>
          </w:p>
        </w:tc>
        <w:tc>
          <w:tcPr>
            <w:tcW w:w="4280" w:type="dxa"/>
            <w:vAlign w:val="bottom"/>
            <w:gridSpan w:val="15"/>
          </w:tcPr>
          <w:p>
            <w:pPr>
              <w:spacing w:after="0" w:line="176" w:lineRule="exact"/>
              <w:rPr>
                <w:sz w:val="20"/>
                <w:szCs w:val="20"/>
                <w:color w:val="auto"/>
              </w:rPr>
            </w:pPr>
            <w:r>
              <w:rPr>
                <w:rFonts w:ascii="Arial" w:cs="Arial" w:eastAsia="Arial" w:hAnsi="Arial"/>
                <w:sz w:val="18"/>
                <w:szCs w:val="18"/>
                <w:color w:val="0000FF"/>
              </w:rPr>
              <w:t>Financial Statements and Supplementary Data</w:t>
            </w:r>
          </w:p>
        </w:tc>
        <w:tc>
          <w:tcPr>
            <w:tcW w:w="4640" w:type="dxa"/>
            <w:vAlign w:val="bottom"/>
            <w:gridSpan w:val="7"/>
          </w:tcPr>
          <w:p>
            <w:pPr>
              <w:spacing w:after="0"/>
              <w:rPr>
                <w:sz w:val="15"/>
                <w:szCs w:val="15"/>
                <w:color w:val="auto"/>
              </w:rPr>
            </w:pP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9.</w:t>
            </w:r>
          </w:p>
        </w:tc>
        <w:tc>
          <w:tcPr>
            <w:tcW w:w="642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FF"/>
                <w:w w:val="90"/>
              </w:rPr>
              <w:t>Changes in and Disagreements with Accountants on Accountng and Financial Disclosure</w:t>
            </w:r>
          </w:p>
        </w:tc>
        <w:tc>
          <w:tcPr>
            <w:tcW w:w="2500" w:type="dxa"/>
            <w:vAlign w:val="bottom"/>
            <w:gridSpan w:val="3"/>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9A.</w:t>
            </w:r>
          </w:p>
        </w:tc>
        <w:tc>
          <w:tcPr>
            <w:tcW w:w="6420" w:type="dxa"/>
            <w:vAlign w:val="bottom"/>
            <w:gridSpan w:val="19"/>
          </w:tcPr>
          <w:p>
            <w:pPr>
              <w:spacing w:after="0" w:line="176" w:lineRule="exact"/>
              <w:rPr>
                <w:sz w:val="20"/>
                <w:szCs w:val="20"/>
                <w:color w:val="auto"/>
              </w:rPr>
            </w:pPr>
            <w:r>
              <w:rPr>
                <w:rFonts w:ascii="Arial" w:cs="Arial" w:eastAsia="Arial" w:hAnsi="Arial"/>
                <w:sz w:val="18"/>
                <w:szCs w:val="18"/>
                <w:color w:val="0000FF"/>
              </w:rPr>
              <w:t>Controls and Procedures</w:t>
            </w:r>
          </w:p>
        </w:tc>
        <w:tc>
          <w:tcPr>
            <w:tcW w:w="2500" w:type="dxa"/>
            <w:vAlign w:val="bottom"/>
            <w:gridSpan w:val="3"/>
          </w:tcPr>
          <w:p>
            <w:pPr>
              <w:spacing w:after="0"/>
              <w:rPr>
                <w:sz w:val="15"/>
                <w:szCs w:val="15"/>
                <w:color w:val="auto"/>
              </w:rPr>
            </w:pP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9B.</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Other Informaton</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9C.</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Disclosure Regarding Foreign Jurisdictons That Prevent Inspectons</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40" w:type="dxa"/>
            <w:vAlign w:val="bottom"/>
            <w:gridSpan w:val="8"/>
            <w:shd w:val="clear" w:color="auto" w:fill="CCEEFF"/>
          </w:tcPr>
          <w:p>
            <w:pPr>
              <w:jc w:val="center"/>
              <w:ind w:right="4060"/>
              <w:spacing w:after="0"/>
              <w:rPr>
                <w:sz w:val="20"/>
                <w:szCs w:val="20"/>
                <w:color w:val="auto"/>
              </w:rPr>
            </w:pPr>
            <w:r>
              <w:rPr>
                <w:rFonts w:ascii="Arial" w:cs="Arial" w:eastAsia="Arial" w:hAnsi="Arial"/>
                <w:sz w:val="18"/>
                <w:szCs w:val="18"/>
                <w:b w:val="1"/>
                <w:bCs w:val="1"/>
                <w:color w:val="auto"/>
                <w:w w:val="83"/>
              </w:rPr>
              <w:t>PART III</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10.</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Directors, Executve Ofcers, and Corporate Governance</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11.</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Executve Compensaton</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46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20"/>
              <w:spacing w:after="0" w:line="169" w:lineRule="exact"/>
              <w:rPr>
                <w:sz w:val="20"/>
                <w:szCs w:val="20"/>
                <w:color w:val="auto"/>
              </w:rPr>
            </w:pPr>
            <w:r>
              <w:rPr>
                <w:rFonts w:ascii="Arial" w:cs="Arial" w:eastAsia="Arial" w:hAnsi="Arial"/>
                <w:sz w:val="18"/>
                <w:szCs w:val="18"/>
                <w:color w:val="auto"/>
              </w:rPr>
              <w:t>ITEM 12.</w:t>
            </w:r>
          </w:p>
        </w:tc>
        <w:tc>
          <w:tcPr>
            <w:tcW w:w="8920" w:type="dxa"/>
            <w:vAlign w:val="bottom"/>
            <w:gridSpan w:val="22"/>
          </w:tcPr>
          <w:p>
            <w:pPr>
              <w:spacing w:after="0" w:line="169" w:lineRule="exact"/>
              <w:rPr>
                <w:sz w:val="20"/>
                <w:szCs w:val="20"/>
                <w:color w:val="auto"/>
              </w:rPr>
            </w:pPr>
            <w:r>
              <w:rPr>
                <w:rFonts w:ascii="Arial" w:cs="Arial" w:eastAsia="Arial" w:hAnsi="Arial"/>
                <w:sz w:val="18"/>
                <w:szCs w:val="18"/>
                <w:color w:val="0000FF"/>
              </w:rPr>
              <w:t>Security Ownership of Certain Benefcial Owners and Management And Related Stockholder Maters</w:t>
            </w:r>
          </w:p>
        </w:tc>
        <w:tc>
          <w:tcPr>
            <w:tcW w:w="1100" w:type="dxa"/>
            <w:vAlign w:val="bottom"/>
            <w:gridSpan w:val="3"/>
          </w:tcPr>
          <w:p>
            <w:pPr>
              <w:jc w:val="right"/>
              <w:spacing w:after="0" w:line="169" w:lineRule="exact"/>
              <w:rPr>
                <w:sz w:val="20"/>
                <w:szCs w:val="20"/>
                <w:color w:val="auto"/>
              </w:rPr>
            </w:pPr>
            <w:r>
              <w:rPr>
                <w:rFonts w:ascii="Arial" w:cs="Arial" w:eastAsia="Arial" w:hAnsi="Arial"/>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13.</w:t>
            </w:r>
          </w:p>
        </w:tc>
        <w:tc>
          <w:tcPr>
            <w:tcW w:w="548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FF"/>
                <w:w w:val="90"/>
              </w:rPr>
              <w:t>Certain Relatonships and Related Transactons, and Director Independence</w:t>
            </w:r>
          </w:p>
        </w:tc>
        <w:tc>
          <w:tcPr>
            <w:tcW w:w="3440" w:type="dxa"/>
            <w:vAlign w:val="bottom"/>
            <w:gridSpan w:val="5"/>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46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14.</w:t>
            </w:r>
          </w:p>
        </w:tc>
        <w:tc>
          <w:tcPr>
            <w:tcW w:w="5480" w:type="dxa"/>
            <w:vAlign w:val="bottom"/>
            <w:gridSpan w:val="17"/>
          </w:tcPr>
          <w:p>
            <w:pPr>
              <w:spacing w:after="0" w:line="176" w:lineRule="exact"/>
              <w:rPr>
                <w:sz w:val="20"/>
                <w:szCs w:val="20"/>
                <w:color w:val="auto"/>
              </w:rPr>
            </w:pPr>
            <w:r>
              <w:rPr>
                <w:rFonts w:ascii="Arial" w:cs="Arial" w:eastAsia="Arial" w:hAnsi="Arial"/>
                <w:sz w:val="18"/>
                <w:szCs w:val="18"/>
                <w:color w:val="0000FF"/>
              </w:rPr>
              <w:t>Principal Accountant Fees and Services</w:t>
            </w:r>
          </w:p>
        </w:tc>
        <w:tc>
          <w:tcPr>
            <w:tcW w:w="3440" w:type="dxa"/>
            <w:vAlign w:val="bottom"/>
            <w:gridSpan w:val="5"/>
          </w:tcPr>
          <w:p>
            <w:pPr>
              <w:spacing w:after="0"/>
              <w:rPr>
                <w:sz w:val="15"/>
                <w:szCs w:val="15"/>
                <w:color w:val="auto"/>
              </w:rPr>
            </w:pP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40" w:type="dxa"/>
            <w:vAlign w:val="bottom"/>
            <w:gridSpan w:val="8"/>
            <w:shd w:val="clear" w:color="auto" w:fill="CCEEFF"/>
          </w:tcPr>
          <w:p>
            <w:pPr>
              <w:jc w:val="center"/>
              <w:ind w:right="4060"/>
              <w:spacing w:after="0"/>
              <w:rPr>
                <w:sz w:val="20"/>
                <w:szCs w:val="20"/>
                <w:color w:val="auto"/>
              </w:rPr>
            </w:pPr>
            <w:r>
              <w:rPr>
                <w:rFonts w:ascii="Arial" w:cs="Arial" w:eastAsia="Arial" w:hAnsi="Arial"/>
                <w:sz w:val="18"/>
                <w:szCs w:val="18"/>
                <w:b w:val="1"/>
                <w:bCs w:val="1"/>
                <w:color w:val="auto"/>
                <w:w w:val="81"/>
              </w:rPr>
              <w:t>PART IV</w:t>
            </w: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20"/>
              <w:spacing w:after="0" w:line="176" w:lineRule="exact"/>
              <w:rPr>
                <w:sz w:val="20"/>
                <w:szCs w:val="20"/>
                <w:color w:val="auto"/>
              </w:rPr>
            </w:pPr>
            <w:r>
              <w:rPr>
                <w:rFonts w:ascii="Arial" w:cs="Arial" w:eastAsia="Arial" w:hAnsi="Arial"/>
                <w:sz w:val="18"/>
                <w:szCs w:val="18"/>
                <w:color w:val="auto"/>
              </w:rPr>
              <w:t>ITEM 15.</w:t>
            </w:r>
          </w:p>
        </w:tc>
        <w:tc>
          <w:tcPr>
            <w:tcW w:w="8920" w:type="dxa"/>
            <w:vAlign w:val="bottom"/>
            <w:gridSpan w:val="22"/>
          </w:tcPr>
          <w:p>
            <w:pPr>
              <w:spacing w:after="0" w:line="176" w:lineRule="exact"/>
              <w:rPr>
                <w:sz w:val="20"/>
                <w:szCs w:val="20"/>
                <w:color w:val="auto"/>
              </w:rPr>
            </w:pPr>
            <w:r>
              <w:rPr>
                <w:rFonts w:ascii="Arial" w:cs="Arial" w:eastAsia="Arial" w:hAnsi="Arial"/>
                <w:sz w:val="18"/>
                <w:szCs w:val="18"/>
                <w:color w:val="0000FF"/>
              </w:rPr>
              <w:t>Exhibits and Financial Statement Schedules</w:t>
            </w:r>
          </w:p>
        </w:tc>
        <w:tc>
          <w:tcPr>
            <w:tcW w:w="1100" w:type="dxa"/>
            <w:vAlign w:val="bottom"/>
            <w:gridSpan w:val="3"/>
          </w:tcPr>
          <w:p>
            <w:pPr>
              <w:jc w:val="right"/>
              <w:spacing w:after="0" w:line="176" w:lineRule="exact"/>
              <w:rPr>
                <w:sz w:val="20"/>
                <w:szCs w:val="20"/>
                <w:color w:val="auto"/>
              </w:rPr>
            </w:pPr>
            <w:r>
              <w:rPr>
                <w:rFonts w:ascii="Arial" w:cs="Arial" w:eastAsia="Arial" w:hAnsi="Arial"/>
                <w:sz w:val="18"/>
                <w:szCs w:val="18"/>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ITEM 16.</w:t>
            </w:r>
          </w:p>
        </w:tc>
        <w:tc>
          <w:tcPr>
            <w:tcW w:w="892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FF"/>
              </w:rPr>
              <w:t>Form 10-K Summary</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FF"/>
              </w:rPr>
              <w:t>49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915"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specialty chemical and ingredients company that formulates, distributes, blends and manufactures products for our Industrial, Water Treatment and Health and Nutriton customers. We believe that we create value for our customers through superb service and support, quality products, personalized applicatons and trustworthy, creatve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in three segments: Industrial, Water Treatment, and Health and Nutriton.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specializes in providing industrial chemicals, products and services to industries such as agriculture, 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electronics, energy, food, pharmaceutcal and platng. This group’s principal products are acids, alkalis and food-grade and pharmaceutcal salts and ingredients.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52" w:lineRule="exact"/>
        <w:rPr>
          <w:sz w:val="20"/>
          <w:szCs w:val="20"/>
          <w:color w:val="auto"/>
        </w:rPr>
      </w:pPr>
    </w:p>
    <w:p>
      <w:pPr>
        <w:ind w:left="420" w:hanging="169"/>
        <w:spacing w:after="0" w:line="273"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certain food-grade and pharmaceutcal products, including liquid phosphates, lactates and other blended products, and agricultural products;</w:t>
      </w:r>
    </w:p>
    <w:p>
      <w:pPr>
        <w:spacing w:after="0" w:line="204" w:lineRule="exact"/>
        <w:rPr>
          <w:rFonts w:ascii="Arial" w:cs="Arial" w:eastAsia="Arial" w:hAnsi="Arial"/>
          <w:sz w:val="18"/>
          <w:szCs w:val="18"/>
          <w:color w:val="auto"/>
        </w:rPr>
      </w:pPr>
    </w:p>
    <w:p>
      <w:pPr>
        <w:ind w:left="420" w:hanging="169"/>
        <w:spacing w:after="0" w:line="273"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quanttes, including liquid caustc soda, sulfuric acid, hydrochloric acid, urea, phosphoric acid, aqua ammonia and potassium hydroxide;</w:t>
      </w:r>
    </w:p>
    <w:p>
      <w:pPr>
        <w:spacing w:after="0" w:line="204" w:lineRule="exact"/>
        <w:rPr>
          <w:rFonts w:ascii="Arial" w:cs="Arial" w:eastAsia="Arial" w:hAnsi="Arial"/>
          <w:sz w:val="18"/>
          <w:szCs w:val="18"/>
          <w:color w:val="auto"/>
        </w:rPr>
      </w:pPr>
    </w:p>
    <w:p>
      <w:pPr>
        <w:ind w:left="420" w:hanging="169"/>
        <w:spacing w:after="0" w:line="273"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Repackages water treatment chemicals for our Water Treatment Group and bulk industrial chemicals to sell in smaller quanttes to our customers; and</w:t>
      </w:r>
    </w:p>
    <w:p>
      <w:pPr>
        <w:spacing w:after="0" w:line="204" w:lineRule="exact"/>
        <w:rPr>
          <w:rFonts w:ascii="Arial" w:cs="Arial" w:eastAsia="Arial" w:hAnsi="Arial"/>
          <w:sz w:val="18"/>
          <w:szCs w:val="18"/>
          <w:color w:val="auto"/>
        </w:rPr>
      </w:pPr>
    </w:p>
    <w:p>
      <w:pPr>
        <w:ind w:left="420" w:hanging="169"/>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specifcatons.</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group’s sales are concentrated primarily in the central United States, while the group’s products sold into the food and pharmaceutcal markets are sold natonally. The Industrial Group relies on a specially trained sales staf that works directly with customers on their specifc needs. The group conducts its business primarily through manufacturing locatons and terminal operatons. Agricultural sales within this group tend to be seasonal, with higher sales due to the applicaton of fertlizer during the typical plantng season of March through June given the regions of the country we serve.</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products, equipment, services and solutons for potable</w:t>
      </w:r>
      <w:r>
        <w:rPr>
          <w:rFonts w:ascii="Arial" w:cs="Arial" w:eastAsia="Arial" w:hAnsi="Arial"/>
          <w:sz w:val="18"/>
          <w:szCs w:val="18"/>
          <w:i w:val="1"/>
          <w:iCs w:val="1"/>
          <w:color w:val="auto"/>
        </w:rPr>
        <w:t xml:space="preserve"> </w:t>
      </w:r>
      <w:r>
        <w:rPr>
          <w:rFonts w:ascii="Arial" w:cs="Arial" w:eastAsia="Arial" w:hAnsi="Arial"/>
          <w:sz w:val="18"/>
          <w:szCs w:val="18"/>
          <w:color w:val="auto"/>
        </w:rPr>
        <w:t>water, municipal and industrial wastewater, industrial process water, non-residental swimming pool water and agricultural water. This group has the resources and fexibility to treat systems ranging in size from a single small well to a mult-million-gallon-per-day facility.</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utlizes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municipalites and other customers that we serve. We also believe that there are signifcant synergies between our Water Treatment and Industrial Groups in that we are able to obtain a compettve cost positon on many of the chemicals sold by the Water Treatment Group due to the volumes of these chemicals purchased by our Industrial Group. In additon, our Industrial and Water Treatment groups share certain resources, which leverage fxed costs across both groups.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Water Treatment group operates out of 39 warehouses supplying products and services to customers primarily in the central United States, throughout the Mississippi River watershed and along the southern United States from Texas to Florida. We expect to invest in existng and new branches to expand the group’s geographic coverage. Our Water Treatment Group has historically experienced higher sales during April to September, primarily due to a seasonal increase in chemicals used by municipal water treatment facilites.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4" w:name="page5"/>
    <w:bookmarkEnd w:id="4"/>
    <w:p>
      <w:pPr>
        <w:jc w:val="both"/>
        <w:spacing w:after="0" w:line="258" w:lineRule="auto"/>
        <w:rPr>
          <w:sz w:val="20"/>
          <w:szCs w:val="20"/>
          <w:color w:val="auto"/>
        </w:rPr>
      </w:pPr>
      <w:r>
        <w:rPr>
          <w:rFonts w:ascii="Arial" w:cs="Arial" w:eastAsia="Arial" w:hAnsi="Arial"/>
          <w:sz w:val="18"/>
          <w:szCs w:val="18"/>
          <w:i w:val="1"/>
          <w:iCs w:val="1"/>
          <w:color w:val="auto"/>
        </w:rPr>
        <w:t xml:space="preserve">Health and Nutriton Segment. </w:t>
      </w:r>
      <w:r>
        <w:rPr>
          <w:rFonts w:ascii="Arial" w:cs="Arial" w:eastAsia="Arial" w:hAnsi="Arial"/>
          <w:sz w:val="18"/>
          <w:szCs w:val="18"/>
          <w:color w:val="auto"/>
        </w:rPr>
        <w:t>Our Health and Nutriton Group specializes in providing ingredient distributon, processing and formulaton solutons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of nutraceutcal, functonal food and beverage, personal care, dietary supplement and other nutritonal food, health and wellness products. This group ofers a diverse product portolio including minerals, vitamins and amino acids, excipients, joint products, botanicals and herbs, sweeteners and enzymes.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Health and Nutriton Group relies on a specially trained sales staf that works directly with customers on their specifc needs. The group’s extensive product portolio combined with value-added services, including product formulaton, sourcing and distributon, and processing and blending, positons this group as a one-stop ingredient solutons provider to its customers. The group also follows rigorous quality control and compliance processes to provide reliable, high-quality products to its customers. The group operates out of facilites in California and New York and its products are sold natonally and, in certain cases, internatonally.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domestc and internatonal vendors. We typically have distributorship agreements or supply contracts with our suppliers that are periodically renewed. We believe that most of the products we purchase can be obtained from alternatve sources should existng relatonships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tmes or limit or cut of the supply of materials to us. As a result, we may not be able to supply or manufacture products for our customers.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contnue to pursue, patents covering our products. We have also obtained certain trademarks for our products to distnguish them from our compettors’ products. We regard many of the formulas, informaton and processes that we generate and use in the conduct of our business as proprietary and protectable under applicable copyright, patent, trademark, trade secret and unfair competton laws.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Customer Concentraton. </w:t>
      </w:r>
      <w:r>
        <w:rPr>
          <w:rFonts w:ascii="Arial" w:cs="Arial" w:eastAsia="Arial" w:hAnsi="Arial"/>
          <w:sz w:val="18"/>
          <w:szCs w:val="18"/>
          <w:color w:val="auto"/>
        </w:rPr>
        <w:t>In fscal 2023, none of our customers accounted for 10% or more of our total sales.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Competton. </w:t>
      </w:r>
      <w:r>
        <w:rPr>
          <w:rFonts w:ascii="Arial" w:cs="Arial" w:eastAsia="Arial" w:hAnsi="Arial"/>
          <w:sz w:val="17"/>
          <w:szCs w:val="17"/>
          <w:color w:val="auto"/>
        </w:rPr>
        <w:t>We operate in a compettve industry and compete with many producers, distributors and sales agents ofering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substantally all of the products we ofer. Many of our compettors are larger than we are and may have greater fnancial resources, although no one compettor is dominant in all of the markets we serve. We compete by ofering quality products with outstanding customer service at compettve prices coupled with value-added services or product formulaton where needed. Because of our long-standing relatonships with many of our suppliers, we are ofen able to leverage those relatonships to obtain products when supplies are limited or to obtain compettve pricing.</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operatons, which includes purchases of large quanttes of bulk chemicals, the tming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signifcant changes in working capital and the resultng operatng cash fow. Historically, our cash requirements for working capital increase during the period from March through November as caustc soda inventory levels increase with most of our barges received during this period.</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Regulatory Maters. </w:t>
      </w:r>
      <w:r>
        <w:rPr>
          <w:rFonts w:ascii="Arial" w:cs="Arial" w:eastAsia="Arial" w:hAnsi="Arial"/>
          <w:sz w:val="17"/>
          <w:szCs w:val="17"/>
          <w:color w:val="auto"/>
        </w:rPr>
        <w:t>We are subject to numerous federal, state and local environmental, health and safety laws and regulatons in the jurisdictons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 operate, including laws and regulatons relatng to the management, storage, transportaton and disposal of chemicals and wastes; product regulaton; air water and soil contaminaton; and the investgaton and cleanup of any spills or releases that may result from our management, handling, storage, sale, or transportaton of chemicals and other products. In additon, societal concerns regarding the safety of chemicals in commerce and their potental impact on the environment have resulted in a growing trend towards increasing levels of product safety and environmental protecton regulatons. These concerns have led to, and could contnue to result in, more stringent regulatory interventon by governmental authorites.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additon, we operate a feet of more than 250 commercial vehicles, primarily in our Water Treatment Group, which are highly regulated, including by the U.S. Department of Transportaton (“DOT”). The DOT governs transportaton maters including authorizaton to engage in motor carrier service, including the necessary permits to conduct our businesses, equipment operaton,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The manufacture, packaging, labeling, advertsing, promoton, distributon and sale of our agricultural, food, pharmaceutcal, pestcide and health and nutriton products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In partcular, the FDA’s current good manufacturing practces (“GMPs”) describe policies and procedures designed to ensure that nutraceutcals, pharmaceutcals and dietary supplements are produced in a quality manner, do not contain contaminants or impurites, and are accurately labeled and cover the manufacturing, packaging, labeling and storing of supplements, with requirements for quality control, design and constructon of manufacturing plants, testng of ingredients and fnal products, record keeping, and complaints processes.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Further informaton related to government regulaton applicable to our business is included in this Annual Report on Form 10-K, in Part I, Item 1A - Risk Factors.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Human Capital. </w:t>
      </w:r>
      <w:r>
        <w:rPr>
          <w:rFonts w:ascii="Arial" w:cs="Arial" w:eastAsia="Arial" w:hAnsi="Arial"/>
          <w:sz w:val="18"/>
          <w:szCs w:val="18"/>
          <w:color w:val="auto"/>
        </w:rPr>
        <w:t>Our team is a key to our success and we are commited to creatng a workplace that atracts top talent, develops leaders and drives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behalf of our customers and shareholders.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strive to recruit the best people for the job regardless of race, color, natonality, gender, age, disability, sexual orientaton or any other status protected by law. It is our policy to comply fully with all applicable laws relatng to discriminaton in the workplace and are commited to advancing an inclusive, collaboratve and respectul culture.</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health and safety of our employees is our highest priority. We work to ensure our employees have a thorough understanding of health and safety precautons that need to be taken in all business functons. Specifc safety initatves include accident preventon work, improving process controls, safety training, safety commitees, safety audits, incident investgaton and improvement measures.</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strive to provide employees with compettve wages commensurate with their skill levels, experience, knowledge and the regional market. Full-tme employees are eligible for health, dental and vision insurance, paid and unpaid leaves, 401(K) plan, retrement plans, life and disability/accident coverage and our employee assistance program.</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April 2, 2023, we had 851 employees across the United States, of which 846 were full-tme employees,. Approximately 40% of our employees were female or racially and ethnically diverse, and approximately 11% were covered by a collectve bargaining agreement. Of the eight members of our Board of Directors, two are female, six are male, one is Asian American and seven are white.</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Available Informaton. </w:t>
      </w:r>
      <w:r>
        <w:rPr>
          <w:rFonts w:ascii="Arial" w:cs="Arial" w:eastAsia="Arial" w:hAnsi="Arial"/>
          <w:sz w:val="17"/>
          <w:szCs w:val="17"/>
          <w:color w:val="auto"/>
        </w:rPr>
        <w:t>Our Internet address is www.hawkinsinc.com. We have made available, free of charge, our Annual Reports on Form 10-K,</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Reports on Form 10-Q, Current Reports on Form 8-K, and, if applicable, amendments to those reports, as soon as reasonably practcable afer we electronically fle these materials with, or furnish them to, the Securites and Exchange Commission ("SEC"). Reports of benefcial ownership fled by our directors and executve ofcers pursuant to Secton 16(a) of the Exchange Act are also available on our website. We are not including the informaton contained on our website as part of, or incorporatng it by reference into, this Annual Report on Form 10-K. The SEC also maintains an internet site that contains reports, proxy and informaton statements, and other informaton regarding our company at htp://www.sec.gov.</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You should carefully consider the following material factors regarding risks relatng to an investment in our securites and when reading the informaton, including the fnancial informaton, contained in this Annual Report on Form 10-K. Shareholders are cautoned that these and other factors may afect future performance and cause actual results to difer materially from those that may be antcipated.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REPUTATIONAL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compettve environment and face signifcant competton and price pressure.</w:t>
      </w: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operate in a highly compettve industry and compete with producers, manufacturers, distributors and sales agents ofering products equivalent to substantally all of the products we ofer. Competton is based on several key criteria, including product price, product performance, product quality, product availability and security of supply, breadth of product oferings, geographic reach, responsiveness of product development in cooperaton with customers, technical expertse and customer service. Many of our compettors are larger than we are and may have greater fnancial resources, more product oferings and a broader geographic reach. As a result, these compettors may be able to ofer a broader array of products to a larger geographic area and may be beter able than us to withstand changes in conditons within our industry, changes in the prices and availability of raw materials and changes in general economic conditons as well as be able to introduce innovatve products that reduce demand for or the proft from our products. Additonally, compettors’ pricing decisions could compel us to decrease our prices, which could adversely afect our margins and proftability. Our ability to maintain or increase our proftability would be dependent upon our ability to ofset compettve decreases in the prices and margins of our products by improving producton efciency, investng in infrastructure to reduce freight costs, identfying and selling higher margin products, providing higher levels of technical expertse and customer service, and improving existng products through innovaton and research and development. If we are unable to maintain our proftability or compettve positon, we could lose market share to our compettors and experience reduced proftability.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expose us to potental product liability claims and recalls, which could adversely afect our fnancial conditon and performance.</w:t>
      </w:r>
    </w:p>
    <w:p>
      <w:pPr>
        <w:spacing w:after="0" w:line="2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repackaging, blending, mixing and distributon of products by us, including chemical products and products used in food or food ingredients or with medical, pharmaceutcal or dietary supplement applicatons, involve an inherent risk of exposure to product liability claims, product recalls, product seizures and related adverse publicity, including, without limitaton, claims for exposure to our products, spills or release of our products, personal injuries, food-related claims and property damage or environmental claims. A product liability claim, judgment or recall against our customers could also result in substantal and unexpected expenditures for us, afect consumer confdence in our products and divert management’s atenton from other responsibilites. Although we maintain product liability insurance, there can be no assurance that the type or level of coverage is adequate or that we will be able to contnue to maintain our existng insurance or obtain comparable insurance at a reasonable cost, if at all. A product recall or a partally or completely uninsured judgment against us could have a material adverse efect on our business, fnancial conditon and results of operatons.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specifcatons could adversely afect our sales and proftability.</w:t>
      </w:r>
    </w:p>
    <w:p>
      <w:pPr>
        <w:spacing w:after="0" w:line="2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products are used for a broad range of applicatons by our customers. Changes in our customers’ product needs or processes, or reductons in demand for their end products, may enable or require our customers to reduce or eliminate consumpton of the products that we provide. Customers may also fnd alternatve materials or processes that no longer require our products. Consequently, it is important that we develop new products to replace the sales of products that mature and decline in use.</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products provide important performance atributes to our customers’ products. If our products fail to meet the customers’ specifcatons or comply with applicable laws or regulatons, perform in a manner inconsistent with the customers’ expectatons or have a shorter useful life than required, a customer could seek replacement of the product or damages for costs incurred as a result of the product failure. A successful claim or series of claims against us could have a material adverse efect on our fnancial conditon and results of operatons and could result in a loss of one or more customers. Reductons in demand for our products could adversely afect our sales and fnancial results and result in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7" w:name="page8"/>
    <w:bookmarkEnd w:id="7"/>
    <w:p>
      <w:pPr>
        <w:jc w:val="both"/>
        <w:spacing w:after="0" w:line="278" w:lineRule="auto"/>
        <w:rPr>
          <w:sz w:val="20"/>
          <w:szCs w:val="20"/>
          <w:color w:val="auto"/>
        </w:rPr>
      </w:pPr>
      <w:r>
        <w:rPr>
          <w:rFonts w:ascii="Arial" w:cs="Arial" w:eastAsia="Arial" w:hAnsi="Arial"/>
          <w:sz w:val="18"/>
          <w:szCs w:val="18"/>
          <w:b w:val="1"/>
          <w:bCs w:val="1"/>
          <w:i w:val="1"/>
          <w:iCs w:val="1"/>
          <w:color w:val="auto"/>
        </w:rPr>
        <w:t>Adverse publicity or negatve public percepton regarding partcular ingredients or products or the dietary supplement industry in general could adversely afect the fnancial performance of those portons of our business.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Purchasing decisions made by consumers of products that contain our ingredients may be afected by adverse publicity or negatve public percepton regarding partcular ingredients or products or the dietary supplement industry in general. This negatve public percepton may include publicity regarding the risks, efcacy, legality or quality of partcular ingredients or products in general or of other companies or our products or ingredients specifcally. Negatve public percepton may also arise from regulatory investgatons, regardless of whether those investgatons involve us. We are highly dependent upon consumers’ percepton of the safety and quality of products that contain our ingredients as well as similar products distributed by other companies. Thus, the mere publicaton of reports assertng that such products may be harmful could have a material adverse efect on us, regardless of whether these reports are scientfcally supported. Publicity related to dietary supplements or food ingredients may also result in increased regulatory scrutny of our industry. Adverse publicity may have a material adverse efect on our business, fnancial conditon, results of operatons and cash fows.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critcal data and technology systems could materially afect our operatons.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Informaton technology system failures, network disruptons and breaches of data security due to internal or external factors including phishing or cyber-atacks could disrupt our operatons by causing delays or cancellaton of customer orders, impede the manufacture or shipment of products or cause standard business processes to become inefectve, resultng in the unintentonal disclosure of informaton or damage to our reputaton. While we have taken steps to address these concerns by implementng network security and internal control measures, including employee training, comprehensive monitoring of our networks and systems, maintenance of backup and protectve systems and disaster recovery and incident response plans, our employees, systems, networks, products, facilites and services remain vulnerable to phishing atacks and cyber-assault, and, as such, there can be no assurance that a system failure, network disrupton or data security breach will not have a material adverse efect on our business, fnancial conditon, operatng results or cash fows.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Fluctuatons in the prices and availability of our raw materials, which may be cyclical in nature, could have a material adverse efect on our operatons and the margins we receive on sales of our products.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experience regular and recurring fuctuatons in the pricing of our raw materials. Those fuctuatons can be signifcant and occur rapidly. The cyclicality of commodity markets, such as the market for caustc soda, primarily results from changes in the balance between supply and demand and the level of general economic actvity. We cannot predict whether the markets for our raw materials will favorably impact or negatvely impact the margins we can realize.</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prices we pay for our principal chemical raw materials generally lag the market prices of the underlying raw material. The cost of inventory we have on hand, partcularly inventories of our bulk commodity chemicals where we have signifcant volumes stored at our facilites, generally will lag the current market pricing of such inventory. The pricing within our supply contracts generally adjusts quarterly or monthly. While we atempt to maintain compettve pricing and stable margin dollars, the potental variance in our cost of inventory from the current market pricing can cause signifcant volatlity in our margins realized. We do not engage in futures or other derivatves contracts to hedge against fuctuatons in future prices. We may enter into sales contracts where the selling prices for our products are fxed for a period of tme, exposing us to volatlity in raw materials prices that we acquire on a spot market or short-term contractual basis. We atempt to pass commodity pricing changes to our customers, but we may be unable to or be delayed in doing so. Our inability to pass through price increases or any limitaton or delay in our passing through price increases could adversely afect our proft margins.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also dependent upon the availability of our raw materials. In the event that raw materials are in short supply or unavailable, raw material suppliers may extend lead tmes or limit or cut of supplies. As a result, we may not be able to supply or manufacture products for some or all of our customers. Constraints on the supply or delivery of critcal raw materials could disrupt our operatons and adversely afect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 w:name="page9"/>
    <w:bookmarkEnd w:id="8"/>
    <w:p>
      <w:pPr>
        <w:jc w:val="both"/>
        <w:spacing w:after="0" w:line="278" w:lineRule="auto"/>
        <w:rPr>
          <w:sz w:val="20"/>
          <w:szCs w:val="20"/>
          <w:color w:val="auto"/>
        </w:rPr>
      </w:pPr>
      <w:r>
        <w:rPr>
          <w:rFonts w:ascii="Arial" w:cs="Arial" w:eastAsia="Arial" w:hAnsi="Arial"/>
          <w:sz w:val="18"/>
          <w:szCs w:val="18"/>
          <w:b w:val="1"/>
          <w:bCs w:val="1"/>
          <w:i w:val="1"/>
          <w:iCs w:val="1"/>
          <w:color w:val="auto"/>
        </w:rPr>
        <w:t>Demand for our products is afected by general economic conditons and by the cyclical nature of many of the industries we serve, which could cause signifcant fuctuatons in our sales volumes and results.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Demand for our products is afected by general economic conditons. A decline in general economic or business conditons in the industries served by our customers could have a material adverse efect on our businesses. Although we sell to areas traditonally considered non-cyclical, such as water treatment, food products and health and nutritonal ingredients, many of our customers are in businesses that are cyclical in nature, such as the industrial manufacturing and energy industries which include the ethanol and agriculture industries. Downturns in these industries could adversely afect our sales and our fnancial results by afectng demand for and pricing of our products.</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producton and adversely afect our results of operatons.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hazards common to chemical manufacturing, blending, storage, handling and transportaton, including explosions, fres, severe weather, natural disasters, mechanical failure, unscheduled downtme, transportaton interruptons, trafc accidents involving our delivery vehicles, derailments, chemical spills, discharges or releases of toxic or hazardous substances or gases and other risks. These hazards could cause personal injury and loss of life, severe damage to or destructon of property and equipment, and environmental contaminaton. In additon, the occurrence of material operatng problems or the absence of personnel due to pandemics or other disasters at any of our facilites due to any of these hazards may make it impossible for us to make sales to our customers and may result in a negatve public or politcal reacton. Many of our facilites are near signifcant residental populatons which increases the risk of negatve public or politcal reacton should an environmental issue occur and could lead to adverse zoning or other regulatory actons that could limit our ability to operate our business in those locatons. Accordingly, these hazards and their consequences could have a material adverse efect on our operatons as a whole, including our results of operatons and cash fows, both during and afer the period of operatonal difcultes.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facilites could result in signifcant unexpected costs.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federal, state and local environmental regulatons regarding the ownership of real property and the operatons conducted on real property. Under various federal, state and local laws, ordinances and regulatons, we may own or operate real property or may have arranged for the disposal or treatment of hazardous or toxic substances at a property and, therefore, may become liable for the costs of removal or remediaton of certain hazardous substances released on or in our property or disposed of by us, as well as certain other potental costs which could relate to hazardous or toxic substances (including governmental fnes and injuries to persons and property). Such liability may be imposed whether or not we knew of, or were responsible for, the presence of these hazardous or toxic substances. Further, future changes in environmental laws or regulatons may require additonal investment in capital equipment or the implementaton of additonal compliance programs in the future. The cost of investgaton, remediaton or removal of such substances may be substantal.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conduct of our operatons, we have handled and do handle materials that are considered hazardous, toxic or volatle under federal, state and local laws. The potental for the accidental release of such products cannot be completely eliminated. In additon, we operate or own facilites located on or near real property that was formerly owned and operated by others. These propertes may have been used in ways that involved hazardous materials. Contaminates may migrate from, within or through any such property, which may give rise to claims against us. Third partes who are responsible for contaminaton may not have funds, or may not make funds available when needed, to pay remediaton costs imposed upon us jointly with them under environmental laws and regulatons.</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conditons, which could adversely afect our results of operatons.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facilites. Our agricultural product sales within our Industrial Group are also seasonal, primarily corresponding with the plantng season. Demand in both of these areas is also afected by weather conditons, as either higher or lower than normal precipitaton or temperatures may afect water usage and the tming and the amount of consumpton of our products. We cannot assure you that seasonality or fuctuatng weather conditons will not have a material adverse efect on our results of operatons.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Disruptons within our supply chain have negatvely impacted, and could contnue to negatvely impact, our producton, fnancial conditon and results of operatons.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been, and could contnue to be, adversely afected by disruptons within our supply chain and transportaton network. The raw materials we need are transported by truck, rail, barge or ship by third-party providers. The costs of transportng our products or necessary raw materials could be negatvely afected by factors outside of our control, including rail service interruptons or rate increases, extreme weather events, tarifs, rising fuel costs and capacity constraints. Over the last few years, unprecedented congeston in ocean shipping adversely impacted the reliability of our imported raw materials, and transport driver shortages caused extended lead tmes for domestc shipments. In additon, rail shipments can be unreliable, with signifcant delays in service and increased costs. The impacts of recent high-profle derailments could further degrade service levels and increase costs. Signifcant delays or increased costs relatng to transportaton could materially afect our fnancial conditon and results of operatons.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Similar supply chain issues have impacted and could contnue to impact both our suppliers and our customers. The supply of our necessary raw materials could be interrupted due to shortages of raw materials, efects of economic, politcal or fnancial market conditons on a supplier's operatons, labor disputes or weather conditons afectng products or shipments, transportaton disruptons, natural disasters, outbreaks of disease, informaton system disruptons or other reasons beyond our control. Similar disruptons at our customers could reduce demand for our products, reducing our sales and proftability. Product shortages or delays in deliveries, along with other factors such as price infaton and higher transportaton costs, have also resulted in price increases from our suppliers. We may be unable to pass these price increases on to our customers, which could erode our proft margins. These supply chain constraints, increased product costs and infatonary pressures could contnue or escalate in the future, which would have an adverse impact on our business and results of operatons.</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highly dependent upon transportaton infrastructure to ship and receive our products and delays in these shipments could adversely afect our results of operatons.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maintain a number of owned trucks and trailers, we rely heavily upon transportaton provided by third partes (including common carriers, barge companies, rail companies and trans-ocean cargo companies) to deliver products to us and to our customers. Our access to third-party transportaton is not guaranteed, and we may be unable to transport our products in a tmely manner, or at all, in certain circumstances, or at economically atractve rates. Disruptons in transportaton are common, are ofen out of our control, and can happen suddenly and without warning. Rail limitatons, such as limitatons in rail capacity, availability of railcars, workforce shortages, derailments, embargoes and adverse weather conditons have disrupted or delayed rail shipments in the past and could do so in the future. Barge shipments are delayed or impossible under certain circumstances, including during tmes of high or low water levels, when waterways are frozen and when locks and dams are inoperable. The availability and reliability of truck transportaton has been negatvely impacted by a number of factors, including limited availability of qualifed drivers and equipment, and limitatons on drivers’ hours of service. The volumes handled by, and operatng challenges at, ocean ports have at tmes been volatle and can delay the receipt of goods, or cause the cost of shipping goods to be more expensive. Our failure to ship or receive products in a tmely and efcient manner could have a material adverse efect on our fnancial conditon and results of operatons.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atract new skilled personnel, it could have an adverse impact on our businesses.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contnued service of, and on our ability to atract and retain, qualifed management, scientfc, technical and support personnel. The unantcipated departure of key members of our management team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0" w:name="page11"/>
    <w:bookmarkEnd w:id="10"/>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acquisitons or dispositons or integrate acquisitons into our business, which could result in unantcipated expenses and losses.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our business growth strategy, we have acquired businesses and may pursue acquisitons in the future. Our ability to pursue this strategy will be limited by our ability to identfy appropriate acquisiton candidates and our fnancial resources, including available cash and borrowing capacity. In additon, we may seek to divest of businesses that are underperforming or not core to our future business. The expense incurred in consummatng transactons, the tme it takes to integrate an acquisiton or our failure to integrate businesses successfully could result in unantcipated expenses and losses. Furthermore, we may not be able to realize the antcipated benefts from acquisitons.</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process of integratng acquired operatons into our existng operatons may result in unforeseen operatng difcultes and may require signifcant fnancial resources that would otherwise be available for the ongoing development or expansion of existng operatons. The risks associated with the integraton of acquisitons include potental disrupton of our ongoing businesses and distracton of management, unforeseen claims, liabilites, adjustments, charges and write-ofs, difculty in conforming the acquired business’ standards, processes, procedures and controls with our operatons, and challenges arising from the increased scope, geographic diversity and complexity of the expanded operatons.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producton and adversely afect our results of operatons.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Natural disasters have the potental of interruptng our operatons and damaging our propertes, which could adversely afect our businesses. Flooding of the Mississippi River has temporarily shifed the Company’s terminal operatons out of its buildings four tmes since the spring of 2010, including most recently the spring of 2019. We can give no assurance that fooding or other natural disasters will not recur or that there will not be material damage or interrupton to our operatons in the future from such disasters.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Chemical-related assets may be at greater risk of future terrorist atacks than other possible targets in the United States. Federal law imposes site security requirements, specifcally on chemical facilites, which have increased our overhead expenses. Federal regulatons have also been adopted to increase the security of the transportaton of hazardous chemicals in the United States. We ship and receive materials that are classifed as hazardous and we believe we have met these requirements, but additonal federal and local regulatons that limit the distributon of hazardous materials are being considered. Bans on movement of hazardous materials through certain cites could adversely afect the efciency of our logistcal operatons. Broader restrictons on hazardous material movements could lead to additonal investment and could change where and what products we provide.</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occurrence of extraordinary events, including future terrorist atacks, wars, global health developments and pandemics, or escalaton of hostlites, cannot be predicted, but their occurrence can be expected to negatvely afect the economy in general, and specifcally the markets for our products. The resultng damage from a direct atack on our assets, or assets used by us, could include loss of life and property damage. In additon, available insurance coverage may not be sufcient to cover all of the damage incurred or, if available, may be prohibitvely expensive.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operatons facilites reside.</w:t>
      </w: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the land where our three main terminals are located and where another signifcant manufacturing plant is located. These leases, including all renewal periods, have expiraton dates from 2024 to 2044. The failure to secure extended lease terms on any one of these facilites may have a material adverse impact on our business, as they are where a porton of our chemicals are manufactured and where the majority of our bulk chemicals are stored. While we can make no assurances, based on historical experience and antcipated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opton to either maintain the property or remove the property at our expense. The fourth lease provides that we turn any property remaining on the land over to the lessor for them to maintain or remove at their expense. The cost to relocate our operatons could have a material adverse efect on our results of operatons and fnancial conditon.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5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Environmental, health and safety, transportaton and storage laws and regulatons cause us to incur substantal costs and may subject us to future liabilites and risks.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numerous federal, state and local environmental, health, safety and land use laws and regulatons in the jurisdictons in which we operate, including the management, storage, transportaton and disposal of chemicals and wastes; product regulaton; air water and soil contaminaton; land use, fre code and zoning; and the investgaton and cleanup of any spills or releases that may result from our management, handling, storage, sale, or transportaton of chemicals and other products. The nature of our business exposes us to risks of liability under these laws and regulatons. Ongoing compliance with such laws and regulatons is an important consideraton for us and we invest substantal capital and incur signifcant operatng costs in our compliance eforts. In additon, societal concerns regarding the safety of chemicals in commerce and their potental impact on the environment have resulted in a growing trend towards increasing levels of product safety and environmental protecton regulatons and restrictons on the locatons and operatons of chemical facilites. These concerns have led to, and could contnue to result in, more stringent regulatory interventon by governmental authorites. In additon, these concerns could infuence public perceptons, impact the commercial viability of the products we sell and increase the costs to comply with increasingly complex regulatons, which could have a negatve impact on our business, fnancial conditon and results of operatons.</w:t>
      </w:r>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additon, we operate a feet of more than 250 commercial vehicles, primarily in our Water Treatment Group, which are highly regulated, including by the DOT. The DOT governs transportaton maters including authorizaton to engage in motor carrier service, including the necessary permits to conduct our businesses, equipment operaton, and safety. We are audited periodically by the DOT to ensure that we are in compliance with various safety, hours-of-service, and other rules and regulatons. If we were found to be out of compliance, the DOT could severely restrict or otherwise impact our operatons, which could have a material adverse efect on our operatons as a whole, including our results of operatons and cash fows.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regulatons, in additon to being required to correct such violatons, we could be held liable in administratve, civil or criminal proceedings for substantal fnes and other sanctons that could disrupt, limit or halt our operatons, which could have a material adverse efect on our operatons as a whole, including our results of operatons and cash fows. Liabilites associated with the investgaton and cleanup of releases of hazardous substances, as well as personal injury, property damages or natural resource damages arising out of such releases of hazardous substances, may be imposed in many situatons without regard to violatons of laws or regulatons or other fault, and may also be imposed jointly and severally (so that a responsible party may be held liable for more than its share of the losses involved, or even the entre loss). Such liabilites can be difcult to identfy and the extent of any such liabilites can be difcult to predict. We use, and in the past have used, hazardous substances at many of our facilites, and have generated, and contnue to generate, hazardous wastes at a number of our facilites. We have in the past been, and may in the future be, subject to claims relatng to exposure to hazardous materials and the associated liabilites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2" w:name="page13"/>
    <w:bookmarkEnd w:id="12"/>
    <w:p>
      <w:pPr>
        <w:jc w:val="both"/>
        <w:spacing w:after="0" w:line="278" w:lineRule="auto"/>
        <w:rPr>
          <w:sz w:val="20"/>
          <w:szCs w:val="20"/>
          <w:color w:val="auto"/>
        </w:rPr>
      </w:pPr>
      <w:r>
        <w:rPr>
          <w:rFonts w:ascii="Arial" w:cs="Arial" w:eastAsia="Arial" w:hAnsi="Arial"/>
          <w:sz w:val="18"/>
          <w:szCs w:val="18"/>
          <w:b w:val="1"/>
          <w:bCs w:val="1"/>
          <w:i w:val="1"/>
          <w:iCs w:val="1"/>
          <w:color w:val="auto"/>
        </w:rPr>
        <w:t>Many of our products, partcularly our food, pharmaceutcal and health and nutriton products are subject to government regulaton, both in the United States and abroad, which could increase our costs signifcantly and limit or prevent the sale of such products.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manufacture, packaging, labeling, advertsing, promoton, distributon and sale of many of our products, but our food, pharmaceutcal, pestcide and health and nutriton products in partcular, are subject to regulaton by numerous natonal and local governmental agencies in the United States and other countries. The primary regulatory bodies in the United States are the Food and Drug Administraton (the “FDA”), the Environmental Protecton Agency, the United States Department of Agriculture and the Federal Trade Commission, and we are also subject to similar regulators in other countries. Failure to comply with these regulatory requirements may result in various types of penaltes or fnes. These include injunctons, product withdrawals, recalls, product seizures, fnes and criminal prosecutons. Individual states also regulate our products. A state may interpret claims or products presumptvely valid under federal law as illegal under that state’s regulatons. Approvals or licensing may be conditoned on reformulaton of products or may be unavailable with respect to certain products or product ingredients. Any of these government agencies, as well as legislatve bodies, can change existng regulatons, or impose new ones, or could take aggressive measures, causing or contributng to a variety of negatve consequences, which may include one or more of the following:</w:t>
      </w:r>
    </w:p>
    <w:p>
      <w:pPr>
        <w:spacing w:after="0" w:line="2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stopping the sale of products,</w:t>
      </w:r>
    </w:p>
    <w:p>
      <w:pPr>
        <w:spacing w:after="0" w:line="1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reformulaton of certain or all products to meet new standards,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discontnuance of certain or all products,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additonal record-keeping requirements,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documentaton of the propertes of certain or all products,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diferent labeling,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reportng,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additonal scientfc substantaton.</w:t>
      </w:r>
    </w:p>
    <w:p>
      <w:pPr>
        <w:spacing w:after="0" w:line="24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partcular, the FDA’s current GMPs describe policies and procedures designed to ensure that nutraceutcals, pharmaceutcals and dietary supplements are produced in a quality manner, do not contain contaminants or impurites, and are accurately labeled and cover the manufacturing, packaging, labeling and storing of supplements, with requirements for quality control, design and constructon of manufacturing plants, testng of ingredients and fnal products, record keeping, and complaints processes. Those who manufacture, package or store dietary supplements must comply with current GMPs. If we or our suppliers fail to comply with current GMPs, the FDA may take enforcement acton against us or our suppliers.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or all of the potental negatve consequences described above could have a material adverse efect on us or substantally increase the cost of doing business in these areas. There can be no assurance that the regulatory environment in which we operate will not change or that such regulatory environment, or any specifc acton taken against us, will not result in a material adverse efect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potental exposures.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lines of commercial insurance, such as property, general liability and casualty insurance, but such insurance may not cover all risks associated with the hazards of our businesses and is subject to limitatons, including deductbles and limits on the liabilites covered. We may incur losses beyond the limits or outside the coverage of our insurance policies, including liabilites for environmental remediaton and product liability. In additon, from tme to tme, various types of insurance for companies in the chemical, food or health and nutriton products industries have not been available on commercially acceptable terms or, in some cases, have not been available at all. In the future, we may not be able to obtain coverage at current levels, and our premiums may increase signifcantly on coverage that we maintain.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efect.</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party to a credit agreement (the “Credit Agreement”) with U.S. Bank Natonal Associaton ("U.S. Bank") and other lenders (collectvely, the “Lenders”), which includes secured revolving credit facilites (the “Revolving Loan Facility”) totaling $250.0 million. The Revolving Loan Facility includes a $10.0 million leter of credit subfacility and $25.0 million swingline subfacility. At April 2, 2023, we had $112.0 million outstanding under the Revolving Loan Facility.</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make payments on the Revolving Loan Facility from tme to tme. If we are unable to generate sufcient cash fow or otherwise obtain funds necessary to make payments on our credit facilites, we could be in default when the facilites become due in 2027. We are also required to comply with several fnancial covenants under the Credit Agreement. Our ability to comply with these fnancial covenants may be afected by events beyond our control, which could result in a default under the Credit Agreement; such default may have a material adverse efect on our business, fnancial conditon, operatng results or cash fows.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its assets or rate management transactons, subject to certain limitatons. These restrictons may adversely afect our business.</w:t>
      </w:r>
    </w:p>
    <w:p>
      <w:pPr>
        <w:spacing w:after="0" w:line="12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afect our fnancial conditon and consolidated results of operatons.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Goodwill represents the excess of the cost of acquired businesses over the fair value of identfable tangible net assets and identfable intangible assets purchased. Goodwill is tested at least annually for impairment and is tested for impairment more frequently if events or changes in circumstances indicate that the asset might be impaired. A signifcant amount of judgment is involved in determining if an indicaton of impairment exists. Factors may include, among others: a signifcant decline in our expected future cash fows; a sustained, signifcant decline in our stock price and market capitalizaton; a signifcant adverse change in the business climate; unantcipated competton; and slower growth rates. An adverse change in these factors may have a signifcant impact on the recoverability of the net assets recorded, and any resultng impairment charge in the future could have a material adverse efect on our fnancial conditon and consolidated results of operatons.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evaluate the useful lives of our intangible assets to determine if they are defnite- or indefnite-lived. Reaching a determinaton on useful life requires signifcant judgments and assumptons regarding the future efects of obsolescence, demand, competton, other economic factors (such as the stability of the industry, legislatve acton that results in an uncertain or changing regulatory environment, and expected changes in distributon channels), and the expected lives of other related groups of assets.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cannot accurately predict the amount and tming of any impairment of goodwill and other intangible assets. Should the value of these assets become impaired, there could be a material adverse efect on our fnancial conditon and consolidated results of operatons.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facilites material to our operatons consist of our locatons described below. In additon to the facilites listed below, our Water Treatment group operates out of 35 additonal warehouse locatons, the majority of which are owned by us. We believe that our facilites are adequate and suitable for the purposes they serve. Unless noted, each facility is owned by us and is primarily used as ofce and warehouse space. We believe that we carry customary levels of insurance covering the replacement of damaged property.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Rail/Barge Access</w:t>
            </w:r>
          </w:p>
        </w:tc>
        <w:tc>
          <w:tcPr>
            <w:tcW w:w="4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0"/>
              </w:rPr>
              <w:t>Approx.</w:t>
            </w: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Group</w:t>
            </w:r>
          </w:p>
        </w:tc>
        <w:tc>
          <w:tcPr>
            <w:tcW w:w="3120" w:type="dxa"/>
            <w:vAlign w:val="bottom"/>
            <w:tcBorders>
              <w:bottom w:val="single" w:sz="8" w:color="auto"/>
            </w:tcBorders>
          </w:tcPr>
          <w:p>
            <w:pPr>
              <w:jc w:val="center"/>
              <w:ind w:left="571"/>
              <w:spacing w:after="0"/>
              <w:rPr>
                <w:sz w:val="20"/>
                <w:szCs w:val="20"/>
                <w:color w:val="auto"/>
              </w:rPr>
            </w:pPr>
            <w:r>
              <w:rPr>
                <w:rFonts w:ascii="Arial" w:cs="Arial" w:eastAsia="Arial" w:hAnsi="Arial"/>
                <w:sz w:val="14"/>
                <w:szCs w:val="14"/>
                <w:b w:val="1"/>
                <w:bCs w:val="1"/>
                <w:color w:val="auto"/>
                <w:w w:val="91"/>
              </w:rPr>
              <w:t>Locaton</w:t>
            </w:r>
          </w:p>
        </w:tc>
        <w:tc>
          <w:tcPr>
            <w:tcW w:w="38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Square Feet</w:t>
            </w:r>
          </w:p>
        </w:tc>
        <w:tc>
          <w:tcPr>
            <w:tcW w:w="0" w:type="dxa"/>
            <w:vAlign w:val="bottom"/>
          </w:tcPr>
          <w:p>
            <w:pPr>
              <w:spacing w:after="0"/>
              <w:rPr>
                <w:sz w:val="1"/>
                <w:szCs w:val="1"/>
                <w:color w:val="auto"/>
              </w:rPr>
            </w:pPr>
          </w:p>
        </w:tc>
      </w:tr>
      <w:tr>
        <w:trPr>
          <w:trHeight w:val="243"/>
        </w:trPr>
        <w:tc>
          <w:tcPr>
            <w:tcW w:w="620" w:type="dxa"/>
            <w:vAlign w:val="bottom"/>
            <w:shd w:val="clear" w:color="auto" w:fill="CCEEFF"/>
          </w:tcPr>
          <w:p>
            <w:pPr>
              <w:spacing w:after="0"/>
              <w:rPr>
                <w:sz w:val="21"/>
                <w:szCs w:val="21"/>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headquarters</w:t>
            </w:r>
          </w:p>
        </w:tc>
        <w:tc>
          <w:tcPr>
            <w:tcW w:w="312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0"/>
              </w:rPr>
              <w:t>Roseville, MN</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Health and Nutriton</w:t>
            </w:r>
          </w:p>
        </w:tc>
        <w:tc>
          <w:tcPr>
            <w:tcW w:w="3120" w:type="dxa"/>
            <w:vAlign w:val="bottom"/>
          </w:tcPr>
          <w:p>
            <w:pPr>
              <w:jc w:val="center"/>
              <w:ind w:left="571"/>
              <w:spacing w:after="0"/>
              <w:rPr>
                <w:sz w:val="20"/>
                <w:szCs w:val="20"/>
                <w:color w:val="auto"/>
              </w:rPr>
            </w:pPr>
            <w:r>
              <w:rPr>
                <w:rFonts w:ascii="Arial" w:cs="Arial" w:eastAsia="Arial" w:hAnsi="Arial"/>
                <w:sz w:val="18"/>
                <w:szCs w:val="18"/>
                <w:color w:val="auto"/>
                <w:w w:val="89"/>
              </w:rPr>
              <w:t>Fullerton, CA (1)</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56,000</w:t>
            </w:r>
          </w:p>
        </w:tc>
        <w:tc>
          <w:tcPr>
            <w:tcW w:w="0" w:type="dxa"/>
            <w:vAlign w:val="bottom"/>
          </w:tcPr>
          <w:p>
            <w:pPr>
              <w:spacing w:after="0"/>
              <w:rPr>
                <w:sz w:val="1"/>
                <w:szCs w:val="1"/>
                <w:color w:val="auto"/>
              </w:rPr>
            </w:pPr>
          </w:p>
        </w:tc>
      </w:tr>
      <w:tr>
        <w:trPr>
          <w:trHeight w:val="231"/>
        </w:trPr>
        <w:tc>
          <w:tcPr>
            <w:tcW w:w="6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12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88"/>
              </w:rPr>
              <w:t>Florida, NY (2)</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107,000</w:t>
            </w: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3120" w:type="dxa"/>
            <w:vAlign w:val="bottom"/>
          </w:tcPr>
          <w:p>
            <w:pPr>
              <w:jc w:val="center"/>
              <w:ind w:left="571"/>
              <w:spacing w:after="0"/>
              <w:rPr>
                <w:sz w:val="20"/>
                <w:szCs w:val="20"/>
                <w:color w:val="auto"/>
              </w:rPr>
            </w:pPr>
            <w:r>
              <w:rPr>
                <w:rFonts w:ascii="Arial" w:cs="Arial" w:eastAsia="Arial" w:hAnsi="Arial"/>
                <w:sz w:val="18"/>
                <w:szCs w:val="18"/>
                <w:color w:val="auto"/>
                <w:w w:val="93"/>
              </w:rPr>
              <w:t>Minneapolis, MN (3)</w:t>
            </w:r>
          </w:p>
        </w:tc>
        <w:tc>
          <w:tcPr>
            <w:tcW w:w="3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Rail</w:t>
            </w:r>
          </w:p>
        </w:tc>
        <w:tc>
          <w:tcPr>
            <w:tcW w:w="218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177,000</w:t>
            </w:r>
          </w:p>
        </w:tc>
        <w:tc>
          <w:tcPr>
            <w:tcW w:w="0" w:type="dxa"/>
            <w:vAlign w:val="bottom"/>
          </w:tcPr>
          <w:p>
            <w:pPr>
              <w:spacing w:after="0"/>
              <w:rPr>
                <w:sz w:val="1"/>
                <w:szCs w:val="1"/>
                <w:color w:val="auto"/>
              </w:rPr>
            </w:pPr>
          </w:p>
        </w:tc>
      </w:tr>
      <w:tr>
        <w:trPr>
          <w:trHeight w:val="238"/>
        </w:trPr>
        <w:tc>
          <w:tcPr>
            <w:tcW w:w="6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12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88"/>
              </w:rPr>
              <w:t>Centralia, IL (3)</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Rail</w:t>
            </w:r>
          </w:p>
        </w:tc>
        <w:tc>
          <w:tcPr>
            <w:tcW w:w="218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2"/>
              </w:rPr>
              <w:t>121,000</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120" w:type="dxa"/>
            <w:vAlign w:val="bottom"/>
          </w:tcPr>
          <w:p>
            <w:pPr>
              <w:jc w:val="center"/>
              <w:ind w:left="551"/>
              <w:spacing w:after="0"/>
              <w:rPr>
                <w:sz w:val="20"/>
                <w:szCs w:val="20"/>
                <w:color w:val="auto"/>
              </w:rPr>
            </w:pPr>
            <w:r>
              <w:rPr>
                <w:rFonts w:ascii="Arial" w:cs="Arial" w:eastAsia="Arial" w:hAnsi="Arial"/>
                <w:sz w:val="18"/>
                <w:szCs w:val="18"/>
                <w:color w:val="auto"/>
                <w:w w:val="88"/>
              </w:rPr>
              <w:t>Dupo, IL (3) (4)</w:t>
            </w:r>
          </w:p>
        </w:tc>
        <w:tc>
          <w:tcPr>
            <w:tcW w:w="3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Rail</w:t>
            </w:r>
          </w:p>
        </w:tc>
        <w:tc>
          <w:tcPr>
            <w:tcW w:w="21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4"/>
        </w:trPr>
        <w:tc>
          <w:tcPr>
            <w:tcW w:w="62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312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88"/>
              </w:rPr>
              <w:t>St. Paul, MN (3) (5)</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Rail/Barge</w:t>
            </w:r>
          </w:p>
        </w:tc>
        <w:tc>
          <w:tcPr>
            <w:tcW w:w="21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120" w:type="dxa"/>
            <w:vAlign w:val="bottom"/>
          </w:tcPr>
          <w:p>
            <w:pPr>
              <w:jc w:val="center"/>
              <w:ind w:left="551"/>
              <w:spacing w:after="0"/>
              <w:rPr>
                <w:sz w:val="20"/>
                <w:szCs w:val="20"/>
                <w:color w:val="auto"/>
              </w:rPr>
            </w:pPr>
            <w:r>
              <w:rPr>
                <w:rFonts w:ascii="Arial" w:cs="Arial" w:eastAsia="Arial" w:hAnsi="Arial"/>
                <w:sz w:val="18"/>
                <w:szCs w:val="18"/>
                <w:color w:val="auto"/>
                <w:w w:val="91"/>
              </w:rPr>
              <w:t>Rosemount, MN (3)</w:t>
            </w:r>
          </w:p>
        </w:tc>
        <w:tc>
          <w:tcPr>
            <w:tcW w:w="3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Rail</w:t>
            </w:r>
          </w:p>
        </w:tc>
        <w:tc>
          <w:tcPr>
            <w:tcW w:w="2180" w:type="dxa"/>
            <w:vAlign w:val="bottom"/>
            <w:gridSpan w:val="2"/>
          </w:tcPr>
          <w:p>
            <w:pPr>
              <w:jc w:val="center"/>
              <w:ind w:left="330"/>
              <w:spacing w:after="0"/>
              <w:rPr>
                <w:sz w:val="20"/>
                <w:szCs w:val="20"/>
                <w:color w:val="auto"/>
              </w:rPr>
            </w:pPr>
            <w:r>
              <w:rPr>
                <w:rFonts w:ascii="Arial" w:cs="Arial" w:eastAsia="Arial" w:hAnsi="Arial"/>
                <w:sz w:val="18"/>
                <w:szCs w:val="18"/>
                <w:color w:val="auto"/>
                <w:w w:val="92"/>
              </w:rPr>
              <w:t>153,000</w:t>
            </w:r>
          </w:p>
        </w:tc>
        <w:tc>
          <w:tcPr>
            <w:tcW w:w="0" w:type="dxa"/>
            <w:vAlign w:val="bottom"/>
          </w:tcPr>
          <w:p>
            <w:pPr>
              <w:spacing w:after="0"/>
              <w:rPr>
                <w:sz w:val="1"/>
                <w:szCs w:val="1"/>
                <w:color w:val="auto"/>
              </w:rPr>
            </w:pPr>
          </w:p>
        </w:tc>
      </w:tr>
      <w:tr>
        <w:trPr>
          <w:trHeight w:val="231"/>
        </w:trPr>
        <w:tc>
          <w:tcPr>
            <w:tcW w:w="620" w:type="dxa"/>
            <w:vAlign w:val="bottom"/>
            <w:shd w:val="clear" w:color="auto" w:fill="CCEEFF"/>
          </w:tcPr>
          <w:p>
            <w:pPr>
              <w:spacing w:after="0"/>
              <w:rPr>
                <w:sz w:val="20"/>
                <w:szCs w:val="2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and Water Treatment</w:t>
            </w:r>
          </w:p>
        </w:tc>
        <w:tc>
          <w:tcPr>
            <w:tcW w:w="312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88"/>
              </w:rPr>
              <w:t>St. Paul, MN (3) (5)</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Rail/Barge</w:t>
            </w:r>
          </w:p>
        </w:tc>
        <w:tc>
          <w:tcPr>
            <w:tcW w:w="21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35"/>
        </w:trPr>
        <w:tc>
          <w:tcPr>
            <w:tcW w:w="6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120" w:type="dxa"/>
            <w:vAlign w:val="bottom"/>
          </w:tcPr>
          <w:p>
            <w:pPr>
              <w:jc w:val="center"/>
              <w:ind w:left="551"/>
              <w:spacing w:after="0"/>
              <w:rPr>
                <w:sz w:val="20"/>
                <w:szCs w:val="20"/>
                <w:color w:val="auto"/>
              </w:rPr>
            </w:pPr>
            <w:r>
              <w:rPr>
                <w:rFonts w:ascii="Arial" w:cs="Arial" w:eastAsia="Arial" w:hAnsi="Arial"/>
                <w:sz w:val="18"/>
                <w:szCs w:val="18"/>
                <w:color w:val="auto"/>
                <w:w w:val="87"/>
              </w:rPr>
              <w:t>Camanche, IA (3)</w:t>
            </w:r>
          </w:p>
        </w:tc>
        <w:tc>
          <w:tcPr>
            <w:tcW w:w="3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Rail/Barge</w:t>
            </w:r>
          </w:p>
        </w:tc>
        <w:tc>
          <w:tcPr>
            <w:tcW w:w="21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38"/>
        </w:trPr>
        <w:tc>
          <w:tcPr>
            <w:tcW w:w="6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120" w:type="dxa"/>
            <w:vAlign w:val="bottom"/>
            <w:shd w:val="clear" w:color="auto" w:fill="CCEEFF"/>
          </w:tcPr>
          <w:p>
            <w:pPr>
              <w:jc w:val="center"/>
              <w:ind w:left="571"/>
              <w:spacing w:after="0"/>
              <w:rPr>
                <w:sz w:val="20"/>
                <w:szCs w:val="20"/>
                <w:color w:val="auto"/>
              </w:rPr>
            </w:pPr>
            <w:r>
              <w:rPr>
                <w:rFonts w:ascii="Arial" w:cs="Arial" w:eastAsia="Arial" w:hAnsi="Arial"/>
                <w:sz w:val="18"/>
                <w:szCs w:val="18"/>
                <w:color w:val="auto"/>
                <w:w w:val="91"/>
              </w:rPr>
              <w:t>Memphis, TN (3)</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Rail/Barge</w:t>
            </w:r>
          </w:p>
        </w:tc>
        <w:tc>
          <w:tcPr>
            <w:tcW w:w="21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Water Treatment</w:t>
            </w:r>
          </w:p>
        </w:tc>
        <w:tc>
          <w:tcPr>
            <w:tcW w:w="3120" w:type="dxa"/>
            <w:vAlign w:val="bottom"/>
          </w:tcPr>
          <w:p>
            <w:pPr>
              <w:jc w:val="center"/>
              <w:ind w:left="551"/>
              <w:spacing w:after="0"/>
              <w:rPr>
                <w:sz w:val="20"/>
                <w:szCs w:val="20"/>
                <w:color w:val="auto"/>
              </w:rPr>
            </w:pPr>
            <w:r>
              <w:rPr>
                <w:rFonts w:ascii="Arial" w:cs="Arial" w:eastAsia="Arial" w:hAnsi="Arial"/>
                <w:sz w:val="18"/>
                <w:szCs w:val="18"/>
                <w:color w:val="auto"/>
                <w:w w:val="87"/>
              </w:rPr>
              <w:t>Apopka, FL (3)</w:t>
            </w:r>
          </w:p>
        </w:tc>
        <w:tc>
          <w:tcPr>
            <w:tcW w:w="3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Rail</w:t>
            </w:r>
          </w:p>
        </w:tc>
        <w:tc>
          <w:tcPr>
            <w:tcW w:w="21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44"/>
        </w:trPr>
        <w:tc>
          <w:tcPr>
            <w:tcW w:w="62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312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2"/>
              </w:rPr>
              <w:t>Fayeteville, TN (3)</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0"/>
              </w:rPr>
              <w:t>54,000</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120" w:type="dxa"/>
            <w:vAlign w:val="bottom"/>
          </w:tcPr>
          <w:p>
            <w:pPr>
              <w:jc w:val="center"/>
              <w:ind w:left="571"/>
              <w:spacing w:after="0"/>
              <w:rPr>
                <w:sz w:val="20"/>
                <w:szCs w:val="20"/>
                <w:color w:val="auto"/>
              </w:rPr>
            </w:pPr>
            <w:r>
              <w:rPr>
                <w:rFonts w:ascii="Arial" w:cs="Arial" w:eastAsia="Arial" w:hAnsi="Arial"/>
                <w:sz w:val="18"/>
                <w:szCs w:val="18"/>
                <w:color w:val="auto"/>
                <w:w w:val="87"/>
              </w:rPr>
              <w:t>Sulphur, LA (3)</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8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30,000</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leased facility comprising administratve ofces and a distributon facility. The lease runs through January 2026.</w:t>
      </w:r>
    </w:p>
    <w:p>
      <w:pPr>
        <w:spacing w:after="0" w:line="103" w:lineRule="exact"/>
        <w:rPr>
          <w:rFonts w:ascii="Arial" w:cs="Arial" w:eastAsia="Arial" w:hAnsi="Arial"/>
          <w:sz w:val="18"/>
          <w:szCs w:val="18"/>
          <w:color w:val="auto"/>
        </w:rPr>
      </w:pPr>
    </w:p>
    <w:p>
      <w:pPr>
        <w:ind w:left="580" w:hanging="329"/>
        <w:spacing w:after="0" w:line="27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comprised of (i) a 79,000 square foot manufacturing plant which sits on approximately 16 acres and (ii) a leased 28,000 square foot warehouse located in close proximity that is leased untl December 2025.</w:t>
      </w:r>
    </w:p>
    <w:p>
      <w:pPr>
        <w:spacing w:after="0" w:line="55" w:lineRule="exact"/>
        <w:rPr>
          <w:rFonts w:ascii="Arial" w:cs="Arial" w:eastAsia="Arial" w:hAnsi="Arial"/>
          <w:sz w:val="18"/>
          <w:szCs w:val="18"/>
          <w:color w:val="auto"/>
        </w:rPr>
      </w:pPr>
    </w:p>
    <w:p>
      <w:pPr>
        <w:ind w:left="580" w:hanging="329"/>
        <w:spacing w:after="0" w:line="27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manufacturing and/or distributon facility owned by the Company. This facility includes outside storage tanks for the storage of liquid bulk chemicals, as well as smaller tanks for storing and mixing chemicals.</w:t>
      </w:r>
    </w:p>
    <w:p>
      <w:pPr>
        <w:spacing w:after="0" w:line="42"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this facility is leased from a third party. The lease expires in May 2024, with automatc one-year renewal periods.</w:t>
      </w:r>
    </w:p>
    <w:p>
      <w:pPr>
        <w:spacing w:after="0" w:line="103" w:lineRule="exact"/>
        <w:rPr>
          <w:rFonts w:ascii="Arial" w:cs="Arial" w:eastAsia="Arial" w:hAnsi="Arial"/>
          <w:sz w:val="18"/>
          <w:szCs w:val="18"/>
          <w:color w:val="auto"/>
        </w:rPr>
      </w:pPr>
    </w:p>
    <w:p>
      <w:pPr>
        <w:ind w:left="580" w:hanging="329"/>
        <w:spacing w:after="0" w:line="27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these facilites is leased from the Port Authority of the City of St. Paul, Minnesota. One of the applicable leases runs through 2033, one runs untl 2029, and one runs through 2044 including all available lease extensions.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MARKET FOR THE COMPANY’S COMMON EQUITY, RELATED SHAREHOLDER MATTERS AND ISSUER PURCHASES OF EQUITY SECURITIES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common shares are listed on the Nasdaq Global Select Market under the symbol “HWKN.” As of May 12, 2023, shares of our common shares were held by approximately 367 shareholders of record.</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graph compares the cumulatve total shareholder return on our common shares with the cumulatve total returns of the Nasdaq Industrial Index, the Nasdaq Composite Index, the Russell 2000 Index and the Standard &amp; Poor’s (“S&amp;P”) Small Cap 600 Index for our last fve completed fscal years. The graph assumes the investment of $100 in our stock and each of those indices on April 1, 2018,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43180</wp:posOffset>
            </wp:positionV>
            <wp:extent cx="5254625" cy="3711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is a discussion and analysis of our fnancial conditon and results of operatons for fscal 2023 and 2022. This discussion should be read in conjuncton with the Consolidated Financial Statements and Notes to Consolidated Financial Statements included in Item 8 of this Annual Report on Form 10-K.</w:t>
      </w:r>
    </w:p>
    <w:p>
      <w:pPr>
        <w:spacing w:after="0" w:line="213" w:lineRule="exact"/>
        <w:rPr>
          <w:sz w:val="20"/>
          <w:szCs w:val="20"/>
          <w:color w:val="auto"/>
        </w:rPr>
      </w:pPr>
    </w:p>
    <w:p>
      <w:pPr>
        <w:jc w:val="both"/>
        <w:spacing w:after="0" w:line="284" w:lineRule="auto"/>
        <w:rPr>
          <w:rFonts w:ascii="Arial" w:cs="Arial" w:eastAsia="Arial" w:hAnsi="Arial"/>
          <w:sz w:val="17"/>
          <w:szCs w:val="17"/>
          <w:color w:val="auto"/>
        </w:rPr>
      </w:pPr>
      <w:r>
        <w:rPr>
          <w:rFonts w:ascii="Arial" w:cs="Arial" w:eastAsia="Arial" w:hAnsi="Arial"/>
          <w:sz w:val="17"/>
          <w:szCs w:val="17"/>
          <w:color w:val="auto"/>
        </w:rPr>
        <w:t xml:space="preserve">We have omited discussion of the earliest of the three years covered by our consolidated fnancial statements presented in this report because that disclosure was already included in our </w:t>
      </w:r>
      <w:hyperlink r:id="rId31">
        <w:r>
          <w:rPr>
            <w:rFonts w:ascii="Arial" w:cs="Arial" w:eastAsia="Arial" w:hAnsi="Arial"/>
            <w:sz w:val="17"/>
            <w:szCs w:val="17"/>
            <w:u w:val="single" w:color="auto"/>
            <w:color w:val="0000FF"/>
          </w:rPr>
          <w:t>Annual Report on Form 10-K for fscal 2022</w:t>
        </w:r>
      </w:hyperlink>
      <w:r>
        <w:rPr>
          <w:rFonts w:ascii="Arial" w:cs="Arial" w:eastAsia="Arial" w:hAnsi="Arial"/>
          <w:sz w:val="17"/>
          <w:szCs w:val="17"/>
          <w:color w:val="auto"/>
        </w:rPr>
        <w:t>, fled with the SEC on May 18, 2022. You are encouraged to reference Part II, Item 7, within that report, for a discussion of our fnancial conditon and results of operatons for fscal 2022 compared to fscal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derive substantally all of our revenues from the sale of specialty chemicals and ingredients that we formulate, distribute, blend and manufacture for our Industrial, Water Treatment and Health and Nutriton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fscal 2023 include:</w:t>
      </w:r>
    </w:p>
    <w:p>
      <w:pPr>
        <w:spacing w:after="0" w:line="252" w:lineRule="exact"/>
        <w:rPr>
          <w:sz w:val="20"/>
          <w:szCs w:val="20"/>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$935.1 million, a 21% increase from fscal 2022;</w:t>
      </w:r>
    </w:p>
    <w:p>
      <w:pPr>
        <w:spacing w:after="0" w:line="252"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proft of $165.1 million, an increase of $18.6 million, or 13% from fscal 2022; and</w:t>
      </w:r>
    </w:p>
    <w:p>
      <w:pPr>
        <w:spacing w:after="0" w:line="252" w:lineRule="exact"/>
        <w:rPr>
          <w:rFonts w:ascii="Arial" w:cs="Arial" w:eastAsia="Arial" w:hAnsi="Arial"/>
          <w:sz w:val="18"/>
          <w:szCs w:val="18"/>
          <w:color w:val="auto"/>
        </w:rPr>
      </w:pPr>
    </w:p>
    <w:p>
      <w:pPr>
        <w:ind w:left="660" w:hanging="40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(EPS) of $2.86, an increase of $0.42, or 17%, from fscal 2022.</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focus on total proftability dollars when evaluatng our fnancial results as opposed to proftability as a percentage of sales, as sales dollars tend to fuctuate as raw material prices rise and fall, partcularly in our Industrial and Water Treatment segments. The costs for certain of our raw materials can rise or fall rapidly, causing fuctuatons in gross proft as a percentage of sales.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use the last in, frst out (“LIFO”) method of valuing the majority of our inventory in our Industrial and Water Treatment segments, which causes the most recent product costs to be recognized in our income statement. The LIFO inventory valuaton method and the resultng cost of sales are consistent with our business practces of pricing to current chemical raw material prices. Inventories in our Health and Nutriton segment are valued using the frst-in, frst-out (“FIFO”) method.</w:t>
      </w:r>
    </w:p>
    <w:p>
      <w:pPr>
        <w:spacing w:after="0" w:line="2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disclose the sales of our bulk commodity products as a percentage of total sales dollars for our Industrial and Water Treatment segments. Our defniton of bulk commodity products includes products that we do not modify in any way, but receive, store, and ship from our facilites, or direct ship to our customers in large quanttes. We disclose the percentage of our overall sales that consist of sales of bulk commodity products as these products are generally distributed and we do not add signifcant value to these products in comparison to our non-bulk products. Sales of these products are generally highly compettve and price sensitve. As a result, bulk commodity products generally have our lowest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Afectng Comparability of Results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Sales and Business Acquisitons</w:t>
      </w:r>
    </w:p>
    <w:p>
      <w:pPr>
        <w:spacing w:after="0" w:line="239"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On March 30, 2023, we sold certain assets in our Industrial segment related to our consumer bleach packaging business for $7 million. These assets were not deemed core to our Industrial segment operatons. The assets sold included plant equipment, inventory, and intangible assets, all related to the packaging of bleach. We realized a gain of $3 million on this sale, which has been recorded as a reducton to selling, general and administratve expenses.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fourth quarter of fscal 2022, we acquired substantally all the assets of NAPCO Chemical Company, Inc. and its afliates ("NAPCO") under the terms of an asset purchase agreement among us, NAPCO and certain other partes thereto. NAPCO manufactures and distributes water treatment chemicals from three locatons in Texas. The results of operatons are included as part of our Water Treatment segment.</w:t>
      </w:r>
    </w:p>
    <w:p>
      <w:pPr>
        <w:sectPr>
          <w:pgSz w:w="11900" w:h="16838" w:orient="portrait"/>
          <w:cols w:equalWidth="0" w:num="1">
            <w:col w:w="11240"/>
          </w:cols>
          <w:pgMar w:left="320" w:top="915"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17" w:name="page18"/>
    <w:bookmarkEnd w:id="17"/>
    <w:p>
      <w:pPr>
        <w:jc w:val="both"/>
        <w:spacing w:after="0" w:line="284" w:lineRule="auto"/>
        <w:rPr>
          <w:sz w:val="20"/>
          <w:szCs w:val="20"/>
          <w:color w:val="auto"/>
        </w:rPr>
      </w:pPr>
      <w:r>
        <w:rPr>
          <w:rFonts w:ascii="Arial" w:cs="Arial" w:eastAsia="Arial" w:hAnsi="Arial"/>
          <w:sz w:val="17"/>
          <w:szCs w:val="17"/>
          <w:color w:val="auto"/>
        </w:rPr>
        <w:t>In the third quarter of fscal 2022, we acquired substantally all the assets of Water and Waste Specialtes, LLC, under the terms of an asset purchase agreement with Water and Waste Specialtes and its shareholders. Water and Waste Specialtes was a water treatment chemical distributon company operatng primarily in Alabama. The results of operatons since the acquisiton date are included in our Water Treatment segment.</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second quarter of fscal 2022, we acquired substantally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operatons since the acquisiton date are included in our Water Treatment segment.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annual revenue of these three businesses acquired in fscal 2022 totaled approximately $17 million, as determined using the applicable twelve-month period preceding each respectve acquisiton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for fscal 2023 and 2022:</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5"/>
                <w:szCs w:val="15"/>
                <w:color w:val="auto"/>
              </w:rPr>
            </w:pPr>
          </w:p>
        </w:tc>
        <w:tc>
          <w:tcPr>
            <w:tcW w:w="1580" w:type="dxa"/>
            <w:vAlign w:val="bottom"/>
          </w:tcPr>
          <w:p>
            <w:pPr>
              <w:jc w:val="right"/>
              <w:ind w:right="372"/>
              <w:spacing w:after="0"/>
              <w:rPr>
                <w:sz w:val="20"/>
                <w:szCs w:val="20"/>
                <w:color w:val="auto"/>
              </w:rPr>
            </w:pPr>
            <w:r>
              <w:rPr>
                <w:rFonts w:ascii="Arial" w:cs="Arial" w:eastAsia="Arial" w:hAnsi="Arial"/>
                <w:sz w:val="14"/>
                <w:szCs w:val="14"/>
                <w:b w:val="1"/>
                <w:bCs w:val="1"/>
                <w:color w:val="auto"/>
              </w:rPr>
              <w:t>Fiscal 2023</w:t>
            </w:r>
          </w:p>
        </w:tc>
        <w:tc>
          <w:tcPr>
            <w:tcW w:w="120" w:type="dxa"/>
            <w:vAlign w:val="bottom"/>
          </w:tcPr>
          <w:p>
            <w:pPr>
              <w:spacing w:after="0"/>
              <w:rPr>
                <w:sz w:val="15"/>
                <w:szCs w:val="15"/>
                <w:color w:val="auto"/>
              </w:rPr>
            </w:pPr>
          </w:p>
        </w:tc>
        <w:tc>
          <w:tcPr>
            <w:tcW w:w="1580" w:type="dxa"/>
            <w:vAlign w:val="bottom"/>
          </w:tcPr>
          <w:p>
            <w:pPr>
              <w:jc w:val="right"/>
              <w:ind w:right="373"/>
              <w:spacing w:after="0"/>
              <w:rPr>
                <w:sz w:val="20"/>
                <w:szCs w:val="20"/>
                <w:color w:val="auto"/>
              </w:rPr>
            </w:pPr>
            <w:r>
              <w:rPr>
                <w:rFonts w:ascii="Arial" w:cs="Arial" w:eastAsia="Arial" w:hAnsi="Arial"/>
                <w:sz w:val="14"/>
                <w:szCs w:val="14"/>
                <w:b w:val="1"/>
                <w:bCs w:val="1"/>
                <w:color w:val="auto"/>
              </w:rPr>
              <w:t>Fiscal 2022</w:t>
            </w:r>
          </w:p>
        </w:tc>
      </w:tr>
      <w:tr>
        <w:trPr>
          <w:trHeight w:val="43"/>
        </w:trPr>
        <w:tc>
          <w:tcPr>
            <w:tcW w:w="74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8"/>
        </w:trPr>
        <w:tc>
          <w:tcPr>
            <w:tcW w:w="7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r>
      <w:tr>
        <w:trPr>
          <w:trHeight w:val="238"/>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Selling, general and administratve expenses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Operatng income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28"/>
        </w:trPr>
        <w:tc>
          <w:tcPr>
            <w:tcW w:w="7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8.8 %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spacing w:after="0"/>
              <w:rPr>
                <w:sz w:val="20"/>
                <w:szCs w:val="20"/>
                <w:color w:val="auto"/>
              </w:rPr>
            </w:pPr>
            <w:r>
              <w:rPr>
                <w:rFonts w:ascii="Arial" w:cs="Arial" w:eastAsia="Arial" w:hAnsi="Arial"/>
                <w:sz w:val="18"/>
                <w:szCs w:val="18"/>
                <w:color w:val="auto"/>
              </w:rPr>
              <w:t>6.4 %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2"/>
        </w:trPr>
        <w:tc>
          <w:tcPr>
            <w:tcW w:w="74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Sales were $935.1 million for fscal 2023, an increase of $160.6 million, or 21%, from sales of $774.5 million for fscal 2022, driven primarily by increased selling prices. Fiscal 2022 included an additonal week, which we estmated to add approximately $17.5 million in additonal sales in that year.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$83.9 million, or 22%, to $470.8 million for fscal 2023, as compared to $386.9 million for fscal</w:t>
      </w:r>
      <w:r>
        <w:rPr>
          <w:rFonts w:ascii="Arial" w:cs="Arial" w:eastAsia="Arial" w:hAnsi="Arial"/>
          <w:sz w:val="18"/>
          <w:szCs w:val="18"/>
          <w:i w:val="1"/>
          <w:iCs w:val="1"/>
          <w:color w:val="auto"/>
        </w:rPr>
        <w:t xml:space="preserve"> </w:t>
      </w:r>
      <w:r>
        <w:rPr>
          <w:rFonts w:ascii="Arial" w:cs="Arial" w:eastAsia="Arial" w:hAnsi="Arial"/>
          <w:sz w:val="18"/>
          <w:szCs w:val="18"/>
          <w:color w:val="auto"/>
        </w:rPr>
        <w:t>2022. Sales of bulk commodity products in the Industrial segment were approximately 16% of sales dollars in both fscal 2023 and fscal 2022. The increase in sales was driven by increased selling prices on many of our products driven primarily by higher costs on many of our raw materials, while total sales volumes were down approximately 11%. Average selling prices increased 36% over the prior year, in part due to higher raw material costs as well as product mix changes. Fiscal 2022 included an additonal week, which we estmated to be approximately $10.0 million in additonal sales in our Industrial segment in that year.</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$76.8 million, or 34%, to $304.9 million for fscal 2023, as compared to $228.1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fscal 2022. Sales of bulk commodity products in the Water Treatment segment were approximately 9% of sales dollars in both fscal 2023 and fscal 2022. Sales increased as a result of increased selling prices on many of our products driven by higher costs on many of our raw materials, with average selling prices increasing 28% over the prior year. In additon, a 4% increase in sales volume, due to the added sales from acquired businesses, contributed to the year-over-year increase in sales. Fiscal 2022 included an additonal week, which we estmated to add approximately $3.9 million in additonal sales in our Water Treatment segment in that year.</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Health and Nutriton Segment. </w:t>
      </w:r>
      <w:r>
        <w:rPr>
          <w:rFonts w:ascii="Arial" w:cs="Arial" w:eastAsia="Arial" w:hAnsi="Arial"/>
          <w:sz w:val="18"/>
          <w:szCs w:val="18"/>
          <w:color w:val="auto"/>
        </w:rPr>
        <w:t>Health and Nutriton segment sales decreased $0.1 million, or less than 1%, to $159.4 million for fscal 2023,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$159.5 million for fscal 2022. Sales of our manufactured products increased 40% year over year, but were ofset by a 12% decline in sales of our specialty distributed products. Fiscal 2022 included an additonal week, which we estmated to add approximately $3.6 million in additonal sales in our Health and Nutriton segment in that year.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proft increased $18.6 million, or 13%, to $165.1 million, or 18% of sales, for fscal 2023, from $146.5 million, or 19% of sales, for fscal 2022. During fscal 2023, the LIFO reserve increased, and gross profts decreased, by $18.5 million, primarily due to rising raw material costs. In fscal 2022, the LIFO reserve increased, and gross profts decreased, by $15.8 million, primarily due to rising raw material costs. Gross proft increased due to increased revenue, partally ofset by the unfavorable year-over-year impact of the increased LIFO reserve. Fiscal 2022 included an additonal week, which we estmated to add approximately $3.6 million in additonal gross proft in that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9" w:name="page20"/>
    <w:bookmarkEnd w:id="19"/>
    <w:p>
      <w:pPr>
        <w:jc w:val="both"/>
        <w:spacing w:after="0" w:line="295"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proft for the Industrial segment increased $8.5 million, or 14%, to $68.1 million, or 14% of sales, for fscal 2023, from $59.6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15% of sales, for fscal 2022. During fscal 2023, the LIFO reserve increased, and gross profts decreased, by $12.3 million, primarily due to rising raw material costs. In fscal 2022, the LIFO reserve increased, and gross profts decreased, by $10.4 million, primarily due to rising raw material costs. Gross proft increased as a result of the increase in sales, partally ofset by the unfavorable year-over-year impact of the increased LIFO reserve. Fiscal 2022 included an additonal week, which we estmated to add approximately $1.9 million in additonal gross proft in our Industrial segment in that year.</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proft for the Water Treatment segment increased $12.6 million, or 23%, to $67.2 million, or 22% of sales, for fscal</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$54.6 million, or 24% of sales, for fscal 2022. During fscal 2023, the LIFO reserve increased, and gross profts decreased, by $6.2 million, primarily due to rising raw material costs. During fscal 2022, the LIFO reserve increased, and gross proft decreased, by $5.4 million, primarily due to rising raw material costs. Gross proft increased as a result of the increase in sales. Fiscal 2022 included an additonal week, which we estmated to add approximately $1.0 million in additonal gross proft in our Water Treatment segment in that year.</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Health and Nutriton Segment. </w:t>
      </w:r>
      <w:r>
        <w:rPr>
          <w:rFonts w:ascii="Arial" w:cs="Arial" w:eastAsia="Arial" w:hAnsi="Arial"/>
          <w:sz w:val="17"/>
          <w:szCs w:val="17"/>
          <w:color w:val="auto"/>
        </w:rPr>
        <w:t>Gross proft for our Health and Nutriton segment decreased $2.5 million, or 8%, to $29.8 million, or 19% of sales, for fscal</w:t>
      </w:r>
      <w:r>
        <w:rPr>
          <w:rFonts w:ascii="Arial" w:cs="Arial" w:eastAsia="Arial" w:hAnsi="Arial"/>
          <w:sz w:val="17"/>
          <w:szCs w:val="17"/>
          <w:i w:val="1"/>
          <w:iCs w:val="1"/>
          <w:color w:val="auto"/>
        </w:rPr>
        <w:t xml:space="preserve"> </w:t>
      </w:r>
      <w:r>
        <w:rPr>
          <w:rFonts w:ascii="Arial" w:cs="Arial" w:eastAsia="Arial" w:hAnsi="Arial"/>
          <w:sz w:val="17"/>
          <w:szCs w:val="17"/>
          <w:color w:val="auto"/>
        </w:rPr>
        <w:t>2023, from $32.3 million, or 20% of sales, for fscal 2022. Gross proft decreased as a result of a product mix shif. Fiscal 2022 included an additonal week, which we estmated to add approximately $0.7 million in additonal gross proft in our Health and Nutriton segment in that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Administratve Expenses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expenses increased $1.6 million to $77.0 million, or 8% of sales, for fscal 2023, from $75.3 million, or 10% of sales, for fscal 2022. Included in SG&amp;A expenses for the current fscal year was a gain of approximately $3.0 million related to the sale of certain assets related to our consumer bleach packaging business. In additon, a year-over-year decrease in compensaton expense of $0.5 million related to our non-qualifed deferred compensaton plan reduced SG&amp;A expenses, with the ofset in Other Expense. In spite of these decreases in SG&amp;A expense, expenses increased primarily due to the added costs from the acquired businesses in our Water Treatment segment and increased wages. Fiscal 2022 included an additonal week, which we estmated to add approximately $1.0 million in additonal SG&amp;A expense in that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Operatng Income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Operatng income was $88.2 million, or 9% of sales, for fscal 2023, as compared to $71.2 million, or 9% of sales, for fscal 2022 due to the combined impact of the factors discussed above. Fiscal 2022 included an additonal week, which we estmated to add approximately $3.0 million in additonal operatng income expense in that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expense was $5.2 million for fscal 2023, an increase of $3.8 million from interest expense of $1.4 million for fscal 2022. The increase was due to an increase in borrowing interest rates as well as an increase in average outstanding borrowings due to increased capital needs.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efectve tax rate was approximately 27.3% for fscal 2023 and 26.3% for fscal 2022. The efectve tax rate is impacted by projected levels of annual taxable income, permanent items, and state taxes. The current year increase in the efectve tax rate was primarily driven by unfavorable book to tax LIFO diferences.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Selected fnancial data for our fscal quarters is shown below. No changes have been made to previously reported informaton.</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Fiscal 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241,192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219,218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935,098</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8"/>
                <w:szCs w:val="18"/>
                <w:color w:val="auto"/>
              </w:rPr>
              <w:t>Gross proft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165,119</w:t>
            </w:r>
          </w:p>
        </w:tc>
        <w:tc>
          <w:tcPr>
            <w:tcW w:w="0" w:type="dxa"/>
            <w:vAlign w:val="bottom"/>
          </w:tcPr>
          <w:p>
            <w:pPr>
              <w:spacing w:after="0"/>
              <w:rPr>
                <w:sz w:val="1"/>
                <w:szCs w:val="1"/>
                <w:color w:val="auto"/>
              </w:rPr>
            </w:pPr>
          </w:p>
        </w:tc>
      </w:tr>
      <w:tr>
        <w:trPr>
          <w:trHeight w:val="231"/>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Selling, general, and administratve expenses</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76,969</w:t>
            </w:r>
          </w:p>
        </w:tc>
        <w:tc>
          <w:tcPr>
            <w:tcW w:w="0" w:type="dxa"/>
            <w:vAlign w:val="bottom"/>
          </w:tcPr>
          <w:p>
            <w:pPr>
              <w:spacing w:after="0"/>
              <w:rPr>
                <w:sz w:val="1"/>
                <w:szCs w:val="1"/>
                <w:color w:val="auto"/>
              </w:rPr>
            </w:pPr>
          </w:p>
        </w:tc>
      </w:tr>
      <w:tr>
        <w:trPr>
          <w:trHeight w:val="235"/>
        </w:trPr>
        <w:tc>
          <w:tcPr>
            <w:tcW w:w="3440" w:type="dxa"/>
            <w:vAlign w:val="bottom"/>
          </w:tcPr>
          <w:p>
            <w:pPr>
              <w:ind w:left="20"/>
              <w:spacing w:after="0"/>
              <w:rPr>
                <w:sz w:val="20"/>
                <w:szCs w:val="20"/>
                <w:color w:val="auto"/>
              </w:rPr>
            </w:pPr>
            <w:r>
              <w:rPr>
                <w:rFonts w:ascii="Arial" w:cs="Arial" w:eastAsia="Arial" w:hAnsi="Arial"/>
                <w:sz w:val="18"/>
                <w:szCs w:val="18"/>
                <w:color w:val="auto"/>
              </w:rPr>
              <w:t>Operatng income</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27,864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88,150</w:t>
            </w:r>
          </w:p>
        </w:tc>
        <w:tc>
          <w:tcPr>
            <w:tcW w:w="0" w:type="dxa"/>
            <w:vAlign w:val="bottom"/>
          </w:tcPr>
          <w:p>
            <w:pPr>
              <w:spacing w:after="0"/>
              <w:rPr>
                <w:sz w:val="1"/>
                <w:szCs w:val="1"/>
                <w:color w:val="auto"/>
              </w:rPr>
            </w:pPr>
          </w:p>
        </w:tc>
      </w:tr>
      <w:tr>
        <w:trPr>
          <w:trHeight w:val="26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0.94</w:t>
            </w:r>
          </w:p>
        </w:tc>
        <w:tc>
          <w:tcPr>
            <w:tcW w:w="140" w:type="dxa"/>
            <w:vAlign w:val="bottom"/>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0.86</w:t>
            </w:r>
          </w:p>
        </w:tc>
        <w:tc>
          <w:tcPr>
            <w:tcW w:w="12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0.52</w:t>
            </w:r>
          </w:p>
        </w:tc>
        <w:tc>
          <w:tcPr>
            <w:tcW w:w="10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0.56</w:t>
            </w:r>
          </w:p>
        </w:tc>
        <w:tc>
          <w:tcPr>
            <w:tcW w:w="8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376"/>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Fiscal 2022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line="195" w:lineRule="exact"/>
              <w:rPr>
                <w:sz w:val="20"/>
                <w:szCs w:val="20"/>
                <w:color w:val="auto"/>
              </w:rPr>
            </w:pPr>
            <w:r>
              <w:rPr>
                <w:rFonts w:ascii="Arial" w:cs="Arial" w:eastAsia="Arial" w:hAnsi="Arial"/>
                <w:sz w:val="18"/>
                <w:szCs w:val="18"/>
                <w:color w:val="auto"/>
              </w:rPr>
              <w:t>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181,241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183,277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187,050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222,973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774,541</w:t>
            </w: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38,974</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8"/>
                <w:szCs w:val="18"/>
                <w:color w:val="auto"/>
                <w:w w:val="94"/>
              </w:rPr>
              <w:t>Selling, general, and administratve expenses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75,326</w:t>
            </w:r>
          </w:p>
        </w:tc>
        <w:tc>
          <w:tcPr>
            <w:tcW w:w="0" w:type="dxa"/>
            <w:vAlign w:val="bottom"/>
          </w:tcPr>
          <w:p>
            <w:pPr>
              <w:spacing w:after="0"/>
              <w:rPr>
                <w:sz w:val="1"/>
                <w:szCs w:val="1"/>
                <w:color w:val="auto"/>
              </w:rPr>
            </w:pPr>
          </w:p>
        </w:tc>
      </w:tr>
      <w:tr>
        <w:trPr>
          <w:trHeight w:val="231"/>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Operatng income</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51,542</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Fiscal 2021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34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First</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Second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Fourth</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8"/>
                <w:szCs w:val="18"/>
                <w:color w:val="auto"/>
              </w:rPr>
              <w:t>Gross proft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Selling, general, and administratve expenses</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8"/>
                <w:szCs w:val="18"/>
                <w:color w:val="auto"/>
              </w:rPr>
              <w:t>Operatng income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55,878</w:t>
            </w:r>
          </w:p>
        </w:tc>
        <w:tc>
          <w:tcPr>
            <w:tcW w:w="0" w:type="dxa"/>
            <w:vAlign w:val="bottom"/>
          </w:tcPr>
          <w:p>
            <w:pPr>
              <w:spacing w:after="0"/>
              <w:rPr>
                <w:sz w:val="1"/>
                <w:szCs w:val="1"/>
                <w:color w:val="auto"/>
              </w:rPr>
            </w:pPr>
          </w:p>
        </w:tc>
      </w:tr>
      <w:tr>
        <w:trPr>
          <w:trHeight w:val="25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may not equal the face of the Consolidated Statements of Income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provided by operatng actvites in fscal 2023 was $77.4 million compared to $42.8 million in fscal 2022. Our net cash provided by operatng actvites increased $34.6 million compared to fscal 2022. In the prior fscal year, we expended signifcant working capital as accounts receivable and inventory increased over fscal 2021 resultng in a net $37 million use of cash for working capital accounts. In fscal 2023, we expended net $13 million in the aggregate for working capital accounts due to lower year-over-year changes. This, combined with improved net income, resulted in the year-over-year increase in net cash provided by operatng actvites. Due to the nature of our operatons, which includes purchases of large quanttes of bulk chemicals, the tming of purchases can result in signifcant changes in working capital and the resultng operatng cash fow. Historically, our cash requirements for working capital increase during the period from March through November as caustc soda inventory levels increase as most of our barges are received during this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Cash used in investng actvites was $41.2 million in fscal 2023 compared to $49.8 million in fscal 2022. Capital expenditures for property, plant and equipment were $48.3 million in fscal 2023 and $28.5 million in fscal 2022. The current year increase in capital expenditures was primarily driven by increased expenditures for new trucks and facility improvements and expansions. Cash used in investng actvites included no acquisiton spending in fscal 2023 compared to an aggregate of $21.5 million for Water Treatment group acquisitons in fscal 2022. Cash used in investng actvites also included proceeds from asset disposals of $7.0 million in fscal 2023 compared to $0.3 million in fscal 2022. The proceeds received in fscal 2023 related primarily to our sale of certain assets related to our consumer bleach packaging business.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fnancing actvites was $32.1 million in fscal 2023, as compared to cash provided by fnancing actvites of $7.4 million in fscal 2022. Cash used in fnancing actvites included net debt repayments of $14.0 million in fscal 2023, compared to net debt borrowings of $27.0 million in fscal 2022, which was used primarily to fund our acquisitons in fscal 2022. We paid out cash dividends of $12.0 million in fscal 2023 and $11.1 million in fscal 2022. In fscal 2023, we used $6.6 million to repurchase shares under our board-authorized share repurchase program, and in fscal 2022, we used $8.5 million to repurchase shares under the program.</w:t>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Our cash balance was $7.6 million at April 2, 2023, an increase of $4.1 million as compared with April 3, 2022. Cash fows generated by operatons during fscal 2023 were ofset by the cash expended for capital expenditures, repayments of debt and dividend payments in fscal 2023.</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party to a Credit Agreement with U.S. Bank as Sole Lead Arranger and Sole Book Runner, and other lenders from tme to tme party thereto, whereby U.S. Bank is also serving as Administratve Agent. The Credit Agreement provides us with a Revolving Loan Facility totaling $250.0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w:t>
      </w:r>
    </w:p>
    <w:p>
      <w:pPr>
        <w:spacing w:after="0" w:line="1" w:lineRule="exact"/>
        <w:rPr>
          <w:sz w:val="20"/>
          <w:szCs w:val="20"/>
          <w:color w:val="auto"/>
        </w:rPr>
      </w:pPr>
    </w:p>
    <w:p>
      <w:pPr>
        <w:jc w:val="both"/>
        <w:ind w:firstLine="8"/>
        <w:spacing w:after="0" w:line="255" w:lineRule="auto"/>
        <w:tabs>
          <w:tab w:leader="none" w:pos="2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Funds Efectve Rate plus 0.5%, or (3) one-month Term SOFR for U.S. dollars plus 1.0%. The Term SOFR margin is between 0.85% and 1.35%, depending on our leverage rato. The base rate margin is between 0.00% and 0.35%, depending on our leverage rato. At April 3, 2022, the efectve interest rate on our borrowings was 4.3%.</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Debt issuance costs paid to the Lenders are being amortzed as interest expense over the term of the Credit Agreement. As of April 2, 2023, the unamortzed balance of these costs was $0.4 million, and is refected as a reducton of debt on our balance sheet.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April 2, 2023 and expect to remain in compliance with all covenants for the next 12 months.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2" w:name="page23"/>
    <w:bookmarkEnd w:id="22"/>
    <w:p>
      <w:pPr>
        <w:jc w:val="both"/>
        <w:spacing w:after="0" w:line="258" w:lineRule="auto"/>
        <w:rPr>
          <w:sz w:val="20"/>
          <w:szCs w:val="20"/>
          <w:color w:val="auto"/>
        </w:rPr>
      </w:pPr>
      <w:r>
        <w:rPr>
          <w:rFonts w:ascii="Arial" w:cs="Arial" w:eastAsia="Arial" w:hAnsi="Arial"/>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informaton about our contractual payment obligatons and the periods in which payments are due:</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Payments Due by Fiscal Period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43"/>
        </w:trPr>
        <w:tc>
          <w:tcPr>
            <w:tcW w:w="3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18"/>
        </w:trPr>
        <w:tc>
          <w:tcPr>
            <w:tcW w:w="3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right"/>
              <w:ind w:right="157"/>
              <w:spacing w:after="0" w:line="118" w:lineRule="exact"/>
              <w:rPr>
                <w:sz w:val="20"/>
                <w:szCs w:val="20"/>
                <w:color w:val="auto"/>
              </w:rPr>
            </w:pPr>
            <w:r>
              <w:rPr>
                <w:rFonts w:ascii="Arial" w:cs="Arial" w:eastAsia="Arial" w:hAnsi="Arial"/>
                <w:sz w:val="13"/>
                <w:szCs w:val="13"/>
                <w:b w:val="1"/>
                <w:bCs w:val="1"/>
                <w:color w:val="auto"/>
              </w:rPr>
              <w:t>More than</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4"/>
        </w:trPr>
        <w:tc>
          <w:tcPr>
            <w:tcW w:w="3040" w:type="dxa"/>
            <w:vAlign w:val="bottom"/>
          </w:tcPr>
          <w:p>
            <w:pPr>
              <w:spacing w:after="0"/>
              <w:rPr>
                <w:sz w:val="20"/>
                <w:szCs w:val="20"/>
                <w:color w:val="auto"/>
              </w:rPr>
            </w:pPr>
            <w:r>
              <w:rPr>
                <w:rFonts w:ascii="Arial" w:cs="Arial" w:eastAsia="Arial" w:hAnsi="Arial"/>
                <w:sz w:val="14"/>
                <w:szCs w:val="14"/>
                <w:b w:val="1"/>
                <w:bCs w:val="1"/>
                <w:color w:val="auto"/>
              </w:rPr>
              <w:t>Contractual Obligaton</w:t>
            </w: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5"/>
                <w:szCs w:val="15"/>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2027</w:t>
            </w:r>
          </w:p>
        </w:tc>
        <w:tc>
          <w:tcPr>
            <w:tcW w:w="420" w:type="dxa"/>
            <w:vAlign w:val="bottom"/>
          </w:tcPr>
          <w:p>
            <w:pPr>
              <w:spacing w:after="0"/>
              <w:rPr>
                <w:sz w:val="15"/>
                <w:szCs w:val="15"/>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2028</w:t>
            </w:r>
          </w:p>
        </w:tc>
        <w:tc>
          <w:tcPr>
            <w:tcW w:w="240" w:type="dxa"/>
            <w:vAlign w:val="bottom"/>
          </w:tcPr>
          <w:p>
            <w:pPr>
              <w:spacing w:after="0"/>
              <w:rPr>
                <w:sz w:val="15"/>
                <w:szCs w:val="15"/>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9"/>
        </w:trPr>
        <w:tc>
          <w:tcPr>
            <w:tcW w:w="3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7"/>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7"/>
        </w:trPr>
        <w:tc>
          <w:tcPr>
            <w:tcW w:w="304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112,000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112,000</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Interest payments (2)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6,749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6,749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6,749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27,557</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Operatng lease obligatons (3)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1,340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1,282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3,862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11,757</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2,570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4,905</w:t>
            </w:r>
          </w:p>
        </w:tc>
      </w:tr>
    </w:tbl>
    <w:p>
      <w:pPr>
        <w:spacing w:after="0" w:line="192" w:lineRule="exact"/>
        <w:rPr>
          <w:sz w:val="20"/>
          <w:szCs w:val="20"/>
          <w:color w:val="auto"/>
        </w:rPr>
      </w:pPr>
    </w:p>
    <w:p>
      <w:pPr>
        <w:jc w:val="both"/>
        <w:ind w:left="340" w:right="100" w:hanging="332"/>
        <w:spacing w:after="0" w:line="254" w:lineRule="auto"/>
        <w:tabs>
          <w:tab w:leader="none" w:pos="37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balance outstanding as of April 2, 2023, and assumes such amount remains outstanding untl its maturity date, as periodic payments are not required under the terms of our Credit Agreement. However, it is our intenton to pay down our debt with available excess cash fow. See Note 8 of our consolidated Financial Statements for further informaton.</w:t>
      </w:r>
    </w:p>
    <w:p>
      <w:pPr>
        <w:spacing w:after="0" w:line="1" w:lineRule="exact"/>
        <w:rPr>
          <w:rFonts w:ascii="Arial" w:cs="Arial" w:eastAsia="Arial" w:hAnsi="Arial"/>
          <w:sz w:val="18"/>
          <w:szCs w:val="18"/>
          <w:color w:val="auto"/>
        </w:rPr>
      </w:pPr>
    </w:p>
    <w:p>
      <w:pPr>
        <w:ind w:left="340" w:right="680" w:hanging="332"/>
        <w:spacing w:after="0" w:line="250" w:lineRule="auto"/>
        <w:tabs>
          <w:tab w:leader="none" w:pos="37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and assumes interest rates remain unchanged from the rate as of April 2, 2023.</w:t>
      </w: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reported under ASC Topic 842.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relates to our withdrawal from a multemployer pension plan. Payments on this obligaton will contnue through 2034.</w:t>
      </w:r>
    </w:p>
    <w:p>
      <w:pPr>
        <w:spacing w:after="0" w:line="10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additon to the above contractual obligatons, in the ordinary course of business we have routne cash requirements related to capital expenditures for new trucks, facility improvements and expansions, safety equipment and other additons of property, plant and equipment. Our capital expenditures in fscal 2023 were $48.3 million and in fscal 2023 were $28.5 million. We antcipate total capital expenditures to be in the range of $40 to $45 million for fscal 2024.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Critcal Accountng Estmates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preparing the fnancial statements, we follow U.S. generally accepted accountng principles (“GAAP”). The preparaton of these fnancial statements requires us to make estmates and judgments that afect the reported amounts of assets, liabilites, sales and expenses, and related disclosure of contngent assets and liabilites. We re-evaluate our estmates on an ongoing basis. Our estmates are based on historical experience and on various other assumptons that are believed to be reasonable under the circumstances. Actual results may difer from these estmates under diferent assumptons and conditons. We have determined we have no critcal accountng estmates material to our consolidated fnancial positon, results of operatons or cash fow.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on to our customers; however, there are no assurances that we will be able to pass on the increases in the future.</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on the variable-rate porton of debt not covered by the interest rate swap would potentally increase or decrease annual interest expense by approximately $0.1 million. Other types of market risk, such as foreign currency risk, do not arise in the normal course of our business actvites.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1"/>
        </w:trPr>
        <w:tc>
          <w:tcPr>
            <w:tcW w:w="896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gridSpan w:val="3"/>
          </w:tcPr>
          <w:p>
            <w:pPr>
              <w:jc w:val="center"/>
              <w:ind w:right="1500"/>
              <w:spacing w:after="0"/>
              <w:rPr>
                <w:sz w:val="20"/>
                <w:szCs w:val="20"/>
                <w:color w:val="auto"/>
              </w:rPr>
            </w:pPr>
            <w:r>
              <w:rPr>
                <w:rFonts w:ascii="Arial" w:cs="Arial" w:eastAsia="Arial" w:hAnsi="Arial"/>
                <w:sz w:val="18"/>
                <w:szCs w:val="18"/>
                <w:b w:val="1"/>
                <w:bCs w:val="1"/>
                <w:color w:val="auto"/>
                <w:w w:val="86"/>
              </w:rPr>
              <w:t>Index to Consolidated Financial Statements</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8940" w:type="dxa"/>
            <w:vAlign w:val="bottom"/>
            <w:gridSpan w:val="9"/>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Accountng Firm </w:t>
            </w:r>
            <w:r>
              <w:rPr>
                <w:rFonts w:ascii="Arial" w:cs="Arial" w:eastAsia="Arial" w:hAnsi="Arial"/>
                <w:sz w:val="18"/>
                <w:szCs w:val="18"/>
                <w:color w:val="3051F2"/>
              </w:rPr>
              <w:t>(PCAOB ID: 248)</w:t>
            </w:r>
          </w:p>
        </w:tc>
        <w:tc>
          <w:tcPr>
            <w:tcW w:w="1900" w:type="dxa"/>
            <w:vAlign w:val="bottom"/>
            <w:gridSpan w:val="2"/>
          </w:tcPr>
          <w:p>
            <w:pPr>
              <w:jc w:val="right"/>
              <w:spacing w:after="0" w:line="195" w:lineRule="exact"/>
              <w:rPr>
                <w:sz w:val="20"/>
                <w:szCs w:val="20"/>
                <w:color w:val="auto"/>
              </w:rPr>
            </w:pPr>
            <w:r>
              <w:rPr>
                <w:rFonts w:ascii="Arial" w:cs="Arial" w:eastAsia="Arial" w:hAnsi="Arial"/>
                <w:sz w:val="18"/>
                <w:szCs w:val="18"/>
                <w:color w:val="0000FF"/>
              </w:rPr>
              <w:t>22</w:t>
            </w:r>
          </w:p>
        </w:tc>
        <w:tc>
          <w:tcPr>
            <w:tcW w:w="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shd w:val="clear" w:color="auto" w:fill="3051F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100" w:type="dxa"/>
            <w:vAlign w:val="bottom"/>
            <w:gridSpan w:val="6"/>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24</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0000FF"/>
              </w:rPr>
              <w:t>Consolidated Statements of Income</w:t>
            </w: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25</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Income</w:t>
            </w: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26</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Arial" w:cs="Arial" w:eastAsia="Arial" w:hAnsi="Arial"/>
                <w:sz w:val="18"/>
                <w:szCs w:val="18"/>
                <w:color w:val="0000FF"/>
                <w:w w:val="95"/>
              </w:rPr>
              <w:t>Consolidated Statements of Shareholders’ Equity</w:t>
            </w:r>
          </w:p>
        </w:tc>
        <w:tc>
          <w:tcPr>
            <w:tcW w:w="5160" w:type="dxa"/>
            <w:vAlign w:val="bottom"/>
            <w:gridSpan w:val="3"/>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27</w:t>
            </w:r>
          </w:p>
        </w:tc>
        <w:tc>
          <w:tcPr>
            <w:tcW w:w="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5380" w:type="dxa"/>
            <w:vAlign w:val="bottom"/>
            <w:gridSpan w:val="4"/>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28</w:t>
            </w:r>
          </w:p>
        </w:tc>
        <w:tc>
          <w:tcPr>
            <w:tcW w:w="3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180" w:type="dxa"/>
            <w:vAlign w:val="bottom"/>
            <w:gridSpan w:val="4"/>
          </w:tcPr>
          <w:p>
            <w:pPr>
              <w:spacing w:after="0"/>
              <w:rPr>
                <w:sz w:val="20"/>
                <w:szCs w:val="20"/>
                <w:color w:val="auto"/>
              </w:rPr>
            </w:pPr>
            <w:r>
              <w:rPr>
                <w:rFonts w:ascii="Arial" w:cs="Arial" w:eastAsia="Arial" w:hAnsi="Arial"/>
                <w:sz w:val="18"/>
                <w:szCs w:val="18"/>
                <w:color w:val="0000FF"/>
                <w:w w:val="90"/>
              </w:rPr>
              <w:t>Notes to Consolidated Financial Statements</w:t>
            </w:r>
          </w:p>
        </w:tc>
        <w:tc>
          <w:tcPr>
            <w:tcW w:w="5760" w:type="dxa"/>
            <w:vAlign w:val="bottom"/>
            <w:gridSpan w:val="5"/>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0000FF"/>
              </w:rPr>
              <w:t>29</w:t>
            </w:r>
          </w:p>
        </w:tc>
        <w:tc>
          <w:tcPr>
            <w:tcW w:w="380" w:type="dxa"/>
            <w:vAlign w:val="bottom"/>
          </w:tcPr>
          <w:p>
            <w:pPr>
              <w:spacing w:after="0"/>
              <w:rPr>
                <w:sz w:val="22"/>
                <w:szCs w:val="22"/>
                <w:color w:val="auto"/>
              </w:rPr>
            </w:pPr>
          </w:p>
        </w:tc>
      </w:tr>
      <w:tr>
        <w:trPr>
          <w:trHeight w:val="917"/>
        </w:trPr>
        <w:tc>
          <w:tcPr>
            <w:tcW w:w="20" w:type="dxa"/>
            <w:vAlign w:val="bottom"/>
          </w:tcPr>
          <w:p>
            <w:pPr>
              <w:spacing w:after="0"/>
              <w:rPr>
                <w:sz w:val="24"/>
                <w:szCs w:val="24"/>
                <w:color w:val="auto"/>
              </w:rPr>
            </w:pPr>
          </w:p>
        </w:tc>
        <w:tc>
          <w:tcPr>
            <w:tcW w:w="3180" w:type="dxa"/>
            <w:vAlign w:val="bottom"/>
            <w:tcBorders>
              <w:top w:val="single" w:sz="8" w:color="0000FF"/>
            </w:tcBorders>
            <w:gridSpan w:val="4"/>
          </w:tcPr>
          <w:p>
            <w:pPr>
              <w:spacing w:after="0"/>
              <w:rPr>
                <w:sz w:val="24"/>
                <w:szCs w:val="24"/>
                <w:color w:val="auto"/>
              </w:rPr>
            </w:pPr>
          </w:p>
        </w:tc>
        <w:tc>
          <w:tcPr>
            <w:tcW w:w="5760" w:type="dxa"/>
            <w:vAlign w:val="bottom"/>
            <w:gridSpan w:val="5"/>
          </w:tcPr>
          <w:p>
            <w:pPr>
              <w:jc w:val="right"/>
              <w:ind w:right="3240"/>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37"/>
        </w:trPr>
        <w:tc>
          <w:tcPr>
            <w:tcW w:w="20" w:type="dxa"/>
            <w:vAlign w:val="bottom"/>
            <w:tcBorders>
              <w:bottom w:val="single" w:sz="8" w:color="9A9A9A"/>
            </w:tcBorders>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352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fnancial reportng</w:t>
      </w:r>
    </w:p>
    <w:p>
      <w:pPr>
        <w:spacing w:after="0" w:line="9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We have audited the internal control over fnancial reportng of Hawkins, Inc. (a Minnesota corporaton) and subsidiaries (the “Company”) as of April 2, 2023, based on criteria established in the 2013 Internal Control—Integrated Framework issued by the Commitee of Sponsoring Organizatons of the Treadway Commission (“COSO”). In our opinion, the Company maintained, in all material respects, efectve internal control over fnancial reportng as of April 2, 2023, based on criteria established in the 2013 Internal Control—Integrated Framework issued by COSO.</w:t>
      </w:r>
    </w:p>
    <w:p>
      <w:pPr>
        <w:spacing w:after="0" w:line="198"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Accountng Oversight Board (United States) (“PCAOB”), the consolidated fnancial statements of the Company as of and for the year ended April 2, 2023, and our report dated May 17, 2023 expressed an unqualifed opinion on those fnancial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Company’s management is responsible for maintaining efectve internal control over fnancial reportng and for its assessment of the efectveness of internal control over fnancial reportng, included in the accompanying Management’s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 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Defniton and limitatons of internal control over fnancial reportng</w:t>
      </w:r>
    </w:p>
    <w:p>
      <w:pPr>
        <w:spacing w:after="0" w:line="9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3" w:right="3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fnancial statements</w:t>
      </w:r>
    </w:p>
    <w:p>
      <w:pPr>
        <w:spacing w:after="0" w:line="3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audited the accompanying consolidated balance sheets of Hawkins, Inc. (a Minnesota corporaton) and subsidiaries (the “Company”) as of April 2, 2023 and April 3, 2022 and the related consolidated statements of income, comprehensive income, shareholders’ equity, and cash fows for each of the three years in the period ended April 2, 2023, and the related notes and fnancial statement schedule included under Item 15(a) (collectvely referred to as the “fnancial statements”). In our opinion, the fnancial statements present fairly, in all material respects, the fnancial positon of the Company as of April 2, 2023 and April 3, 2022, and the results of its operatons and its cash fows for each of the three years in the period ended April 2, 2023, in conformity with accountng principles generally accepted in the United States of America.</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also have audited, in accordance with the standards of the Public Company Accountng Oversight Board (United States) (“PCAOB”), the Company’s internal control over fnancial reportng as of April 2, 2023, based on criteria established in the 2013 Internal Control—Integrated Framework issued by the Commitee of Sponsoring Organizatons of the Treadway Commission (“COSO”), and our report dated May 17, 2023 expressed an unqualifed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3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w:t>
      </w:r>
    </w:p>
    <w:p>
      <w:pPr>
        <w:spacing w:after="0" w:line="221" w:lineRule="auto"/>
        <w:rPr>
          <w:sz w:val="20"/>
          <w:szCs w:val="20"/>
          <w:color w:val="auto"/>
        </w:rPr>
      </w:pPr>
      <w:r>
        <w:rPr>
          <w:rFonts w:ascii="Arial" w:cs="Arial" w:eastAsia="Arial" w:hAnsi="Arial"/>
          <w:sz w:val="18"/>
          <w:szCs w:val="18"/>
          <w:color w:val="auto"/>
        </w:rPr>
        <w:t>PCAOB.</w:t>
      </w:r>
    </w:p>
    <w:p>
      <w:pPr>
        <w:spacing w:after="0" w:line="206"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Critcal audit maters</w:t>
      </w:r>
    </w:p>
    <w:p>
      <w:pPr>
        <w:spacing w:after="0" w:line="2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Critcal audit maters are maters arising from the current period audit of the fnancial statements that were communicated or required to be communicated to the audit commitee and that: (1) relate to accounts or disclosures that are material to the fnancial statements and (2) involved our especially challenging, subjectve, or complex judgments. We determined that there are no critcal audit maters.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3"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HAWKINS,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ind w:right="419"/>
              <w:spacing w:after="0"/>
              <w:rPr>
                <w:sz w:val="20"/>
                <w:szCs w:val="20"/>
                <w:color w:val="auto"/>
              </w:rPr>
            </w:pPr>
            <w:r>
              <w:rPr>
                <w:rFonts w:ascii="Arial" w:cs="Arial" w:eastAsia="Arial" w:hAnsi="Arial"/>
                <w:sz w:val="14"/>
                <w:szCs w:val="14"/>
                <w:b w:val="1"/>
                <w:bCs w:val="1"/>
                <w:color w:val="auto"/>
              </w:rPr>
              <w:t>April 2, 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jc w:val="right"/>
              <w:ind w:right="439"/>
              <w:spacing w:after="0"/>
              <w:rPr>
                <w:sz w:val="20"/>
                <w:szCs w:val="20"/>
                <w:color w:val="auto"/>
              </w:rPr>
            </w:pPr>
            <w:r>
              <w:rPr>
                <w:rFonts w:ascii="Arial" w:cs="Arial" w:eastAsia="Arial" w:hAnsi="Arial"/>
                <w:sz w:val="14"/>
                <w:szCs w:val="14"/>
                <w:b w:val="1"/>
                <w:bCs w:val="1"/>
                <w:color w:val="auto"/>
              </w:rPr>
              <w:t>April 3, 2022</w:t>
            </w:r>
          </w:p>
        </w:tc>
        <w:tc>
          <w:tcPr>
            <w:tcW w:w="0" w:type="dxa"/>
            <w:vAlign w:val="bottom"/>
          </w:tcPr>
          <w:p>
            <w:pPr>
              <w:spacing w:after="0"/>
              <w:rPr>
                <w:sz w:val="1"/>
                <w:szCs w:val="1"/>
                <w:color w:val="auto"/>
              </w:rPr>
            </w:pPr>
          </w:p>
        </w:tc>
      </w:tr>
      <w:tr>
        <w:trPr>
          <w:trHeight w:val="43"/>
        </w:trPr>
        <w:tc>
          <w:tcPr>
            <w:tcW w:w="75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129,252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122,826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94,985</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227,738</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Land</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16,640</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Buildings and improvements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134,901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118,369</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114,763</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Transportaton equipment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43,968</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Ofce furniture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10,315</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344,753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304,055</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Less accumulated depreciaton</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142,209</w:t>
            </w:r>
          </w:p>
        </w:tc>
        <w:tc>
          <w:tcPr>
            <w:tcW w:w="0" w:type="dxa"/>
            <w:vAlign w:val="bottom"/>
          </w:tcPr>
          <w:p>
            <w:pPr>
              <w:spacing w:after="0"/>
              <w:rPr>
                <w:sz w:val="1"/>
                <w:szCs w:val="1"/>
                <w:color w:val="auto"/>
              </w:rPr>
            </w:pPr>
          </w:p>
        </w:tc>
      </w:tr>
      <w:tr>
        <w:trPr>
          <w:trHeight w:val="209"/>
        </w:trPr>
        <w:tc>
          <w:tcPr>
            <w:tcW w:w="7540" w:type="dxa"/>
            <w:vAlign w:val="bottom"/>
          </w:tcPr>
          <w:p>
            <w:pPr>
              <w:ind w:left="112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185,803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161,846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Right-of-use assets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10,606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77,401</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73,060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80,193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compensaton plan asset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177,744</w:t>
            </w:r>
          </w:p>
        </w:tc>
        <w:tc>
          <w:tcPr>
            <w:tcW w:w="0" w:type="dxa"/>
            <w:vAlign w:val="bottom"/>
          </w:tcPr>
          <w:p>
            <w:pPr>
              <w:spacing w:after="0"/>
              <w:rPr>
                <w:sz w:val="1"/>
                <w:szCs w:val="1"/>
                <w:color w:val="auto"/>
              </w:rPr>
            </w:pPr>
          </w:p>
        </w:tc>
      </w:tr>
      <w:tr>
        <w:trPr>
          <w:trHeight w:val="210"/>
        </w:trPr>
        <w:tc>
          <w:tcPr>
            <w:tcW w:w="7540" w:type="dxa"/>
            <w:vAlign w:val="bottom"/>
          </w:tcPr>
          <w:p>
            <w:pPr>
              <w:ind w:left="112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590,535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567,328</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Accrued payroll and employee benefts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17,279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19,034</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porton of long-term debt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9,913</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current liabilites</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5,787</w:t>
            </w:r>
          </w:p>
        </w:tc>
        <w:tc>
          <w:tcPr>
            <w:tcW w:w="0" w:type="dxa"/>
            <w:vAlign w:val="bottom"/>
          </w:tcPr>
          <w:p>
            <w:pPr>
              <w:spacing w:after="0"/>
              <w:rPr>
                <w:sz w:val="1"/>
                <w:szCs w:val="1"/>
                <w:color w:val="auto"/>
              </w:rPr>
            </w:pPr>
          </w:p>
        </w:tc>
      </w:tr>
      <w:tr>
        <w:trPr>
          <w:trHeight w:val="210"/>
        </w:trPr>
        <w:tc>
          <w:tcPr>
            <w:tcW w:w="7540" w:type="dxa"/>
            <w:vAlign w:val="bottom"/>
          </w:tcPr>
          <w:p>
            <w:pPr>
              <w:ind w:left="1120"/>
              <w:spacing w:after="0"/>
              <w:rPr>
                <w:sz w:val="20"/>
                <w:szCs w:val="20"/>
                <w:color w:val="auto"/>
              </w:rPr>
            </w:pPr>
            <w:r>
              <w:rPr>
                <w:rFonts w:ascii="Arial" w:cs="Arial" w:eastAsia="Arial" w:hAnsi="Arial"/>
                <w:sz w:val="16"/>
                <w:szCs w:val="16"/>
                <w:color w:val="auto"/>
              </w:rPr>
              <w:t>Total current liabilites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90,871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101,466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115,644</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9,143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23,422</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liabilites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264,727</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540" w:type="dxa"/>
            <w:vAlign w:val="bottom"/>
          </w:tcPr>
          <w:p>
            <w:pPr>
              <w:ind w:left="360"/>
              <w:spacing w:after="0" w:line="148" w:lineRule="exact"/>
              <w:rPr>
                <w:sz w:val="20"/>
                <w:szCs w:val="20"/>
                <w:color w:val="auto"/>
              </w:rPr>
            </w:pPr>
            <w:r>
              <w:rPr>
                <w:rFonts w:ascii="Arial" w:cs="Arial" w:eastAsia="Arial" w:hAnsi="Arial"/>
                <w:sz w:val="16"/>
                <w:szCs w:val="16"/>
                <w:color w:val="auto"/>
                <w:w w:val="97"/>
              </w:rPr>
              <w:t>Common shares; authorized: 60,000,000 shares of $0.01 par value; 20,850,454 and 20,889,777 shares</w:t>
            </w:r>
          </w:p>
        </w:tc>
        <w:tc>
          <w:tcPr>
            <w:tcW w:w="3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4"/>
        </w:trPr>
        <w:tc>
          <w:tcPr>
            <w:tcW w:w="7540" w:type="dxa"/>
            <w:vAlign w:val="bottom"/>
          </w:tcPr>
          <w:p>
            <w:pPr>
              <w:ind w:left="360"/>
              <w:spacing w:after="0"/>
              <w:rPr>
                <w:sz w:val="20"/>
                <w:szCs w:val="20"/>
                <w:color w:val="auto"/>
              </w:rPr>
            </w:pPr>
            <w:r>
              <w:rPr>
                <w:rFonts w:ascii="Arial" w:cs="Arial" w:eastAsia="Arial" w:hAnsi="Arial"/>
                <w:sz w:val="16"/>
                <w:szCs w:val="16"/>
                <w:color w:val="auto"/>
              </w:rPr>
              <w:t>issued and outstanding for 2023 and 2022, respectvely</w:t>
            </w:r>
          </w:p>
        </w:tc>
        <w:tc>
          <w:tcPr>
            <w:tcW w:w="3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Additonal paid-in capital</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46,717</w:t>
            </w:r>
          </w:p>
        </w:tc>
        <w:tc>
          <w:tcPr>
            <w:tcW w:w="0" w:type="dxa"/>
            <w:vAlign w:val="bottom"/>
          </w:tcPr>
          <w:p>
            <w:pPr>
              <w:spacing w:after="0"/>
              <w:rPr>
                <w:sz w:val="1"/>
                <w:szCs w:val="1"/>
                <w:color w:val="auto"/>
              </w:rPr>
            </w:pPr>
          </w:p>
        </w:tc>
      </w:tr>
      <w:tr>
        <w:trPr>
          <w:trHeight w:val="210"/>
        </w:trPr>
        <w:tc>
          <w:tcPr>
            <w:tcW w:w="75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302,424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254,384</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10"/>
        </w:trPr>
        <w:tc>
          <w:tcPr>
            <w:tcW w:w="7540" w:type="dxa"/>
            <w:vAlign w:val="bottom"/>
          </w:tcPr>
          <w:p>
            <w:pPr>
              <w:ind w:left="112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302,601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liabilites and shareholders’ equity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590,535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567,328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fnancial statements.</w:t>
      </w:r>
    </w:p>
    <w:p>
      <w:pPr>
        <w:sectPr>
          <w:pgSz w:w="11900" w:h="16838" w:orient="portrait"/>
          <w:cols w:equalWidth="0" w:num="1">
            <w:col w:w="11240"/>
          </w:cols>
          <w:pgMar w:left="320" w:top="9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HAWKINS,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252"/>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9"/>
        </w:trPr>
        <w:tc>
          <w:tcPr>
            <w:tcW w:w="5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9"/>
        </w:trPr>
        <w:tc>
          <w:tcPr>
            <w:tcW w:w="5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02, 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03, 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March 28, 2021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596,871</w:t>
            </w: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(473,109)</w:t>
            </w:r>
          </w:p>
        </w:tc>
      </w:tr>
      <w:tr>
        <w:trPr>
          <w:trHeight w:val="238"/>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proft</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Selling, general and administratve expenses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(67,884)</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Operatng income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w:t>
            </w:r>
          </w:p>
        </w:tc>
      </w:tr>
      <w:tr>
        <w:trPr>
          <w:trHeight w:val="235"/>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(1,467)</w:t>
            </w: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82,582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69,979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55,851</w:t>
            </w:r>
          </w:p>
        </w:tc>
      </w:tr>
      <w:tr>
        <w:trPr>
          <w:trHeight w:val="24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(14,871)</w:t>
            </w:r>
          </w:p>
        </w:tc>
      </w:tr>
      <w:tr>
        <w:trPr>
          <w:trHeight w:val="222"/>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40,980</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5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20,848,077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20,947,234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21,024,344</w:t>
            </w:r>
          </w:p>
        </w:tc>
      </w:tr>
      <w:tr>
        <w:trPr>
          <w:trHeight w:val="24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21,014,905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21,135,258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21,260,296</w:t>
            </w:r>
          </w:p>
        </w:tc>
      </w:tr>
      <w:tr>
        <w:trPr>
          <w:trHeight w:val="270"/>
        </w:trPr>
        <w:tc>
          <w:tcPr>
            <w:tcW w:w="5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1"/>
        </w:trPr>
        <w:tc>
          <w:tcPr>
            <w:tcW w:w="5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7"/>
        </w:trPr>
        <w:tc>
          <w:tcPr>
            <w:tcW w:w="578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0.57000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0.52250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0.47125</w:t>
            </w:r>
          </w:p>
        </w:tc>
      </w:tr>
    </w:tbl>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1"/>
              </w:rPr>
              <w:t>Fiscal Year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43"/>
        </w:trPr>
        <w:tc>
          <w:tcPr>
            <w:tcW w:w="6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April 2, 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April 3, 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28, 2021</w:t>
            </w:r>
          </w:p>
        </w:tc>
      </w:tr>
      <w:tr>
        <w:trPr>
          <w:trHeight w:val="256"/>
        </w:trPr>
        <w:tc>
          <w:tcPr>
            <w:tcW w:w="6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35"/>
        </w:trPr>
        <w:tc>
          <w:tcPr>
            <w:tcW w:w="6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60,041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51,542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40,980</w:t>
            </w:r>
          </w:p>
        </w:tc>
      </w:tr>
      <w:tr>
        <w:trPr>
          <w:trHeight w:val="238"/>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Unrealized gain on interest rate swap</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61,690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52,833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41,059</w:t>
            </w:r>
          </w:p>
        </w:tc>
      </w:tr>
      <w:tr>
        <w:trPr>
          <w:trHeight w:val="21"/>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HAWKINS, INC.</w:t>
      </w:r>
    </w:p>
    <w:p>
      <w:pPr>
        <w:spacing w:after="0" w:line="24" w:lineRule="exact"/>
        <w:rPr>
          <w:sz w:val="20"/>
          <w:szCs w:val="20"/>
          <w:color w:val="auto"/>
        </w:rPr>
      </w:pPr>
    </w:p>
    <w:p>
      <w:pPr>
        <w:ind w:right="1100"/>
        <w:spacing w:after="0" w:line="323" w:lineRule="auto"/>
        <w:rPr>
          <w:sz w:val="20"/>
          <w:szCs w:val="20"/>
          <w:color w:val="auto"/>
        </w:rPr>
      </w:pPr>
      <w:r>
        <w:rPr>
          <w:rFonts w:ascii="Arial" w:cs="Arial" w:eastAsia="Arial" w:hAnsi="Arial"/>
          <w:sz w:val="16"/>
          <w:szCs w:val="16"/>
          <w:b w:val="1"/>
          <w:bCs w:val="1"/>
          <w:color w:val="auto"/>
        </w:rPr>
        <w:t>CONSOLIDATED STATEMENTS OF SHAREHOLDERS’ EQUITY (In thousands, except share data)</w:t>
      </w:r>
    </w:p>
    <w:p>
      <w:pPr>
        <w:spacing w:after="0" w:line="26"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41910</wp:posOffset>
            </wp:positionV>
            <wp:extent cx="1620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43" w:lineRule="exact"/>
        <w:rPr>
          <w:sz w:val="20"/>
          <w:szCs w:val="20"/>
          <w:color w:val="auto"/>
        </w:rPr>
      </w:pPr>
    </w:p>
    <w:p>
      <w:pPr>
        <w:jc w:val="both"/>
        <w:ind w:left="3580"/>
        <w:spacing w:after="0"/>
        <w:tabs>
          <w:tab w:leader="none" w:pos="48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w w:val="95"/>
              </w:rPr>
              <w:t>Additonal</w:t>
            </w:r>
          </w:p>
        </w:tc>
        <w:tc>
          <w:tcPr>
            <w:tcW w:w="11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Retained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Accumulated Other</w:t>
            </w: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8"/>
        </w:trPr>
        <w:tc>
          <w:tcPr>
            <w:tcW w:w="980" w:type="dxa"/>
            <w:vAlign w:val="bottom"/>
          </w:tcPr>
          <w:p>
            <w:pPr>
              <w:jc w:val="center"/>
              <w:ind w:right="308"/>
              <w:spacing w:after="0" w:line="138" w:lineRule="exact"/>
              <w:rPr>
                <w:sz w:val="20"/>
                <w:szCs w:val="20"/>
                <w:color w:val="auto"/>
              </w:rPr>
            </w:pPr>
            <w:r>
              <w:rPr>
                <w:rFonts w:ascii="Arial" w:cs="Arial" w:eastAsia="Arial" w:hAnsi="Arial"/>
                <w:sz w:val="14"/>
                <w:szCs w:val="14"/>
                <w:b w:val="1"/>
                <w:bCs w:val="1"/>
                <w:color w:val="auto"/>
                <w:w w:val="85"/>
              </w:rPr>
              <w:t>Paid-in</w:t>
            </w:r>
          </w:p>
        </w:tc>
        <w:tc>
          <w:tcPr>
            <w:tcW w:w="1180" w:type="dxa"/>
            <w:vAlign w:val="bottom"/>
            <w:vMerge w:val="continue"/>
          </w:tcPr>
          <w:p>
            <w:pPr>
              <w:spacing w:after="0"/>
              <w:rPr>
                <w:sz w:val="11"/>
                <w:szCs w:val="11"/>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7"/>
              </w:rPr>
              <w:t>Comprehensive</w:t>
            </w:r>
          </w:p>
        </w:tc>
        <w:tc>
          <w:tcPr>
            <w:tcW w:w="1040" w:type="dxa"/>
            <w:vAlign w:val="bottom"/>
          </w:tcPr>
          <w:p>
            <w:pPr>
              <w:jc w:val="center"/>
              <w:ind w:left="148"/>
              <w:spacing w:after="0" w:line="138"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84"/>
        </w:trPr>
        <w:tc>
          <w:tcPr>
            <w:tcW w:w="980" w:type="dxa"/>
            <w:vAlign w:val="bottom"/>
          </w:tcPr>
          <w:p>
            <w:pPr>
              <w:jc w:val="center"/>
              <w:ind w:right="308"/>
              <w:spacing w:after="0"/>
              <w:rPr>
                <w:sz w:val="20"/>
                <w:szCs w:val="20"/>
                <w:color w:val="auto"/>
              </w:rPr>
            </w:pPr>
            <w:r>
              <w:rPr>
                <w:rFonts w:ascii="Arial" w:cs="Arial" w:eastAsia="Arial" w:hAnsi="Arial"/>
                <w:sz w:val="14"/>
                <w:szCs w:val="14"/>
                <w:b w:val="1"/>
                <w:bCs w:val="1"/>
                <w:color w:val="auto"/>
                <w:w w:val="85"/>
              </w:rPr>
              <w:t>Capital</w:t>
            </w:r>
          </w:p>
        </w:tc>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Earnings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5400" w:space="720"/>
            <w:col w:w="5100"/>
          </w:cols>
          <w:pgMar w:left="320" w:top="915" w:right="359" w:bottom="1440" w:gutter="0" w:footer="0" w:header="0"/>
        </w:sectPr>
      </w:pPr>
    </w:p>
    <w:tbl>
      <w:tblPr>
        <w:tblLayout w:type="fixed"/>
        <w:tblInd w:w="0" w:type="dxa"/>
        <w:tblCellMar>
          <w:top w:w="0" w:type="dxa"/>
          <w:left w:w="0" w:type="dxa"/>
          <w:bottom w:w="0" w:type="dxa"/>
          <w:right w:w="0" w:type="dxa"/>
        </w:tblCellMar>
      </w:tblPr>
      <w:tr>
        <w:trPr>
          <w:trHeight w:val="25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March 29, 2020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21,024,458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233,484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dividends declared and paid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(10,029)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(10,029)</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Share-based compensaton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Vestng of restricted stock</w:t>
            </w:r>
          </w:p>
        </w:tc>
        <w:tc>
          <w:tcPr>
            <w:tcW w:w="1220" w:type="dxa"/>
            <w:vAlign w:val="bottom"/>
          </w:tcPr>
          <w:p>
            <w:pPr>
              <w:jc w:val="right"/>
              <w:spacing w:after="0"/>
              <w:rPr>
                <w:sz w:val="20"/>
                <w:szCs w:val="20"/>
                <w:color w:val="auto"/>
              </w:rPr>
            </w:pPr>
            <w:r>
              <w:rPr>
                <w:rFonts w:ascii="Arial" w:cs="Arial" w:eastAsia="Arial" w:hAnsi="Arial"/>
                <w:sz w:val="17"/>
                <w:szCs w:val="17"/>
                <w:color w:val="auto"/>
              </w:rPr>
              <w:t>26,542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surrendered for payroll taxes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5"/>
        </w:trPr>
        <w:tc>
          <w:tcPr>
            <w:tcW w:w="3160" w:type="dxa"/>
            <w:vAlign w:val="bottom"/>
          </w:tcPr>
          <w:p>
            <w:pPr>
              <w:ind w:left="360"/>
              <w:spacing w:after="0"/>
              <w:rPr>
                <w:sz w:val="20"/>
                <w:szCs w:val="20"/>
                <w:color w:val="auto"/>
              </w:rPr>
            </w:pPr>
            <w:r>
              <w:rPr>
                <w:rFonts w:ascii="Arial" w:cs="Arial" w:eastAsia="Arial" w:hAnsi="Arial"/>
                <w:sz w:val="17"/>
                <w:szCs w:val="17"/>
                <w:color w:val="auto"/>
              </w:rPr>
              <w:t>ESPP shares issued</w:t>
            </w:r>
          </w:p>
        </w:tc>
        <w:tc>
          <w:tcPr>
            <w:tcW w:w="1220" w:type="dxa"/>
            <w:vAlign w:val="bottom"/>
          </w:tcPr>
          <w:p>
            <w:pPr>
              <w:jc w:val="right"/>
              <w:spacing w:after="0"/>
              <w:rPr>
                <w:sz w:val="20"/>
                <w:szCs w:val="20"/>
                <w:color w:val="auto"/>
              </w:rPr>
            </w:pPr>
            <w:r>
              <w:rPr>
                <w:rFonts w:ascii="Arial" w:cs="Arial" w:eastAsia="Arial" w:hAnsi="Arial"/>
                <w:sz w:val="17"/>
                <w:szCs w:val="17"/>
                <w:color w:val="auto"/>
              </w:rPr>
              <w:t>88,148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repurchased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(4,140)</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Other comprehensive loss, net of tax</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40,980</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Arial" w:cs="Arial" w:eastAsia="Arial" w:hAnsi="Arial"/>
                <w:sz w:val="17"/>
                <w:szCs w:val="17"/>
                <w:color w:val="auto"/>
              </w:rPr>
              <w:t>BALANCE — March 28, 2021</w:t>
            </w:r>
          </w:p>
        </w:tc>
        <w:tc>
          <w:tcPr>
            <w:tcW w:w="1220" w:type="dxa"/>
            <w:vAlign w:val="bottom"/>
          </w:tcPr>
          <w:p>
            <w:pPr>
              <w:jc w:val="right"/>
              <w:spacing w:after="0"/>
              <w:rPr>
                <w:sz w:val="20"/>
                <w:szCs w:val="20"/>
                <w:color w:val="auto"/>
              </w:rPr>
            </w:pPr>
            <w:r>
              <w:rPr>
                <w:rFonts w:ascii="Arial" w:cs="Arial" w:eastAsia="Arial" w:hAnsi="Arial"/>
                <w:sz w:val="17"/>
                <w:szCs w:val="17"/>
                <w:color w:val="auto"/>
              </w:rPr>
              <w:t>20,969,746</w:t>
            </w:r>
          </w:p>
        </w:tc>
        <w:tc>
          <w:tcPr>
            <w:tcW w:w="60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210</w:t>
            </w: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51,138</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213,898</w:t>
            </w:r>
          </w:p>
        </w:tc>
        <w:tc>
          <w:tcPr>
            <w:tcW w:w="600" w:type="dxa"/>
            <w:vAlign w:val="bottom"/>
            <w:gridSpan w:val="2"/>
          </w:tcPr>
          <w:p>
            <w:pPr>
              <w:jc w:val="right"/>
              <w:ind w:right="29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265,246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Cash dividends declared and paid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(11,056)</w:t>
            </w:r>
          </w:p>
        </w:tc>
        <w:tc>
          <w:tcPr>
            <w:tcW w:w="0" w:type="dxa"/>
            <w:vAlign w:val="bottom"/>
          </w:tcPr>
          <w:p>
            <w:pPr>
              <w:spacing w:after="0"/>
              <w:rPr>
                <w:sz w:val="1"/>
                <w:szCs w:val="1"/>
                <w:color w:val="auto"/>
              </w:rPr>
            </w:pPr>
          </w:p>
        </w:tc>
      </w:tr>
      <w:tr>
        <w:trPr>
          <w:trHeight w:val="215"/>
        </w:trPr>
        <w:tc>
          <w:tcPr>
            <w:tcW w:w="3160" w:type="dxa"/>
            <w:vAlign w:val="bottom"/>
          </w:tcPr>
          <w:p>
            <w:pPr>
              <w:ind w:left="360"/>
              <w:spacing w:after="0"/>
              <w:rPr>
                <w:sz w:val="20"/>
                <w:szCs w:val="20"/>
                <w:color w:val="auto"/>
              </w:rPr>
            </w:pPr>
            <w:r>
              <w:rPr>
                <w:rFonts w:ascii="Arial" w:cs="Arial" w:eastAsia="Arial" w:hAnsi="Arial"/>
                <w:sz w:val="17"/>
                <w:szCs w:val="17"/>
                <w:color w:val="auto"/>
              </w:rPr>
              <w:t>Share-based compensaton expense</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Vestng of restricted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134,230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Shares surrendered for payroll taxes</w:t>
            </w:r>
          </w:p>
        </w:tc>
        <w:tc>
          <w:tcPr>
            <w:tcW w:w="1220" w:type="dxa"/>
            <w:vAlign w:val="bottom"/>
          </w:tcPr>
          <w:p>
            <w:pPr>
              <w:jc w:val="right"/>
              <w:spacing w:after="0"/>
              <w:rPr>
                <w:sz w:val="20"/>
                <w:szCs w:val="20"/>
                <w:color w:val="auto"/>
              </w:rPr>
            </w:pPr>
            <w:r>
              <w:rPr>
                <w:rFonts w:ascii="Arial" w:cs="Arial" w:eastAsia="Arial" w:hAnsi="Arial"/>
                <w:sz w:val="17"/>
                <w:szCs w:val="17"/>
                <w:color w:val="auto"/>
              </w:rPr>
              <w:t>(45,390)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(1,467)</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ESPP shares issued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Shares repurchased</w:t>
            </w:r>
          </w:p>
        </w:tc>
        <w:tc>
          <w:tcPr>
            <w:tcW w:w="1220" w:type="dxa"/>
            <w:vAlign w:val="bottom"/>
          </w:tcPr>
          <w:p>
            <w:pPr>
              <w:jc w:val="right"/>
              <w:spacing w:after="0"/>
              <w:rPr>
                <w:sz w:val="20"/>
                <w:szCs w:val="20"/>
                <w:color w:val="auto"/>
              </w:rPr>
            </w:pPr>
            <w:r>
              <w:rPr>
                <w:rFonts w:ascii="Arial" w:cs="Arial" w:eastAsia="Arial" w:hAnsi="Arial"/>
                <w:sz w:val="17"/>
                <w:szCs w:val="17"/>
                <w:color w:val="auto"/>
              </w:rPr>
              <w:t>(240,501)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(8,545)</w:t>
            </w:r>
          </w:p>
        </w:tc>
        <w:tc>
          <w:tcPr>
            <w:tcW w:w="0" w:type="dxa"/>
            <w:vAlign w:val="bottom"/>
          </w:tcPr>
          <w:p>
            <w:pPr>
              <w:spacing w:after="0"/>
              <w:rPr>
                <w:sz w:val="1"/>
                <w:szCs w:val="1"/>
                <w:color w:val="auto"/>
              </w:rPr>
            </w:pPr>
          </w:p>
        </w:tc>
      </w:tr>
      <w:tr>
        <w:trPr>
          <w:trHeight w:val="159"/>
        </w:trPr>
        <w:tc>
          <w:tcPr>
            <w:tcW w:w="3160" w:type="dxa"/>
            <w:vAlign w:val="bottom"/>
            <w:shd w:val="clear" w:color="auto" w:fill="CCEEFF"/>
          </w:tcPr>
          <w:p>
            <w:pPr>
              <w:ind w:left="360"/>
              <w:spacing w:after="0" w:line="159" w:lineRule="exact"/>
              <w:rPr>
                <w:sz w:val="20"/>
                <w:szCs w:val="20"/>
                <w:color w:val="auto"/>
              </w:rPr>
            </w:pPr>
            <w:r>
              <w:rPr>
                <w:rFonts w:ascii="Arial" w:cs="Arial" w:eastAsia="Arial" w:hAnsi="Arial"/>
                <w:sz w:val="17"/>
                <w:szCs w:val="17"/>
                <w:color w:val="auto"/>
              </w:rPr>
              <w:t>Other comprehensive income, net of</w:t>
            </w: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tax</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51,542</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April 3,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20,889,777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302,601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7"/>
                <w:szCs w:val="17"/>
                <w:color w:val="auto"/>
              </w:rPr>
              <w:t>Cash dividends declared and paid</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(12,001)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(12,001)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Share-based compensaton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Vestng of restricted stock</w:t>
            </w:r>
          </w:p>
        </w:tc>
        <w:tc>
          <w:tcPr>
            <w:tcW w:w="1220" w:type="dxa"/>
            <w:vAlign w:val="bottom"/>
          </w:tcPr>
          <w:p>
            <w:pPr>
              <w:jc w:val="right"/>
              <w:spacing w:after="0"/>
              <w:rPr>
                <w:sz w:val="20"/>
                <w:szCs w:val="20"/>
                <w:color w:val="auto"/>
              </w:rPr>
            </w:pPr>
            <w:r>
              <w:rPr>
                <w:rFonts w:ascii="Arial" w:cs="Arial" w:eastAsia="Arial" w:hAnsi="Arial"/>
                <w:sz w:val="17"/>
                <w:szCs w:val="17"/>
                <w:color w:val="auto"/>
              </w:rPr>
              <w:t>113,147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surrendered for payroll taxes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22"/>
        </w:trPr>
        <w:tc>
          <w:tcPr>
            <w:tcW w:w="3160" w:type="dxa"/>
            <w:vAlign w:val="bottom"/>
          </w:tcPr>
          <w:p>
            <w:pPr>
              <w:ind w:left="360"/>
              <w:spacing w:after="0"/>
              <w:rPr>
                <w:sz w:val="20"/>
                <w:szCs w:val="20"/>
                <w:color w:val="auto"/>
              </w:rPr>
            </w:pPr>
            <w:r>
              <w:rPr>
                <w:rFonts w:ascii="Arial" w:cs="Arial" w:eastAsia="Arial" w:hAnsi="Arial"/>
                <w:sz w:val="17"/>
                <w:szCs w:val="17"/>
                <w:color w:val="auto"/>
              </w:rPr>
              <w:t>ESPP shares issued</w:t>
            </w:r>
          </w:p>
        </w:tc>
        <w:tc>
          <w:tcPr>
            <w:tcW w:w="1220" w:type="dxa"/>
            <w:vAlign w:val="bottom"/>
          </w:tcPr>
          <w:p>
            <w:pPr>
              <w:jc w:val="right"/>
              <w:spacing w:after="0"/>
              <w:rPr>
                <w:sz w:val="20"/>
                <w:szCs w:val="20"/>
                <w:color w:val="auto"/>
              </w:rPr>
            </w:pPr>
            <w:r>
              <w:rPr>
                <w:rFonts w:ascii="Arial" w:cs="Arial" w:eastAsia="Arial" w:hAnsi="Arial"/>
                <w:sz w:val="17"/>
                <w:szCs w:val="17"/>
                <w:color w:val="auto"/>
              </w:rPr>
              <w:t>65,597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2,008</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repurchased</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(181,657)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(6,557)</w:t>
            </w:r>
          </w:p>
        </w:tc>
        <w:tc>
          <w:tcPr>
            <w:tcW w:w="0" w:type="dxa"/>
            <w:vAlign w:val="bottom"/>
          </w:tcPr>
          <w:p>
            <w:pPr>
              <w:spacing w:after="0"/>
              <w:rPr>
                <w:sz w:val="1"/>
                <w:szCs w:val="1"/>
                <w:color w:val="auto"/>
              </w:rPr>
            </w:pPr>
          </w:p>
        </w:tc>
      </w:tr>
      <w:tr>
        <w:trPr>
          <w:trHeight w:val="148"/>
        </w:trPr>
        <w:tc>
          <w:tcPr>
            <w:tcW w:w="3160" w:type="dxa"/>
            <w:vAlign w:val="bottom"/>
          </w:tcPr>
          <w:p>
            <w:pPr>
              <w:ind w:left="360"/>
              <w:spacing w:after="0" w:line="149" w:lineRule="exact"/>
              <w:rPr>
                <w:sz w:val="20"/>
                <w:szCs w:val="20"/>
                <w:color w:val="auto"/>
              </w:rPr>
            </w:pPr>
            <w:r>
              <w:rPr>
                <w:rFonts w:ascii="Arial" w:cs="Arial" w:eastAsia="Arial" w:hAnsi="Arial"/>
                <w:sz w:val="17"/>
                <w:szCs w:val="17"/>
                <w:color w:val="auto"/>
              </w:rPr>
              <w:t>Other comprehensive income, net of</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1,649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1,649</w:t>
            </w:r>
          </w:p>
        </w:tc>
        <w:tc>
          <w:tcPr>
            <w:tcW w:w="0" w:type="dxa"/>
            <w:vAlign w:val="bottom"/>
          </w:tcPr>
          <w:p>
            <w:pPr>
              <w:spacing w:after="0"/>
              <w:rPr>
                <w:sz w:val="1"/>
                <w:szCs w:val="1"/>
                <w:color w:val="auto"/>
              </w:rPr>
            </w:pPr>
          </w:p>
        </w:tc>
      </w:tr>
      <w:tr>
        <w:trPr>
          <w:trHeight w:val="214"/>
        </w:trPr>
        <w:tc>
          <w:tcPr>
            <w:tcW w:w="3160" w:type="dxa"/>
            <w:vAlign w:val="bottom"/>
          </w:tcPr>
          <w:p>
            <w:pPr>
              <w:ind w:left="360"/>
              <w:spacing w:after="0"/>
              <w:rPr>
                <w:sz w:val="20"/>
                <w:szCs w:val="20"/>
                <w:color w:val="auto"/>
              </w:rPr>
            </w:pPr>
            <w:r>
              <w:rPr>
                <w:rFonts w:ascii="Arial" w:cs="Arial" w:eastAsia="Arial" w:hAnsi="Arial"/>
                <w:sz w:val="17"/>
                <w:szCs w:val="17"/>
                <w:color w:val="auto"/>
              </w:rPr>
              <w:t>tax</w:t>
            </w: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60,041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60,041</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line="194" w:lineRule="exact"/>
              <w:rPr>
                <w:sz w:val="20"/>
                <w:szCs w:val="20"/>
                <w:color w:val="auto"/>
              </w:rPr>
            </w:pPr>
            <w:r>
              <w:rPr>
                <w:rFonts w:ascii="Arial" w:cs="Arial" w:eastAsia="Arial" w:hAnsi="Arial"/>
                <w:sz w:val="17"/>
                <w:szCs w:val="17"/>
                <w:color w:val="auto"/>
              </w:rPr>
              <w:t>BALANCE — April 2, 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20,850,454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44,443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302,424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350,016</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5" w:right="359" w:bottom="1440" w:gutter="0" w:footer="0" w:header="0"/>
          <w:type w:val="continuous"/>
        </w:sectPr>
      </w:pPr>
    </w:p>
    <w:bookmarkStart w:id="30" w:name="page31"/>
    <w:bookmarkEnd w:id="30"/>
    <w:p>
      <w:pPr>
        <w:ind w:left="660"/>
        <w:spacing w:after="0"/>
        <w:rPr>
          <w:sz w:val="20"/>
          <w:szCs w:val="20"/>
          <w:color w:val="auto"/>
        </w:rPr>
      </w:pPr>
      <w:r>
        <w:rPr>
          <w:rFonts w:ascii="Arial" w:cs="Arial" w:eastAsia="Arial" w:hAnsi="Arial"/>
          <w:sz w:val="18"/>
          <w:szCs w:val="18"/>
          <w:b w:val="1"/>
          <w:bCs w:val="1"/>
          <w:color w:val="auto"/>
        </w:rPr>
        <w:t>HAWKINS, INC.</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160"/>
              <w:spacing w:after="0"/>
              <w:rPr>
                <w:sz w:val="20"/>
                <w:szCs w:val="20"/>
                <w:color w:val="auto"/>
              </w:rPr>
            </w:pPr>
            <w:r>
              <w:rPr>
                <w:rFonts w:ascii="Arial" w:cs="Arial" w:eastAsia="Arial" w:hAnsi="Arial"/>
                <w:sz w:val="14"/>
                <w:szCs w:val="14"/>
                <w:b w:val="1"/>
                <w:bCs w:val="1"/>
                <w:color w:val="auto"/>
                <w:w w:val="89"/>
              </w:rPr>
              <w:t>Fiscal Year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9"/>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April 2, 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April 3, 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March 28, 2021</w:t>
            </w:r>
          </w:p>
        </w:tc>
      </w:tr>
      <w:tr>
        <w:trPr>
          <w:trHeight w:val="20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60,041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51,542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40,980</w:t>
            </w: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Reconciliaton to cash fows provided by operatng actvites: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5860" w:type="dxa"/>
            <w:vAlign w:val="bottom"/>
          </w:tcPr>
          <w:p>
            <w:pPr>
              <w:ind w:left="680"/>
              <w:spacing w:after="0"/>
              <w:rPr>
                <w:sz w:val="20"/>
                <w:szCs w:val="20"/>
                <w:color w:val="auto"/>
              </w:rPr>
            </w:pPr>
            <w:r>
              <w:rPr>
                <w:rFonts w:ascii="Arial" w:cs="Arial" w:eastAsia="Arial" w:hAnsi="Arial"/>
                <w:sz w:val="16"/>
                <w:szCs w:val="16"/>
                <w:color w:val="auto"/>
              </w:rPr>
              <w:t>Depreciaton and amortzaton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22,669</w:t>
            </w:r>
          </w:p>
        </w:tc>
      </w:tr>
      <w:tr>
        <w:trPr>
          <w:trHeight w:val="222"/>
        </w:trPr>
        <w:tc>
          <w:tcPr>
            <w:tcW w:w="5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Operatng leases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r>
      <w:tr>
        <w:trPr>
          <w:trHeight w:val="210"/>
        </w:trPr>
        <w:tc>
          <w:tcPr>
            <w:tcW w:w="5860" w:type="dxa"/>
            <w:vAlign w:val="bottom"/>
          </w:tcPr>
          <w:p>
            <w:pPr>
              <w:ind w:left="680"/>
              <w:spacing w:after="0"/>
              <w:rPr>
                <w:sz w:val="20"/>
                <w:szCs w:val="20"/>
                <w:color w:val="auto"/>
              </w:rPr>
            </w:pPr>
            <w:r>
              <w:rPr>
                <w:rFonts w:ascii="Arial" w:cs="Arial" w:eastAsia="Arial" w:hAnsi="Arial"/>
                <w:sz w:val="16"/>
                <w:szCs w:val="16"/>
                <w:color w:val="auto"/>
              </w:rPr>
              <w:t>Loss (gain) on deferred compensaton assets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(1,440)</w:t>
            </w:r>
          </w:p>
        </w:tc>
      </w:tr>
      <w:tr>
        <w:trPr>
          <w:trHeight w:val="222"/>
        </w:trPr>
        <w:tc>
          <w:tcPr>
            <w:tcW w:w="5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0"/>
        </w:trPr>
        <w:tc>
          <w:tcPr>
            <w:tcW w:w="5860" w:type="dxa"/>
            <w:vAlign w:val="bottom"/>
          </w:tcPr>
          <w:p>
            <w:pPr>
              <w:ind w:left="680"/>
              <w:spacing w:after="0"/>
              <w:rPr>
                <w:sz w:val="20"/>
                <w:szCs w:val="20"/>
                <w:color w:val="auto"/>
              </w:rPr>
            </w:pPr>
            <w:r>
              <w:rPr>
                <w:rFonts w:ascii="Arial" w:cs="Arial" w:eastAsia="Arial" w:hAnsi="Arial"/>
                <w:sz w:val="16"/>
                <w:szCs w:val="16"/>
                <w:color w:val="auto"/>
              </w:rPr>
              <w:t>Stock compensaton expense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3,343</w:t>
            </w:r>
          </w:p>
        </w:tc>
      </w:tr>
      <w:tr>
        <w:trPr>
          <w:trHeight w:val="222"/>
        </w:trPr>
        <w:tc>
          <w:tcPr>
            <w:tcW w:w="5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from asset disposals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0"/>
        </w:trPr>
        <w:tc>
          <w:tcPr>
            <w:tcW w:w="586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55"/>
        </w:trPr>
        <w:tc>
          <w:tcPr>
            <w:tcW w:w="5860" w:type="dxa"/>
            <w:vAlign w:val="bottom"/>
            <w:shd w:val="clear" w:color="auto" w:fill="CCEEFF"/>
          </w:tcPr>
          <w:p>
            <w:pPr>
              <w:ind w:left="840"/>
              <w:spacing w:after="0" w:line="155" w:lineRule="exact"/>
              <w:rPr>
                <w:sz w:val="20"/>
                <w:szCs w:val="20"/>
                <w:color w:val="auto"/>
              </w:rPr>
            </w:pPr>
            <w:r>
              <w:rPr>
                <w:rFonts w:ascii="Arial" w:cs="Arial" w:eastAsia="Arial" w:hAnsi="Arial"/>
                <w:sz w:val="16"/>
                <w:szCs w:val="16"/>
                <w:color w:val="auto"/>
              </w:rPr>
              <w:t>Changes in operatng accounts (using) providing cash, net of</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09"/>
        </w:trPr>
        <w:tc>
          <w:tcPr>
            <w:tcW w:w="58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acquisitons:</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0"/>
        </w:trPr>
        <w:tc>
          <w:tcPr>
            <w:tcW w:w="58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(21,323)</w:t>
            </w:r>
          </w:p>
        </w:tc>
      </w:tr>
      <w:tr>
        <w:trPr>
          <w:trHeight w:val="222"/>
        </w:trPr>
        <w:tc>
          <w:tcPr>
            <w:tcW w:w="5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(7,960)</w:t>
            </w:r>
          </w:p>
        </w:tc>
      </w:tr>
      <w:tr>
        <w:trPr>
          <w:trHeight w:val="210"/>
        </w:trPr>
        <w:tc>
          <w:tcPr>
            <w:tcW w:w="58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2,551</w:t>
            </w:r>
          </w:p>
        </w:tc>
      </w:tr>
      <w:tr>
        <w:trPr>
          <w:trHeight w:val="222"/>
        </w:trPr>
        <w:tc>
          <w:tcPr>
            <w:tcW w:w="5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7,554</w:t>
            </w:r>
          </w:p>
        </w:tc>
      </w:tr>
      <w:tr>
        <w:trPr>
          <w:trHeight w:val="210"/>
        </w:trPr>
        <w:tc>
          <w:tcPr>
            <w:tcW w:w="5860" w:type="dxa"/>
            <w:vAlign w:val="bottom"/>
          </w:tcPr>
          <w:p>
            <w:pPr>
              <w:ind w:left="1120"/>
              <w:spacing w:after="0"/>
              <w:rPr>
                <w:sz w:val="20"/>
                <w:szCs w:val="20"/>
                <w:color w:val="auto"/>
              </w:rPr>
            </w:pPr>
            <w:r>
              <w:rPr>
                <w:rFonts w:ascii="Arial" w:cs="Arial" w:eastAsia="Arial" w:hAnsi="Arial"/>
                <w:sz w:val="16"/>
                <w:szCs w:val="16"/>
                <w:color w:val="auto"/>
              </w:rPr>
              <w:t>Lease liabilites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(1,837)</w:t>
            </w:r>
          </w:p>
        </w:tc>
      </w:tr>
      <w:tr>
        <w:trPr>
          <w:trHeight w:val="222"/>
        </w:trPr>
        <w:tc>
          <w:tcPr>
            <w:tcW w:w="5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0"/>
        </w:trPr>
        <w:tc>
          <w:tcPr>
            <w:tcW w:w="5860" w:type="dxa"/>
            <w:vAlign w:val="bottom"/>
          </w:tcPr>
          <w:p>
            <w:pPr>
              <w:ind w:left="1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r>
      <w:tr>
        <w:trPr>
          <w:trHeight w:val="216"/>
        </w:trPr>
        <w:tc>
          <w:tcPr>
            <w:tcW w:w="5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operatng actvites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43,793</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Additons to property, plant, and equipment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(20,794)</w:t>
            </w: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Acquisitons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(21,546)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(51,000)</w:t>
            </w:r>
          </w:p>
        </w:tc>
      </w:tr>
      <w:tr>
        <w:trPr>
          <w:trHeight w:val="216"/>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asset disposals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09"/>
        </w:trPr>
        <w:tc>
          <w:tcPr>
            <w:tcW w:w="5860" w:type="dxa"/>
            <w:vAlign w:val="bottom"/>
          </w:tcPr>
          <w:p>
            <w:pPr>
              <w:ind w:left="1440"/>
              <w:spacing w:after="0"/>
              <w:rPr>
                <w:sz w:val="20"/>
                <w:szCs w:val="20"/>
                <w:color w:val="auto"/>
              </w:rPr>
            </w:pPr>
            <w:r>
              <w:rPr>
                <w:rFonts w:ascii="Arial" w:cs="Arial" w:eastAsia="Arial" w:hAnsi="Arial"/>
                <w:sz w:val="16"/>
                <w:szCs w:val="16"/>
                <w:color w:val="auto"/>
              </w:rPr>
              <w:t>Net cash used in investng actvites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(71,432)</w:t>
            </w: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Cash dividends paid</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(10,029)</w:t>
            </w: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Payments for debt issuance costs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senior secured revolving loan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w:t>
            </w: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Borrowings on senior secured revolving loan</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76,000</w:t>
            </w:r>
          </w:p>
        </w:tc>
      </w:tr>
      <w:tr>
        <w:trPr>
          <w:trHeight w:val="209"/>
        </w:trPr>
        <w:tc>
          <w:tcPr>
            <w:tcW w:w="5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Net cash (used in) provided by fnancing actvites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26,360</w:t>
            </w:r>
          </w:p>
        </w:tc>
      </w:tr>
      <w:tr>
        <w:trPr>
          <w:trHeight w:val="209"/>
        </w:trPr>
        <w:tc>
          <w:tcPr>
            <w:tcW w:w="5860" w:type="dxa"/>
            <w:vAlign w:val="bottom"/>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(1,279)</w:t>
            </w:r>
          </w:p>
        </w:tc>
      </w:tr>
      <w:tr>
        <w:trPr>
          <w:trHeight w:val="216"/>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CASH AND CASH EQUIVALENTS - end of year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7,566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3,496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2,998</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SUPPLEMENTAL DISCLOSURES OF CASH FLOW INFORMATION-</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0"/>
        </w:trPr>
        <w:tc>
          <w:tcPr>
            <w:tcW w:w="5860" w:type="dxa"/>
            <w:vAlign w:val="bottom"/>
          </w:tcPr>
          <w:p>
            <w:pPr>
              <w:ind w:left="360"/>
              <w:spacing w:after="0"/>
              <w:rPr>
                <w:sz w:val="20"/>
                <w:szCs w:val="20"/>
                <w:color w:val="auto"/>
              </w:rPr>
            </w:pPr>
            <w:r>
              <w:rPr>
                <w:rFonts w:ascii="Arial" w:cs="Arial" w:eastAsia="Arial" w:hAnsi="Arial"/>
                <w:sz w:val="16"/>
                <w:szCs w:val="16"/>
                <w:color w:val="auto"/>
              </w:rPr>
              <w:t>Cash paid during the year for income taxes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19,485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19,726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15,783</w:t>
            </w:r>
          </w:p>
        </w:tc>
      </w:tr>
      <w:tr>
        <w:trPr>
          <w:trHeight w:val="222"/>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r>
      <w:tr>
        <w:trPr>
          <w:trHeight w:val="204"/>
        </w:trPr>
        <w:tc>
          <w:tcPr>
            <w:tcW w:w="5860" w:type="dxa"/>
            <w:vAlign w:val="bottom"/>
          </w:tcPr>
          <w:p>
            <w:pPr>
              <w:ind w:left="360"/>
              <w:spacing w:after="0"/>
              <w:rPr>
                <w:sz w:val="20"/>
                <w:szCs w:val="20"/>
                <w:color w:val="auto"/>
              </w:rPr>
            </w:pPr>
            <w:r>
              <w:rPr>
                <w:rFonts w:ascii="Arial" w:cs="Arial" w:eastAsia="Arial" w:hAnsi="Arial"/>
                <w:sz w:val="16"/>
                <w:szCs w:val="16"/>
                <w:color w:val="auto"/>
              </w:rPr>
              <w:t>Noncash investng actvites - Capital expenditures in accounts payable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626</w:t>
            </w:r>
          </w:p>
        </w:tc>
      </w:tr>
    </w:tbl>
    <w:p>
      <w:pPr>
        <w:spacing w:after="0" w:line="200" w:lineRule="exact"/>
        <w:rPr>
          <w:sz w:val="20"/>
          <w:szCs w:val="20"/>
          <w:color w:val="auto"/>
        </w:rPr>
      </w:pPr>
    </w:p>
    <w:p>
      <w:pPr>
        <w:spacing w:after="0" w:line="36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consolidated fnancial statements.</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672" w:right="99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Signifcant Accountng Policies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three reportable segments: Industrial, Water Treatment and Health and Nutriton. The Industrial Group specializes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industrial chemicals, products and services to industries such as agriculture, chemical processing, electronics, energy, food, pharmaceutcal and platng. This group also manufactures and sells certain food-grade products, including liquid phosphates, lactates and other blended products. The Water Treatment Group specializes in providing chemicals, products, equipment, services and solutons for potable water, municipal and industrial wastewater, industrial process water, non-residental swimming pool water and agricultural water. This group has the resources and fexibility to treat systems ranging in size from a single small well to a mult-million-gallon-per-day facility. Our Health and Nutriton Group specializes in providing ingredient distributon, processing and formulaton solutons to manufacturers of nutraceutcal, functonal food and beverage, personal care, dietary supplement and other nutritonal food, health and wellness products. This group ofers a diverse product portolio including minerals, vitamins and amino acids, excipients, joint products, botanicals and herbs, sweeteners and enzymes.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fscal year is a 52 or 53-week year ending on the Sunday closest to March 31. Our fscal 2023 was 52 weeks, fscal 2022 was 53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fscal 2021 was 52 weeks. Fiscal 2024 will be 52 weeks.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Principles of Consolidaton - </w:t>
      </w:r>
      <w:r>
        <w:rPr>
          <w:rFonts w:ascii="Arial" w:cs="Arial" w:eastAsia="Arial" w:hAnsi="Arial"/>
          <w:sz w:val="18"/>
          <w:szCs w:val="18"/>
          <w:color w:val="auto"/>
        </w:rPr>
        <w:t>The consolidated fnancial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transactons and accounts have been eliminated.</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Estmates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preparaton of fnancial statements in conformity with U.S. generally accepted accountng principles (“GAAP”) requires management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estmates and assumptons that afect the reported amounts of assets and liabilites, partcularly receivables, inventories, property, plant and equipment, right-of-use assets, goodwill, intangibles, accrued expenses, short-term and long-term lease liabilites, income taxes and related accounts and the reported amounts of revenues and expenses during the reportng period. Actual results could difer from those estmates.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Recogniton - </w:t>
      </w:r>
      <w:r>
        <w:rPr>
          <w:rFonts w:ascii="Arial" w:cs="Arial" w:eastAsia="Arial" w:hAnsi="Arial"/>
          <w:sz w:val="18"/>
          <w:szCs w:val="18"/>
          <w:color w:val="auto"/>
        </w:rPr>
        <w:t>Revenue is measured as the amount of consideraton we expect to receive in exchange for transferring products. Revenue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when we satsfy our performance obligatons under the contract. We recognize revenue upon transfer of control of the promised products to the customer, with revenue recognized at the point in tme the customer obtains control of the products. Net sales include products and shipping charges, net of estmates for product returns and any related sales rebates. We estmate product returns based on historical return rates. Using probability assessments, we estmate sales rebates expected to be paid over the term of the contract. The majority of our contracts have a single performance obligaton and are short term in nature. Sales taxes that are collected from customers and remited to governmental authorites are accounted for on a net basis and therefore are excluded from net sales. We ofer certain customers cash discounts and volume rebates as sales incentves. The discounts and volume rebates are recorded as a reducton in sales at the tme revenue is recognized in an amount estmated based on historical experience and contractual obligatons.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fnancial assets and liabilites that are re-measured and reported at fair value for each reportng period are an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swap and marketable securites. There are no fair value measurements with respect to nonfnancial assets or liabilites that are recognized or disclosed at fair value in our consolidated fnancial statements on a recurring basis.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Assets and liabilites measured at fair value are classifed using the following hierarchy, which is based upon the transparency of inputs to the valuaton as of the measurement date: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Valuaton is based on quoted prices in actve markets for identcal assets or liabilites.</w:t>
      </w:r>
    </w:p>
    <w:p>
      <w:pPr>
        <w:spacing w:after="0" w:line="252" w:lineRule="exact"/>
        <w:rPr>
          <w:sz w:val="20"/>
          <w:szCs w:val="20"/>
          <w:color w:val="auto"/>
        </w:rPr>
      </w:pPr>
    </w:p>
    <w:p>
      <w:pPr>
        <w:jc w:val="both"/>
        <w:ind w:left="220" w:firstLine="243"/>
        <w:spacing w:after="0" w:line="26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Valuaton is based on quoted prices in actve markets for similar assets or liabilites, or quoted prices for identcal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liabilites in markets that are not actve, or inputs other than quoted prices that are observable or can be corroborated by observable market data for the asset or liability.</w:t>
      </w:r>
    </w:p>
    <w:p>
      <w:pPr>
        <w:spacing w:after="0" w:line="132" w:lineRule="exact"/>
        <w:rPr>
          <w:sz w:val="20"/>
          <w:szCs w:val="20"/>
          <w:color w:val="auto"/>
        </w:rPr>
      </w:pPr>
    </w:p>
    <w:p>
      <w:pPr>
        <w:jc w:val="both"/>
        <w:ind w:left="220" w:firstLine="243"/>
        <w:spacing w:after="0" w:line="27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Valuaton is based upon unobservable inputs for the asset or liability that are supported by litle or no market actvity. These fair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pricing models for which the assumptons utlize management’s estmates or market partcipant assumptons.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diferent levels of the hierarchy, the level within which the fair value measurement is categorized is based on the lowest level input that is signifcant to the fair value measurement.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cash balances, maintained at large commercial banking insttutons with strong credit ratngs, typically exceed federally insured limits.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Trade Receivables and Concentratons of Credit Risk - </w:t>
      </w:r>
      <w:r>
        <w:rPr>
          <w:rFonts w:ascii="Arial" w:cs="Arial" w:eastAsia="Arial" w:hAnsi="Arial"/>
          <w:sz w:val="16"/>
          <w:szCs w:val="16"/>
          <w:color w:val="auto"/>
        </w:rPr>
        <w:t>Financial instruments, which potentally subject us to a concentraton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diferent industries. As of April 2, 2023, we had a signifcant concentraton of credit risk, with a single customer representng approximately 15% of our total trade receivables. There are no other concentratons of credit risk with other single customers from a partcular service or geographic area that would signifcantly impact us in the near term.</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reduce credit risk, we routnely assess the fnancial strength of our customers. Receivables are reported net of an allowance for credit losses as determined by management at the end of each reportng period. Our receivable allowance is based on an estmate of expected credit losses, with the estmate based on a number of qualitatve and quanttatve factors that, based on collecton experience, may have an impact on repayment risk and ability to collect.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consistng primarily of fnished goods, are primarily valued at the lower of cost or net realizable value, with cost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79% of our inventory determined using the last-in, frst-out (“LIFO”) method. Cost for the other 21% of our total inventory is determined using the frst-in, frst-out (“FIFO”) method.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determine if an arrangement is a lease at incepton. Right-of-use ("ROU") assets include operatng leases. Lease liabilites for operatng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classifed in "short-term lease liabilites" and "long-term lease liabilites" in our consolidated balance sheet.</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ROU assets and related liabilites are recognized at commencement date based on the present value of the lease payments over the lease term. As most of our leases do not provide an implicit rate, we use our incremental borrowing rate based on the informaton available at commencement date in determining the present value of lease payments. Lease terms may include optons to extend or terminate the lease when it is reasonably certain that we will exercise that opton. Lease expense for lease payments is recognized on a straight-line basis over the lease term.</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Property, Plant and Equipment - </w:t>
      </w:r>
      <w:r>
        <w:rPr>
          <w:rFonts w:ascii="Arial" w:cs="Arial" w:eastAsia="Arial" w:hAnsi="Arial"/>
          <w:sz w:val="17"/>
          <w:szCs w:val="17"/>
          <w:color w:val="auto"/>
        </w:rPr>
        <w:t>Property is stated at cost and depreciated or amortzed over the lives of the assets, using the straight-line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Estmated lives are generally: 10 to 40 years for buildings and improvements; 3 to 20 years for machinery and equipment; and 3 to 10 years for transportaton equipment and ofce furniture and equipment including computer systems. Leasehold improvements are amortzed over the lesser of their estmated useful lives or the remaining lease term. Depreciaton and amortzaton expense is recorded in our Consolidated Statement of Income within cost of goods sold and selling, general and administratve expense, depending on the use of the underlying asset. We recorded depreciaton expense of $20.5 million for fscal 2023, $17.7 million for fscal 2022 and $16.8 million for fscal 2021.</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Signifcant improvements that add to productve capacity or extend the lives of propertes are capitalized. Costs for repairs and maintenance are charged to expense as incurred. When property is retred or otherwise disposed of, the cost and related accumulated depreciaton or amortzaton are removed from the accounts and any related gains or losses are included in income.</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signifcant reductons in projected future cash fows. The assessment of possible impairment is based on our ability to recover the carrying value of the asset group from the expected future pre-tax cash fows (undiscounted) of the related asset group. If these cash fows are less than the carrying value of such asset group, an impairment loss would be measured by the amount the carrying value exceeds the fair value of the long-lived asset group. The measurement of impairment requires us to estmate future cash fows and the fair value of long-lived assets. We did not incur any asset write-of charge in fscal 2023 or fscal 2022 related to the impairment of long-lived assets, and incurred immaterial write-of charges in fscal 2021.</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Goodwill and Identfable Intangible Assets - </w:t>
      </w:r>
      <w:r>
        <w:rPr>
          <w:rFonts w:ascii="Arial" w:cs="Arial" w:eastAsia="Arial" w:hAnsi="Arial"/>
          <w:sz w:val="17"/>
          <w:szCs w:val="17"/>
          <w:color w:val="auto"/>
        </w:rPr>
        <w:t>Goodwill represents the excess of the cost of acquired businesses over the fair value of identfable 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assets and identfable intangible assets purchased. Goodwill is tested at least annually for impairment and is tested for impairment more frequently if events or changes in circumstances indicate that the asset might be impaired. Our annual test for impairment is as of the frst day of our fourth fscal quarter. As of January 2, 2023, we performed an analysis of qualitatve factors for our Industrial, Water Treatment and Health and Nutriton reportng units to determine whether it is more likely than not that the fair value of either of these reportng units was less than its carrying amount as a basis for determining whether it is necessary to perform a quanttatve goodwill impairment test. Based on management’s analysis of qualitatve factors, we determined that it was not necessary to perform a quanttatve goodwill impairment test for any of these reportng units.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Goodwill impairment assessments were also completed in the fourth quarters of fscal 2022 and 2021 and, similarly, we did not record a goodwill impairment charge.</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primary identfable intangible assets include customer relatonships, trademarks and tradenames acquired in previous business acquisitons. Identfable intangible assets with fnite lives are amortzed whereas identfable intangible assets with indefnite lives are not amortzed. The values assigned to the intangible assets with fnite lives are being amortzed on average over a remaining useful life of approximately 11 years. Identfable intangible assets that are subject to amortzaton are evaluated for impairment whenever events or changes in circumstances indicate that the carrying amount may not be recoverable. No such events or changes in circumstances occurred during fscal 2023, 2022 or 2021. Identfable intangible assets not subject to amortzaton are tested for impairment annually or more frequently if events warrant. The impairment test consists of a qualitatve assessment to determine whether it is more likely than not that the asset is impaired. Based on management’s analysis of qualitatve factors, we determined that it was not necessary to perform an annual quanttatve impairment test for fscal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Deferred taxes are provided for diferences between the fnancial statement and tax basis of assets and liabilites using enacted tax rates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efect for the year in which the diferences are expected to reverse. A valuaton allowance is provided to ofset deferred tax assets if, based on the available evidence, it is more likely than not that some or all of the value of the deferred tax assets will not be realized. We record any interest and penaltes related to income taxes as income tax expense in the consolidated statements of income.</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Stock-Based Compensaton - </w:t>
      </w:r>
      <w:r>
        <w:rPr>
          <w:rFonts w:ascii="Arial" w:cs="Arial" w:eastAsia="Arial" w:hAnsi="Arial"/>
          <w:sz w:val="18"/>
          <w:szCs w:val="18"/>
          <w:color w:val="auto"/>
        </w:rPr>
        <w:t>We account for stock-based compensaton on a fair value basis. The estmated grant date fair value of each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recognized in expense over the requisite service period (generally the vestng period). Non-vested share awards are recorded as expense over the requisite service periods based on the stock price on the 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Earnings Per Share - </w:t>
      </w:r>
      <w:r>
        <w:rPr>
          <w:rFonts w:ascii="Arial" w:cs="Arial" w:eastAsia="Arial" w:hAnsi="Arial"/>
          <w:sz w:val="17"/>
          <w:szCs w:val="17"/>
          <w:color w:val="auto"/>
        </w:rPr>
        <w:t>Basic earnings per share (“EPS”) are computed by dividing net income by the weighted-average number of common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Diluted EPS are computed by dividing net income by the weighted-average number of common shares outstanding including the incremental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shares assumed to be issued as performance units and restricted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were calculated using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5"/>
                <w:szCs w:val="15"/>
                <w:color w:val="auto"/>
              </w:rPr>
            </w:pPr>
          </w:p>
        </w:tc>
        <w:tc>
          <w:tcPr>
            <w:tcW w:w="1700" w:type="dxa"/>
            <w:vAlign w:val="bottom"/>
          </w:tcPr>
          <w:p>
            <w:pPr>
              <w:jc w:val="right"/>
              <w:ind w:right="355"/>
              <w:spacing w:after="0"/>
              <w:rPr>
                <w:sz w:val="20"/>
                <w:szCs w:val="20"/>
                <w:color w:val="auto"/>
              </w:rPr>
            </w:pPr>
            <w:r>
              <w:rPr>
                <w:rFonts w:ascii="Arial" w:cs="Arial" w:eastAsia="Arial" w:hAnsi="Arial"/>
                <w:sz w:val="14"/>
                <w:szCs w:val="14"/>
                <w:b w:val="1"/>
                <w:bCs w:val="1"/>
                <w:color w:val="auto"/>
              </w:rPr>
              <w:t>April 02, 2023</w:t>
            </w:r>
          </w:p>
        </w:tc>
        <w:tc>
          <w:tcPr>
            <w:tcW w:w="100" w:type="dxa"/>
            <w:vAlign w:val="bottom"/>
          </w:tcPr>
          <w:p>
            <w:pPr>
              <w:spacing w:after="0"/>
              <w:rPr>
                <w:sz w:val="15"/>
                <w:szCs w:val="15"/>
                <w:color w:val="auto"/>
              </w:rPr>
            </w:pPr>
          </w:p>
        </w:tc>
        <w:tc>
          <w:tcPr>
            <w:tcW w:w="1700" w:type="dxa"/>
            <w:vAlign w:val="bottom"/>
          </w:tcPr>
          <w:p>
            <w:pPr>
              <w:jc w:val="right"/>
              <w:ind w:right="359"/>
              <w:spacing w:after="0"/>
              <w:rPr>
                <w:sz w:val="20"/>
                <w:szCs w:val="20"/>
                <w:color w:val="auto"/>
              </w:rPr>
            </w:pPr>
            <w:r>
              <w:rPr>
                <w:rFonts w:ascii="Arial" w:cs="Arial" w:eastAsia="Arial" w:hAnsi="Arial"/>
                <w:sz w:val="14"/>
                <w:szCs w:val="14"/>
                <w:b w:val="1"/>
                <w:bCs w:val="1"/>
                <w:color w:val="auto"/>
              </w:rPr>
              <w:t>April 03, 2022</w:t>
            </w:r>
          </w:p>
        </w:tc>
        <w:tc>
          <w:tcPr>
            <w:tcW w:w="100" w:type="dxa"/>
            <w:vAlign w:val="bottom"/>
          </w:tcPr>
          <w:p>
            <w:pPr>
              <w:spacing w:after="0"/>
              <w:rPr>
                <w:sz w:val="15"/>
                <w:szCs w:val="15"/>
                <w:color w:val="auto"/>
              </w:rPr>
            </w:pPr>
          </w:p>
        </w:tc>
        <w:tc>
          <w:tcPr>
            <w:tcW w:w="1700" w:type="dxa"/>
            <w:vAlign w:val="bottom"/>
          </w:tcPr>
          <w:p>
            <w:pPr>
              <w:jc w:val="right"/>
              <w:ind w:right="299"/>
              <w:spacing w:after="0"/>
              <w:rPr>
                <w:sz w:val="20"/>
                <w:szCs w:val="20"/>
                <w:color w:val="auto"/>
              </w:rPr>
            </w:pPr>
            <w:r>
              <w:rPr>
                <w:rFonts w:ascii="Arial" w:cs="Arial" w:eastAsia="Arial" w:hAnsi="Arial"/>
                <w:sz w:val="14"/>
                <w:szCs w:val="14"/>
                <w:b w:val="1"/>
                <w:bCs w:val="1"/>
                <w:color w:val="auto"/>
              </w:rPr>
              <w:t>March 28, 2021</w:t>
            </w:r>
          </w:p>
        </w:tc>
      </w:tr>
      <w:tr>
        <w:trPr>
          <w:trHeight w:val="29"/>
        </w:trPr>
        <w:tc>
          <w:tcPr>
            <w:tcW w:w="59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20,848,077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20,947,234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21,024,344</w:t>
            </w:r>
          </w:p>
        </w:tc>
      </w:tr>
      <w:tr>
        <w:trPr>
          <w:trHeight w:val="228"/>
        </w:trPr>
        <w:tc>
          <w:tcPr>
            <w:tcW w:w="5920" w:type="dxa"/>
            <w:vAlign w:val="bottom"/>
          </w:tcPr>
          <w:p>
            <w:pPr>
              <w:ind w:left="20"/>
              <w:spacing w:after="0"/>
              <w:rPr>
                <w:sz w:val="20"/>
                <w:szCs w:val="20"/>
                <w:color w:val="auto"/>
              </w:rPr>
            </w:pPr>
            <w:r>
              <w:rPr>
                <w:rFonts w:ascii="Arial" w:cs="Arial" w:eastAsia="Arial" w:hAnsi="Arial"/>
                <w:sz w:val="18"/>
                <w:szCs w:val="18"/>
                <w:color w:val="auto"/>
              </w:rPr>
              <w:t>Dilutve impact of stock performance units and restricted stock</w:t>
            </w:r>
          </w:p>
        </w:tc>
        <w:tc>
          <w:tcPr>
            <w:tcW w:w="1700" w:type="dxa"/>
            <w:vAlign w:val="bottom"/>
          </w:tcPr>
          <w:p>
            <w:pPr>
              <w:jc w:val="right"/>
              <w:spacing w:after="0"/>
              <w:rPr>
                <w:sz w:val="20"/>
                <w:szCs w:val="20"/>
                <w:color w:val="auto"/>
              </w:rPr>
            </w:pPr>
            <w:r>
              <w:rPr>
                <w:rFonts w:ascii="Arial" w:cs="Arial" w:eastAsia="Arial" w:hAnsi="Arial"/>
                <w:sz w:val="18"/>
                <w:szCs w:val="18"/>
                <w:color w:val="auto"/>
              </w:rPr>
              <w:t>166,828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188,024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235,952</w:t>
            </w: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21,014,905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21,135,258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21,260,296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or stock optons excluded from the calculaton of weighted average common shares for diluted EPS for fscal 2023, 2022 or 2021.</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Derivatve Instruments and Hedging Actvites - </w:t>
      </w:r>
      <w:r>
        <w:rPr>
          <w:rFonts w:ascii="Arial" w:cs="Arial" w:eastAsia="Arial" w:hAnsi="Arial"/>
          <w:sz w:val="17"/>
          <w:szCs w:val="17"/>
          <w:color w:val="auto"/>
        </w:rPr>
        <w:t>We are subject to interest rate risk associated with our variable rate debt. We have in place an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swap agreement which has been designated as a cash fow hedge, the purpose of which is to eliminate the cash fow impact of interest rate changes on a porton of our variable-rate debt. The interest rate swap is measured at fair value on the contract date and is subsequently remeasured to fair value at each reportng date. Changes in the fair value of a derivatve that is highly efectve, and that is designated and qualifes as a cash fow hedge, are recorded in other comprehensive income, untl the consolidated statement of income is afected by the variability in cash fows of the designated hedged item. To the extent that the hedge is inefectve, changes in the fair value are recognized in the Statement of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that any recently issued accountng pronouncements will have a material efect on our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Asset Sales and Acquisitons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Sale of bleach packaging assets: </w:t>
      </w:r>
      <w:r>
        <w:rPr>
          <w:rFonts w:ascii="Arial" w:cs="Arial" w:eastAsia="Arial" w:hAnsi="Arial"/>
          <w:sz w:val="17"/>
          <w:szCs w:val="17"/>
          <w:color w:val="auto"/>
        </w:rPr>
        <w:t>On March 30, 2023, we sold certain assets in our Industrial segment related to our consumer bleach packaging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$7 million. These assets were not core to our Industrial segment operatons, where we tend to focus our manufacturing operatons on bulk products. The assets sold included plant equipment, inventory and intangible assets, all related to the packaging of bleach. We realized a gain of $3 million on this sale, which has been recorded within selling, general and administratve expenses.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Acquisiton of NAPCO Chemical Company, Inc.: </w:t>
      </w:r>
      <w:r>
        <w:rPr>
          <w:rFonts w:ascii="Arial" w:cs="Arial" w:eastAsia="Arial" w:hAnsi="Arial"/>
          <w:sz w:val="17"/>
          <w:szCs w:val="17"/>
          <w:color w:val="auto"/>
        </w:rPr>
        <w:t>In the fourth quarter of fscal 2022, we acquired substantally all the assets of NAPCO Chemical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("NAPCO") for $19.0 million, under the terms of an asset purchase agreement with NAPCO and certain other partes thereto, to further the geographic reach of our Water Treatment segment. NAPCO manufactured and distributed water treatment chemicals from three locatons in Texas.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acquisiton was accounted for as a business combinaton, under which the total purchase price is allocated to the net tangible and intangible assets and liabilites of NAPCO acquired in connecton with the acquisiton based on their estmated fair values. We estmated the fair values of the assets acquired and liabilites assumed using a discounted cash fow analysis (income approach). Of the total $19 million purchase price, we allocated $9.4 million to fnite-lived intangible assets, primarily customer relatonships to be amortzed over 18 years, $3.6 million to property, plant and equipment and $1.5 million to net working capital. The residual amount of $4.5 million was allocated to goodwill. The goodwill recognized as a result of this acquisiton is primarily atributable to strategic and synergistc benefts, as well as the assembled workforce. Such goodwill is expected to be deductble for tax purposes.</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Acquisiton of Water and Waste Specialtes, Inc.: </w:t>
      </w:r>
      <w:r>
        <w:rPr>
          <w:rFonts w:ascii="Arial" w:cs="Arial" w:eastAsia="Arial" w:hAnsi="Arial"/>
          <w:sz w:val="16"/>
          <w:szCs w:val="16"/>
          <w:color w:val="auto"/>
        </w:rPr>
        <w:t>In the third quarter of fscal 2022, we acquired substantally all the assets of Water and Waste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Specialtes, Inc., under the terms of a purchase agreement with Water and Waste Specialtes and its shareholders, to further the geographic reach of our Water Treatment segment. We paid $1.4 million at closing for the acquisiton. Water and Waste Specialtes was a water treatment chemical distributon company operatng primarily in Alabama.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Acquisiton of Southeast Water Systems LLC: </w:t>
      </w:r>
      <w:r>
        <w:rPr>
          <w:rFonts w:ascii="Arial" w:cs="Arial" w:eastAsia="Arial" w:hAnsi="Arial"/>
          <w:sz w:val="18"/>
          <w:szCs w:val="18"/>
          <w:color w:val="auto"/>
        </w:rPr>
        <w:t>In the second quarter of fscal 2022, we acquired substantally all the assets of Southeast Water Systems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terms of an asset purchase agreement with Southeast Water Systems and its shareholders, to further the geographic reach of our Water Treatment segment. We paid $1.2 million at closing for the acquisiton and may pay up to an additonal $1.0 million over the three years following the acquisiton date based on achieving certain goals. Southeast Water Systems supplied and installed water treatment chemical equipment to its customers located primarily in Alabama, southern Georgia and the Florida panhandle.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Acquisiton of C&amp;L Aqua Professionals, Inc. and LC Blending, Inc.</w:t>
      </w:r>
      <w:r>
        <w:rPr>
          <w:rFonts w:ascii="Arial" w:cs="Arial" w:eastAsia="Arial" w:hAnsi="Arial"/>
          <w:sz w:val="16"/>
          <w:szCs w:val="16"/>
          <w:color w:val="auto"/>
        </w:rPr>
        <w:t>: In fscal 2021, we acquired substantally all the assets of C&amp;L Aqua Professionals,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LC Blending, Inc. (together, "C&amp;L Aqua") under the terms of an asset purchase agreement among us, C&amp;L Aqua and its shareholders, to further the geographic reach of our Water Treatment segment. We paid $16 million for the acquisiton. C&amp;L Aqua was a water treatment chemical distributon company operatng primarily in Louisiana.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Acquisiton of Property</w:t>
      </w:r>
      <w:r>
        <w:rPr>
          <w:rFonts w:ascii="Arial" w:cs="Arial" w:eastAsia="Arial" w:hAnsi="Arial"/>
          <w:sz w:val="18"/>
          <w:szCs w:val="18"/>
          <w:color w:val="auto"/>
        </w:rPr>
        <w:t>: In fscal 2021, we acquired a manufacturing facility on 28 acres located adjacent to our facility in Rosemount, Minnesota to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expansion and growth in both our Industrial and Water Treatment segments. We paid $10 million for the property. The purchase of this facility added approximately 40,000 square feet of manufacturing and warehouse space to bring us to a total of 105,000 square feet of space at that tme on 56 acres of land in the area, with rail access at both of the sites to allow for future growth and provide for supply chain fexibility on certain raw materials to beter serve our customers.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Acquisiton of American Development Corporaton of Tennessee, Inc.</w:t>
      </w:r>
      <w:r>
        <w:rPr>
          <w:rFonts w:ascii="Arial" w:cs="Arial" w:eastAsia="Arial" w:hAnsi="Arial"/>
          <w:sz w:val="16"/>
          <w:szCs w:val="16"/>
          <w:color w:val="auto"/>
        </w:rPr>
        <w:t>: In fscal 2021, we acquired substantally all the assets of American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Corporaton of Tennessee, Inc. (“ADC”) under the terms of an asset purchase agreement among us, ADC and its shareholders, to further the geographic reach of our Water Treatment segment. We paid $25 million for the acquisiton. ADC was a water treatment chemical distributon company operatng primarily in Tennessee, Georgia and Kentucky. The results of operatons since the acquisiton date, and the assets, including the goodwill associated with this acquisiton, are included in our Water Treatment segment. Costs associated with this transacton were not material and were expensed as incurred.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revenue arrangements generally consist of a single performance obligaton to transfer promised goods or services. We disaggregate revenues from contracts with customers by both operatng segments and types of product sold. Reportng by operatng segment is pertnent to understanding our revenues, as it aligns to how we review the fnancial performance of our operatons. Types of products sold within each operatng segment help us to further evaluate the fnancial performance of our segments.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Manufactured, blended or repackaged products </w:t>
      </w:r>
      <w:r>
        <w:rPr>
          <w:rFonts w:ascii="Arial" w:cs="Arial" w:eastAsia="Arial" w:hAnsi="Arial"/>
          <w:sz w:val="20"/>
          <w:szCs w:val="20"/>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p>
      <w:pPr>
        <w:ind w:left="20"/>
        <w:spacing w:after="0" w:line="226" w:lineRule="auto"/>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p>
      <w:pPr>
        <w:ind w:left="20"/>
        <w:spacing w:after="0" w:line="210" w:lineRule="auto"/>
        <w:rPr>
          <w:sz w:val="20"/>
          <w:szCs w:val="20"/>
          <w:color w:val="auto"/>
        </w:rPr>
      </w:pPr>
      <w:r>
        <w:rPr>
          <w:rFonts w:ascii="Arial" w:cs="Arial" w:eastAsia="Arial" w:hAnsi="Arial"/>
          <w:sz w:val="18"/>
          <w:szCs w:val="18"/>
          <w:color w:val="auto"/>
        </w:rPr>
        <w:t>Other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Fiscal Year Ended April 2,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Industrial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Water</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Health and</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Treatment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Nutriton</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 w:type="dxa"/>
            <w:vAlign w:val="bottom"/>
          </w:tcPr>
          <w:p>
            <w:pPr>
              <w:jc w:val="right"/>
              <w:ind w:right="10"/>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383,612</w:t>
            </w:r>
          </w:p>
        </w:tc>
        <w:tc>
          <w:tcPr>
            <w:tcW w:w="240" w:type="dxa"/>
            <w:vAlign w:val="bottom"/>
            <w:vMerge w:val="continue"/>
          </w:tcPr>
          <w:p>
            <w:pPr>
              <w:spacing w:after="0"/>
              <w:rPr>
                <w:sz w:val="17"/>
                <w:szCs w:val="17"/>
                <w:color w:val="auto"/>
              </w:rPr>
            </w:pP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271,448</w:t>
            </w:r>
          </w:p>
        </w:tc>
        <w:tc>
          <w:tcPr>
            <w:tcW w:w="240" w:type="dxa"/>
            <w:vAlign w:val="bottom"/>
            <w:vMerge w:val="continue"/>
          </w:tcPr>
          <w:p>
            <w:pPr>
              <w:spacing w:after="0"/>
              <w:rPr>
                <w:sz w:val="17"/>
                <w:szCs w:val="17"/>
                <w:color w:val="auto"/>
              </w:rPr>
            </w:pPr>
          </w:p>
        </w:tc>
        <w:tc>
          <w:tcPr>
            <w:tcW w:w="18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48,575</w:t>
            </w:r>
          </w:p>
        </w:tc>
        <w:tc>
          <w:tcPr>
            <w:tcW w:w="240" w:type="dxa"/>
            <w:vAlign w:val="bottom"/>
            <w:vMerge w:val="continue"/>
          </w:tcPr>
          <w:p>
            <w:pPr>
              <w:spacing w:after="0"/>
              <w:rPr>
                <w:sz w:val="17"/>
                <w:szCs w:val="17"/>
                <w:color w:val="auto"/>
              </w:rPr>
            </w:pPr>
          </w:p>
        </w:tc>
        <w:tc>
          <w:tcPr>
            <w:tcW w:w="280" w:type="dxa"/>
            <w:vAlign w:val="bottom"/>
          </w:tcPr>
          <w:p>
            <w:pPr>
              <w:jc w:val="right"/>
              <w:ind w:right="90"/>
              <w:spacing w:after="0" w:line="204"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703,635</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109,468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109,468</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105,475</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35"/>
        </w:trPr>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470,760</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304,925</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159,413</w:t>
            </w:r>
          </w:p>
        </w:tc>
        <w:tc>
          <w:tcPr>
            <w:tcW w:w="24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935,098</w:t>
            </w:r>
          </w:p>
        </w:tc>
        <w:tc>
          <w:tcPr>
            <w:tcW w:w="0" w:type="dxa"/>
            <w:vAlign w:val="bottom"/>
          </w:tcPr>
          <w:p>
            <w:pPr>
              <w:spacing w:after="0"/>
              <w:rPr>
                <w:sz w:val="1"/>
                <w:szCs w:val="1"/>
                <w:color w:val="auto"/>
              </w:rPr>
            </w:pP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-633730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-342265</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-1062355</wp:posOffset>
            </wp:positionV>
            <wp:extent cx="37636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63645" cy="8255"/>
                    </a:xfrm>
                    <a:prstGeom prst="rect">
                      <a:avLst/>
                    </a:prstGeom>
                    <a:noFill/>
                  </pic:spPr>
                </pic:pic>
              </a:graphicData>
            </a:graphic>
          </wp:anchor>
        </w:drawing>
      </w:r>
    </w:p>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Fiscal Year Ended April 3, 2022:</w:t>
      </w:r>
    </w:p>
    <w:p>
      <w:pPr>
        <w:spacing w:after="0" w:line="24" w:lineRule="exact"/>
        <w:rPr>
          <w:sz w:val="20"/>
          <w:szCs w:val="20"/>
          <w:color w:val="auto"/>
        </w:rPr>
      </w:pPr>
    </w:p>
    <w:p>
      <w:pPr>
        <w:sectPr>
          <w:pgSz w:w="11900" w:h="16838" w:orient="portrait"/>
          <w:cols w:equalWidth="0" w:num="2">
            <w:col w:w="4600" w:space="720"/>
            <w:col w:w="5920"/>
          </w:cols>
          <w:pgMar w:left="320" w:top="10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53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330"/>
              <w:spacing w:after="0" w:line="181" w:lineRule="exact"/>
              <w:rPr>
                <w:sz w:val="20"/>
                <w:szCs w:val="20"/>
                <w:color w:val="auto"/>
              </w:rPr>
            </w:pPr>
            <w:r>
              <w:rPr>
                <w:rFonts w:ascii="Arial" w:cs="Arial" w:eastAsia="Arial" w:hAnsi="Arial"/>
                <w:sz w:val="18"/>
                <w:szCs w:val="18"/>
                <w:b w:val="1"/>
                <w:bCs w:val="1"/>
                <w:color w:val="auto"/>
              </w:rPr>
              <w:t>Water</w:t>
            </w: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ind w:right="150"/>
              <w:spacing w:after="0" w:line="181" w:lineRule="exact"/>
              <w:rPr>
                <w:sz w:val="20"/>
                <w:szCs w:val="20"/>
                <w:color w:val="auto"/>
              </w:rPr>
            </w:pPr>
            <w:r>
              <w:rPr>
                <w:rFonts w:ascii="Arial" w:cs="Arial" w:eastAsia="Arial" w:hAnsi="Arial"/>
                <w:sz w:val="18"/>
                <w:szCs w:val="18"/>
                <w:b w:val="1"/>
                <w:bCs w:val="1"/>
                <w:color w:val="auto"/>
                <w:w w:val="93"/>
              </w:rPr>
              <w:t>Health and</w:t>
            </w: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6"/>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6"/>
              </w:rPr>
              <w:t>Treatment</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Nutriton</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318,514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205,350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34,690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558,554</w:t>
            </w:r>
          </w:p>
        </w:tc>
      </w:tr>
      <w:tr>
        <w:trPr>
          <w:trHeight w:val="243"/>
        </w:trPr>
        <w:tc>
          <w:tcPr>
            <w:tcW w:w="53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124,312</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81,654</w:t>
            </w:r>
          </w:p>
        </w:tc>
      </w:tr>
      <w:tr>
        <w:trPr>
          <w:trHeight w:val="22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w:t>
            </w:r>
          </w:p>
        </w:tc>
      </w:tr>
      <w:tr>
        <w:trPr>
          <w:trHeight w:val="234"/>
        </w:trPr>
        <w:tc>
          <w:tcPr>
            <w:tcW w:w="532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386,938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228,133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159,470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774,541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5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85"/>
              </w:rPr>
              <w:t>Fiscal Year Ended March 28, 2021:</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55"/>
        </w:trPr>
        <w:tc>
          <w:tcPr>
            <w:tcW w:w="5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330"/>
              <w:spacing w:after="0" w:line="156" w:lineRule="exact"/>
              <w:rPr>
                <w:sz w:val="20"/>
                <w:szCs w:val="20"/>
                <w:color w:val="auto"/>
              </w:rPr>
            </w:pPr>
            <w:r>
              <w:rPr>
                <w:rFonts w:ascii="Arial" w:cs="Arial" w:eastAsia="Arial" w:hAnsi="Arial"/>
                <w:sz w:val="18"/>
                <w:szCs w:val="18"/>
                <w:b w:val="1"/>
                <w:bCs w:val="1"/>
                <w:color w:val="auto"/>
              </w:rPr>
              <w:t>Water</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8"/>
                <w:szCs w:val="18"/>
                <w:b w:val="1"/>
                <w:bCs w:val="1"/>
                <w:color w:val="auto"/>
                <w:w w:val="93"/>
              </w:rPr>
              <w:t>Health and</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5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6"/>
              </w:rPr>
              <w:t>Industrial</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Treatment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Nutriton</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3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Manufactured, blended or repackaged products </w:t>
            </w:r>
            <w:r>
              <w:rPr>
                <w:rFonts w:ascii="Arial" w:cs="Arial" w:eastAsia="Arial" w:hAnsi="Arial"/>
                <w:sz w:val="23"/>
                <w:szCs w:val="23"/>
                <w:color w:val="auto"/>
                <w:vertAlign w:val="superscript"/>
              </w:rPr>
              <w:t>(1)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231,427</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152,694</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38,270</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422,391</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115,317</w:t>
            </w:r>
          </w:p>
        </w:tc>
      </w:tr>
      <w:tr>
        <w:trPr>
          <w:trHeight w:val="243"/>
        </w:trPr>
        <w:tc>
          <w:tcPr>
            <w:tcW w:w="53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38,378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16,067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54,445</w:t>
            </w:r>
          </w:p>
        </w:tc>
      </w:tr>
      <w:tr>
        <w:trPr>
          <w:trHeight w:val="22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Total external customer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273,361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170,004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153,506</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596,871</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left="660" w:hanging="328"/>
        <w:spacing w:after="0" w:line="25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1"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line includes non-manufactured distributed specialty products in our Health and Nutriton segment, which may be sold out of one of our facilites or direct shipped to our customers.</w:t>
      </w:r>
    </w:p>
    <w:p>
      <w:pPr>
        <w:ind w:left="660" w:hanging="328"/>
        <w:spacing w:after="0" w:line="25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line includes bulk products in our Industrial and Water Treatment segments that we do not modify in any way, but receive, store, and ship from our facilites, or direct ship to our customers in large quanttes.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Derivatve Instruments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 of the underlying notonal amount on which the interest payments are calculated. The notonal amount of the swap agreement is $60 million and it will terminate on May 1, 2027. We have designated this swap as a cash fow hedge and have determined that it qualifes for hedge accountng treatment. For so long as the hedge is efectve, changes in fair value of the cash fow hedge are recorded in other comprehensive income or loss (net of tax) untl income or loss from the cash fows of the hedged item is realized.</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previously had in place an interest rate swap agreement to manage the risk associated with a porton of our variable-rate long-term debt. The $20 million swap agreement terminated on December 23, 2020. We had designated this swap as a cash fow hedge and determined that it qualifed for hedge accountng treatment.</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fscal 2023, 2022 and 2021, we recorded $1.6 million, $1.3 million, and $0.1 million, respectvely, in other comprehensive income related to unrealized gains (net of tax) on the cash fow hedge. Included in other long-term assets on our consolidated balance sheet was $4.0 million as of April 2, 2023 and $1.8 million as of April 3, 2022.</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By their nature, derivatve instruments are subject to market risk. Derivatve instruments are also subject to credit risk associated with counterpartes to the derivatve contracts. Credit risk associated with derivatves is measured based on the replacement cost should the counterparty with a contract in a gain positon to us fail to perform under the terms of the contract. While the current interest rate swap is in efect, we do not antcipate nonperformance by the counterparty.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fnancial assets and liabilites are measured at fair value as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1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Assets and Liabilites Measured at Fair Value on a Recurring Basis. </w:t>
      </w:r>
      <w:r>
        <w:rPr>
          <w:rFonts w:ascii="Arial" w:cs="Arial" w:eastAsia="Arial" w:hAnsi="Arial"/>
          <w:sz w:val="17"/>
          <w:szCs w:val="17"/>
          <w:color w:val="auto"/>
        </w:rPr>
        <w:t>The fair value hierarchy requires the use of observable market data when available.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fnancial assets that are measured at fair value on a recurring basis are an interest rate swap and assets held in a deferred compensaton retrement plan. Both of these assets are classifed as other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April 2, 2023 and April 3,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April 2, 2023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April 3, 2022</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8"/>
        </w:trPr>
        <w:tc>
          <w:tcPr>
            <w:tcW w:w="4680" w:type="dxa"/>
            <w:vAlign w:val="bottom"/>
          </w:tcPr>
          <w:p>
            <w:pPr>
              <w:ind w:left="240"/>
              <w:spacing w:after="0"/>
              <w:rPr>
                <w:sz w:val="20"/>
                <w:szCs w:val="20"/>
                <w:color w:val="auto"/>
              </w:rPr>
            </w:pPr>
            <w:r>
              <w:rPr>
                <w:rFonts w:ascii="Arial" w:cs="Arial" w:eastAsia="Arial" w:hAnsi="Arial"/>
                <w:sz w:val="18"/>
                <w:szCs w:val="18"/>
                <w:color w:val="auto"/>
              </w:rPr>
              <w:t>Deferred compensaton plan assets</w:t>
            </w:r>
          </w:p>
        </w:tc>
        <w:tc>
          <w:tcPr>
            <w:tcW w:w="2680" w:type="dxa"/>
            <w:vAlign w:val="bottom"/>
          </w:tcPr>
          <w:p>
            <w:pPr>
              <w:ind w:left="1860"/>
              <w:spacing w:after="0"/>
              <w:rPr>
                <w:sz w:val="20"/>
                <w:szCs w:val="20"/>
                <w:color w:val="auto"/>
              </w:rPr>
            </w:pPr>
            <w:r>
              <w:rPr>
                <w:rFonts w:ascii="Arial" w:cs="Arial" w:eastAsia="Arial" w:hAnsi="Arial"/>
                <w:sz w:val="14"/>
                <w:szCs w:val="14"/>
                <w:color w:val="auto"/>
              </w:rPr>
              <w:t>Level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7,659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7,038</w:t>
            </w:r>
          </w:p>
        </w:tc>
      </w:tr>
      <w:tr>
        <w:trPr>
          <w:trHeight w:val="244"/>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w:t>
            </w:r>
          </w:p>
        </w:tc>
        <w:tc>
          <w:tcPr>
            <w:tcW w:w="2680" w:type="dxa"/>
            <w:vAlign w:val="bottom"/>
            <w:shd w:val="clear" w:color="auto" w:fill="CCEEFF"/>
          </w:tcPr>
          <w:p>
            <w:pPr>
              <w:ind w:left="1860"/>
              <w:spacing w:after="0"/>
              <w:rPr>
                <w:sz w:val="20"/>
                <w:szCs w:val="20"/>
                <w:color w:val="auto"/>
              </w:rPr>
            </w:pPr>
            <w:r>
              <w:rPr>
                <w:rFonts w:ascii="Arial" w:cs="Arial" w:eastAsia="Arial" w:hAnsi="Arial"/>
                <w:sz w:val="14"/>
                <w:szCs w:val="14"/>
                <w:color w:val="auto"/>
              </w:rPr>
              <w:t>Level 2</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April 2, 2023 and April 3, 2022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9"/>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2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7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128,589</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116,325</w:t>
            </w:r>
          </w:p>
        </w:tc>
        <w:tc>
          <w:tcPr>
            <w:tcW w:w="0" w:type="dxa"/>
            <w:vAlign w:val="bottom"/>
          </w:tcPr>
          <w:p>
            <w:pPr>
              <w:spacing w:after="0"/>
              <w:rPr>
                <w:sz w:val="1"/>
                <w:szCs w:val="1"/>
                <w:color w:val="auto"/>
              </w:rPr>
            </w:pPr>
          </w:p>
        </w:tc>
      </w:tr>
      <w:tr>
        <w:trPr>
          <w:trHeight w:val="228"/>
        </w:trPr>
        <w:tc>
          <w:tcPr>
            <w:tcW w:w="7280" w:type="dxa"/>
            <w:vAlign w:val="bottom"/>
          </w:tcPr>
          <w:p>
            <w:pPr>
              <w:ind w:left="20"/>
              <w:spacing w:after="0"/>
              <w:rPr>
                <w:sz w:val="20"/>
                <w:szCs w:val="20"/>
                <w:color w:val="auto"/>
              </w:rPr>
            </w:pPr>
            <w:r>
              <w:rPr>
                <w:rFonts w:ascii="Arial" w:cs="Arial" w:eastAsia="Arial" w:hAnsi="Arial"/>
                <w:sz w:val="18"/>
                <w:szCs w:val="18"/>
                <w:color w:val="auto"/>
              </w:rPr>
              <w:t>LIFO reserve</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(39,812)</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(21,340)</w:t>
            </w:r>
          </w:p>
        </w:tc>
        <w:tc>
          <w:tcPr>
            <w:tcW w:w="0" w:type="dxa"/>
            <w:vAlign w:val="bottom"/>
          </w:tcPr>
          <w:p>
            <w:pPr>
              <w:spacing w:after="0"/>
              <w:rPr>
                <w:sz w:val="1"/>
                <w:szCs w:val="1"/>
                <w:color w:val="auto"/>
              </w:rPr>
            </w:pPr>
          </w:p>
        </w:tc>
      </w:tr>
      <w:tr>
        <w:trPr>
          <w:trHeight w:val="251"/>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FIFO value of inventories accounted for under the LIFO method was $101.4 million at April 2, 2023 and $83.7 million at April 3, 2022. The remainder of the inventory was valued and accounted for under the FIFO method.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Identfable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each of our three reportable segments were as follows:</w:t>
      </w:r>
    </w:p>
    <w:p>
      <w:pPr>
        <w:spacing w:after="0" w:line="44" w:lineRule="exact"/>
        <w:rPr>
          <w:sz w:val="20"/>
          <w:szCs w:val="20"/>
          <w:color w:val="auto"/>
        </w:rPr>
      </w:pPr>
    </w:p>
    <w:p>
      <w:pPr>
        <w:ind w:left="20"/>
        <w:spacing w:after="0"/>
        <w:tabs>
          <w:tab w:leader="none" w:pos="6200" w:val="left"/>
          <w:tab w:leader="none" w:pos="7340" w:val="left"/>
          <w:tab w:leader="none" w:pos="8560" w:val="left"/>
          <w:tab w:leader="none" w:pos="1038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4"/>
          <w:szCs w:val="14"/>
          <w:b w:val="1"/>
          <w:bCs w:val="1"/>
          <w:color w:val="auto"/>
        </w:rPr>
        <w:t>Industrial</w:t>
      </w:r>
      <w:r>
        <w:rPr>
          <w:sz w:val="20"/>
          <w:szCs w:val="20"/>
          <w:color w:val="auto"/>
        </w:rPr>
        <w:tab/>
      </w:r>
      <w:r>
        <w:rPr>
          <w:rFonts w:ascii="Arial" w:cs="Arial" w:eastAsia="Arial" w:hAnsi="Arial"/>
          <w:sz w:val="14"/>
          <w:szCs w:val="14"/>
          <w:b w:val="1"/>
          <w:bCs w:val="1"/>
          <w:color w:val="auto"/>
        </w:rPr>
        <w:t>Water Treatment</w:t>
        <w:tab/>
        <w:t>Health and Nutriton</w:t>
      </w:r>
      <w:r>
        <w:rPr>
          <w:sz w:val="20"/>
          <w:szCs w:val="20"/>
          <w:color w:val="auto"/>
        </w:rPr>
        <w:tab/>
      </w:r>
      <w:r>
        <w:rPr>
          <w:rFonts w:ascii="Arial" w:cs="Arial" w:eastAsia="Arial" w:hAnsi="Arial"/>
          <w:sz w:val="12"/>
          <w:szCs w:val="12"/>
          <w:b w:val="1"/>
          <w:bCs w:val="1"/>
          <w:color w:val="auto"/>
        </w:rPr>
        <w:t>Total</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28, 2021</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70,720</w:t>
            </w:r>
          </w:p>
        </w:tc>
        <w:tc>
          <w:tcPr>
            <w:tcW w:w="80" w:type="dxa"/>
            <w:vAlign w:val="bottom"/>
            <w:tcBorders>
              <w:top w:val="single" w:sz="8" w:color="auto"/>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Additon due to acquisitons</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April 3, 2022 and April 2, 2023</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77,401</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320" w:type="dxa"/>
            <w:vAlign w:val="bottom"/>
            <w:gridSpan w:val="5"/>
          </w:tcPr>
          <w:p>
            <w:pPr>
              <w:spacing w:after="0"/>
              <w:rPr>
                <w:sz w:val="20"/>
                <w:szCs w:val="20"/>
                <w:color w:val="auto"/>
              </w:rPr>
            </w:pPr>
            <w:r>
              <w:rPr>
                <w:rFonts w:ascii="Arial" w:cs="Arial" w:eastAsia="Arial" w:hAnsi="Arial"/>
                <w:sz w:val="18"/>
                <w:szCs w:val="18"/>
                <w:color w:val="auto"/>
                <w:w w:val="92"/>
              </w:rPr>
              <w:t>The following is a summary of our identfable intangible assets as of April 2, 2023 and April 3, 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5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Gross 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Amortzaton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30"/>
        </w:trPr>
        <w:tc>
          <w:tcPr>
            <w:tcW w:w="5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8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5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Customer relatonships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109,107</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(38,377)</w:t>
            </w: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70,730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shd w:val="clear" w:color="auto" w:fill="CCEEFF"/>
          </w:tcPr>
          <w:p>
            <w:pPr>
              <w:spacing w:after="0"/>
              <w:rPr>
                <w:sz w:val="20"/>
                <w:szCs w:val="20"/>
                <w:color w:val="auto"/>
              </w:rPr>
            </w:pPr>
          </w:p>
        </w:tc>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Other fnite-life intangible assets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fnite-life intangible assets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(47,548)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71,833</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Indefnite-life intangible assets</w:t>
            </w: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120,608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(47,548)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73,060</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w w:val="86"/>
              </w:rPr>
              <w:t>Gross 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Amortzaton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Net carrying value</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57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740" w:type="dxa"/>
            <w:vAlign w:val="bottom"/>
          </w:tcPr>
          <w:p>
            <w:pPr>
              <w:ind w:left="360"/>
              <w:spacing w:after="0"/>
              <w:rPr>
                <w:sz w:val="20"/>
                <w:szCs w:val="20"/>
                <w:color w:val="auto"/>
              </w:rPr>
            </w:pPr>
            <w:r>
              <w:rPr>
                <w:rFonts w:ascii="Arial" w:cs="Arial" w:eastAsia="Arial" w:hAnsi="Arial"/>
                <w:sz w:val="18"/>
                <w:szCs w:val="18"/>
                <w:color w:val="auto"/>
              </w:rPr>
              <w:t>Customer relatonships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109,644</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(32,399)</w:t>
            </w:r>
          </w:p>
        </w:tc>
        <w:tc>
          <w:tcPr>
            <w:tcW w:w="40" w:type="dxa"/>
            <w:vAlign w:val="bottom"/>
          </w:tcPr>
          <w:p>
            <w:pPr>
              <w:spacing w:after="0"/>
              <w:rPr>
                <w:sz w:val="19"/>
                <w:szCs w:val="19"/>
                <w:color w:val="auto"/>
              </w:rPr>
            </w:pPr>
          </w:p>
        </w:tc>
        <w:tc>
          <w:tcPr>
            <w:tcW w:w="480" w:type="dxa"/>
            <w:vAlign w:val="bottom"/>
            <w:gridSpan w:val="3"/>
          </w:tcPr>
          <w:p>
            <w:pPr>
              <w:jc w:val="right"/>
              <w:ind w:right="22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fnite-life intangible assets</w:t>
            </w:r>
          </w:p>
        </w:tc>
        <w:tc>
          <w:tcPr>
            <w:tcW w:w="5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fnite-life intangible assets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Indefnite-life intangible assets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121,145</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(40,952)</w:t>
            </w: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amortzaton expense was $6.9 million during fscal 2023, $6.5 million during fscal 2022, and $5.8 million during fscal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5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HAWKINS, INC.</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6"/>
        </w:trPr>
        <w:tc>
          <w:tcPr>
            <w:tcW w:w="3160" w:type="dxa"/>
            <w:vAlign w:val="bottom"/>
          </w:tcPr>
          <w:p>
            <w:pPr>
              <w:spacing w:after="0"/>
              <w:rPr>
                <w:sz w:val="24"/>
                <w:szCs w:val="24"/>
                <w:color w:val="auto"/>
              </w:rPr>
            </w:pPr>
          </w:p>
        </w:tc>
        <w:tc>
          <w:tcPr>
            <w:tcW w:w="5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2"/>
              </w:rPr>
              <w:t>NOTES TO CONSOLIDATED FINANCIAL STATEMENTS — (Contnued)</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12"/>
        </w:trPr>
        <w:tc>
          <w:tcPr>
            <w:tcW w:w="8600" w:type="dxa"/>
            <w:vAlign w:val="bottom"/>
            <w:gridSpan w:val="3"/>
          </w:tcPr>
          <w:p>
            <w:pPr>
              <w:spacing w:after="0"/>
              <w:rPr>
                <w:sz w:val="20"/>
                <w:szCs w:val="20"/>
                <w:color w:val="auto"/>
              </w:rPr>
            </w:pPr>
            <w:r>
              <w:rPr>
                <w:rFonts w:ascii="Arial" w:cs="Arial" w:eastAsia="Arial" w:hAnsi="Arial"/>
                <w:sz w:val="18"/>
                <w:szCs w:val="18"/>
                <w:color w:val="auto"/>
              </w:rPr>
              <w:t>The estmated future amortzaton expense for identfable intangible assets is as follows: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9"/>
        </w:trPr>
        <w:tc>
          <w:tcPr>
            <w:tcW w:w="8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Intangible Assets</w:t>
            </w:r>
          </w:p>
        </w:tc>
      </w:tr>
      <w:tr>
        <w:trPr>
          <w:trHeight w:val="26"/>
        </w:trPr>
        <w:tc>
          <w:tcPr>
            <w:tcW w:w="8600" w:type="dxa"/>
            <w:vAlign w:val="bottom"/>
            <w:tcBorders>
              <w:bottom w:val="single" w:sz="8" w:color="CCEEFF"/>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r>
      <w:tr>
        <w:trPr>
          <w:trHeight w:val="228"/>
        </w:trPr>
        <w:tc>
          <w:tcPr>
            <w:tcW w:w="8600" w:type="dxa"/>
            <w:vAlign w:val="bottom"/>
            <w:gridSpan w:val="3"/>
          </w:tcPr>
          <w:p>
            <w:pPr>
              <w:ind w:left="20"/>
              <w:spacing w:after="0"/>
              <w:rPr>
                <w:sz w:val="20"/>
                <w:szCs w:val="20"/>
                <w:color w:val="auto"/>
              </w:rPr>
            </w:pPr>
            <w:r>
              <w:rPr>
                <w:rFonts w:ascii="Arial" w:cs="Arial" w:eastAsia="Arial" w:hAnsi="Arial"/>
                <w:sz w:val="18"/>
                <w:szCs w:val="18"/>
                <w:color w:val="auto"/>
              </w:rPr>
              <w:t>Fiscal 2025</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6,680</w:t>
            </w:r>
          </w:p>
        </w:tc>
      </w:tr>
      <w:tr>
        <w:trPr>
          <w:trHeight w:val="244"/>
        </w:trPr>
        <w:tc>
          <w:tcPr>
            <w:tcW w:w="8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r>
      <w:tr>
        <w:trPr>
          <w:trHeight w:val="228"/>
        </w:trPr>
        <w:tc>
          <w:tcPr>
            <w:tcW w:w="8600" w:type="dxa"/>
            <w:vAlign w:val="bottom"/>
            <w:gridSpan w:val="3"/>
          </w:tcPr>
          <w:p>
            <w:pPr>
              <w:ind w:left="20"/>
              <w:spacing w:after="0"/>
              <w:rPr>
                <w:sz w:val="20"/>
                <w:szCs w:val="20"/>
                <w:color w:val="auto"/>
              </w:rPr>
            </w:pPr>
            <w:r>
              <w:rPr>
                <w:rFonts w:ascii="Arial" w:cs="Arial" w:eastAsia="Arial" w:hAnsi="Arial"/>
                <w:sz w:val="18"/>
                <w:szCs w:val="18"/>
                <w:color w:val="auto"/>
              </w:rPr>
              <w:t>Fiscal 2027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6,279</w:t>
            </w:r>
          </w:p>
        </w:tc>
      </w:tr>
      <w:tr>
        <w:trPr>
          <w:trHeight w:val="231"/>
        </w:trPr>
        <w:tc>
          <w:tcPr>
            <w:tcW w:w="8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r>
      <w:tr>
        <w:trPr>
          <w:trHeight w:val="228"/>
        </w:trPr>
        <w:tc>
          <w:tcPr>
            <w:tcW w:w="8600" w:type="dxa"/>
            <w:vAlign w:val="bottom"/>
            <w:gridSpan w:val="3"/>
          </w:tcPr>
          <w:p>
            <w:pPr>
              <w:ind w:left="20"/>
              <w:spacing w:after="0"/>
              <w:rPr>
                <w:sz w:val="20"/>
                <w:szCs w:val="20"/>
                <w:color w:val="auto"/>
              </w:rPr>
            </w:pPr>
            <w:r>
              <w:rPr>
                <w:rFonts w:ascii="Arial" w:cs="Arial" w:eastAsia="Arial" w:hAnsi="Arial"/>
                <w:sz w:val="18"/>
                <w:szCs w:val="18"/>
                <w:color w:val="auto"/>
              </w:rPr>
              <w:t>Thereafer</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39,431</w:t>
            </w:r>
          </w:p>
        </w:tc>
      </w:tr>
      <w:tr>
        <w:trPr>
          <w:trHeight w:val="259"/>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 place a Credit Agreement with U.S. Bank as Sole Lead Arranger and Sole Book Runner, and other lenders from tme to tme party thereto, whereby U.S. Bank is also serving as Administratve Agent. The Credit Agreement provides us with a “Revolving Loan Facility” totaling $250.0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April 2, 2023, the efectve interest rate on our borrowings was 4.3%. 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 of $0.3 million paid to the lenders in connecton with the Credit Agreement, as well as unamortzed debt issuance costs of</w:t>
      </w:r>
    </w:p>
    <w:p>
      <w:pPr>
        <w:spacing w:after="0" w:line="2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$0.1 million paid in connecton with the previous credit facility, are refected as a reducton of debt and are being amortzed as interest expense over the term of the Revolving Loan Facility.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As of April 3, 2022, we were in compliance with all required covenants.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Debt at April 2, 2023 and April 3, 2022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6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April 2, 2023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b w:val="1"/>
                <w:bCs w:val="1"/>
                <w:color w:val="auto"/>
              </w:rPr>
              <w:t>April 3,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Senior secured revolving loan</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220" w:type="dxa"/>
            <w:vAlign w:val="bottom"/>
            <w:gridSpan w:val="2"/>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112,000</w:t>
            </w:r>
          </w:p>
        </w:tc>
        <w:tc>
          <w:tcPr>
            <w:tcW w:w="1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8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unamortzed debt issuance costs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Total debt, net of debt issuance costs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125,557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current porton of long-term debt, net of current unamortzed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101,731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115,644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compensaton arrangement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executve ofcers. This performance-based arrangement provides for the grant of performance-based restricted stock units that represent a possible future issuance of restricted shares of our common shares based on our pre-tax income target for the applicable fscal year. The actual number of restricted shares to be issued to each executve ofcer will be determined when our fnal fnancial informaton becomes available afer the applicable fscal year and will be between zero shares and 76,863 shares in the aggregate for fscal 2023. The restricted shares issued, if any, will fully vest two years afer the end of the fscal year on which the performance is based. We record the compensaton expense for the outstanding performance share units and then-converted restricted stock over the life of the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actvity for fscal 2021, 2022, and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Weighted-</w:t>
            </w:r>
          </w:p>
        </w:tc>
      </w:tr>
      <w:tr>
        <w:trPr>
          <w:trHeight w:val="138"/>
        </w:trPr>
        <w:tc>
          <w:tcPr>
            <w:tcW w:w="8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center"/>
              <w:ind w:right="93"/>
              <w:spacing w:after="0" w:line="138" w:lineRule="exact"/>
              <w:rPr>
                <w:sz w:val="20"/>
                <w:szCs w:val="20"/>
                <w:color w:val="auto"/>
              </w:rPr>
            </w:pPr>
            <w:r>
              <w:rPr>
                <w:rFonts w:ascii="Arial" w:cs="Arial" w:eastAsia="Arial" w:hAnsi="Arial"/>
                <w:sz w:val="14"/>
                <w:szCs w:val="14"/>
                <w:b w:val="1"/>
                <w:bCs w:val="1"/>
                <w:color w:val="auto"/>
                <w:w w:val="89"/>
              </w:rPr>
              <w:t>Average Grant</w:t>
            </w:r>
          </w:p>
        </w:tc>
      </w:tr>
      <w:tr>
        <w:trPr>
          <w:trHeight w:val="184"/>
        </w:trPr>
        <w:tc>
          <w:tcPr>
            <w:tcW w:w="8480" w:type="dxa"/>
            <w:vAlign w:val="bottom"/>
          </w:tcPr>
          <w:p>
            <w:pPr>
              <w:spacing w:after="0"/>
              <w:rPr>
                <w:sz w:val="15"/>
                <w:szCs w:val="15"/>
                <w:color w:val="auto"/>
              </w:rPr>
            </w:pPr>
          </w:p>
        </w:tc>
        <w:tc>
          <w:tcPr>
            <w:tcW w:w="1120" w:type="dxa"/>
            <w:vAlign w:val="bottom"/>
          </w:tcPr>
          <w:p>
            <w:pPr>
              <w:jc w:val="right"/>
              <w:ind w:right="27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88"/>
              </w:rPr>
              <w:t>Date Fair Value</w:t>
            </w:r>
          </w:p>
        </w:tc>
      </w:tr>
      <w:tr>
        <w:trPr>
          <w:trHeight w:val="29"/>
        </w:trPr>
        <w:tc>
          <w:tcPr>
            <w:tcW w:w="84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fscal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28"/>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129,626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18.69</w:t>
            </w: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3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fscal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28"/>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4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8"/>
        </w:trPr>
        <w:tc>
          <w:tcPr>
            <w:tcW w:w="84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fscal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r>
      <w:tr>
        <w:trPr>
          <w:trHeight w:val="235"/>
        </w:trPr>
        <w:tc>
          <w:tcPr>
            <w:tcW w:w="8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88,524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38.31</w:t>
            </w: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8"/>
        </w:trPr>
        <w:tc>
          <w:tcPr>
            <w:tcW w:w="84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5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fscal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recorded compensaton expense on performance-based restricted stock of approximately $2.8 million for fscal 2023, $2.9 million for fscal 2022 and $2.5 million for fscal 2021, substantally all of which was recorded in SG&amp;A expense in the Consolidated Statements of Income. The total fair value of performance-based restricted stock units vested was $1.9 million in fscal 2023, $2.1 million in fscal 2022 and $0.2 million in fscal 2021.</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Untl the performance-based restricted stock units result in the issuance of restricted stock, the amount of expense recorded each period is dependent upon our estmate of the number of shares that will ultmately be issued and our then current common share price. Upon issuance of restricted stock, we record compensaton expense over the remaining vestng period using the award date closing price. Unrecognized compensaton expense related to non-vested restricted stock and non-vested restricted share units as of April 2, 2023 was $2.8 million and is expected to be recognized over a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As part of their retainer, our directors, other than the Chief Executve Ofcer, receive restricted stock for their Board services.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stock awards are expensed over a one-year vestng period, based on the market value on the date of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Board’s restricted stock actvity for fscal 2021, 2022,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r>
      <w:tr>
        <w:trPr>
          <w:trHeight w:val="138"/>
        </w:trPr>
        <w:tc>
          <w:tcPr>
            <w:tcW w:w="8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34"/>
              <w:spacing w:after="0" w:line="138" w:lineRule="exact"/>
              <w:rPr>
                <w:sz w:val="20"/>
                <w:szCs w:val="20"/>
                <w:color w:val="auto"/>
              </w:rPr>
            </w:pPr>
            <w:r>
              <w:rPr>
                <w:rFonts w:ascii="Arial" w:cs="Arial" w:eastAsia="Arial" w:hAnsi="Arial"/>
                <w:sz w:val="14"/>
                <w:szCs w:val="14"/>
                <w:b w:val="1"/>
                <w:bCs w:val="1"/>
                <w:color w:val="auto"/>
                <w:w w:val="87"/>
              </w:rPr>
              <w:t>Average Grant</w:t>
            </w:r>
          </w:p>
        </w:tc>
      </w:tr>
      <w:tr>
        <w:trPr>
          <w:trHeight w:val="184"/>
        </w:trPr>
        <w:tc>
          <w:tcPr>
            <w:tcW w:w="8360" w:type="dxa"/>
            <w:vAlign w:val="bottom"/>
          </w:tcPr>
          <w:p>
            <w:pPr>
              <w:spacing w:after="0"/>
              <w:rPr>
                <w:sz w:val="15"/>
                <w:szCs w:val="15"/>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4"/>
              <w:spacing w:after="0"/>
              <w:rPr>
                <w:sz w:val="20"/>
                <w:szCs w:val="20"/>
                <w:color w:val="auto"/>
              </w:rPr>
            </w:pPr>
            <w:r>
              <w:rPr>
                <w:rFonts w:ascii="Arial" w:cs="Arial" w:eastAsia="Arial" w:hAnsi="Arial"/>
                <w:sz w:val="14"/>
                <w:szCs w:val="14"/>
                <w:b w:val="1"/>
                <w:bCs w:val="1"/>
                <w:color w:val="auto"/>
                <w:w w:val="88"/>
              </w:rPr>
              <w:t>Date Fair Value</w:t>
            </w:r>
          </w:p>
        </w:tc>
      </w:tr>
      <w:tr>
        <w:trPr>
          <w:trHeight w:val="29"/>
        </w:trPr>
        <w:tc>
          <w:tcPr>
            <w:tcW w:w="8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fscal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28"/>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13,186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31"/>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3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fscal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28"/>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2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Outstanding at end of fscal 2022</w:t>
            </w:r>
          </w:p>
        </w:tc>
        <w:tc>
          <w:tcPr>
            <w:tcW w:w="1040" w:type="dxa"/>
            <w:vAlign w:val="bottom"/>
          </w:tcPr>
          <w:p>
            <w:pPr>
              <w:jc w:val="right"/>
              <w:spacing w:after="0"/>
              <w:rPr>
                <w:sz w:val="20"/>
                <w:szCs w:val="20"/>
                <w:color w:val="auto"/>
              </w:rPr>
            </w:pPr>
            <w:r>
              <w:rPr>
                <w:rFonts w:ascii="Arial" w:cs="Arial" w:eastAsia="Arial" w:hAnsi="Arial"/>
                <w:sz w:val="18"/>
                <w:szCs w:val="18"/>
                <w:color w:val="auto"/>
              </w:rPr>
              <w:t>10,287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38"/>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fscal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Annual expense related to the value of restricted stock was $0.4 million in fscal 2023, and $0.3 million in fscal 2022 and 2021, and was recorded in SG&amp;A expense in the Consolidated Statements of Income. Unrecognized compensaton expense related to non-vested restricted stock awards as of April 2, 2023 was $0.2 million and is expected to be recognized over a weighted average period of 0.3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authorized the repurchase of up to 2,600,000 shares of our outstanding common shares. The shares may be repurchased on the open market or in privately negotated transactons subject to applicable securites laws and regulatons. Upon repurchase of the shares, we reduce our common shares for the par value of the shares with the excess applied against additonal paid-in capital. We repurchased 181,657 common shares at an aggregate purchase price of $6.6 million during fscal 2023. We repurchased 240,501 common shares at an aggregate purchase price of $8.5 million during fscal 2022. We repurchased 166,088 common shares at an aggregate purchase price of $4.1 million during fscal 2021. As of April 2, 2023, the number of shares available to be purchased under the share repurchase program was 1,129,348.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Proft Sharing, Employee Stock Ownership, Employee Stock Purchase and Pension Plans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Company Sponsored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our non-bargaining unit employees are eligible to partcipate in a company-sponsored proft sharing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Contributons are made at our discreton subject to a maximum amount allowed under the Internal Revenue Code (“IRC”). The proft sharing plan contributon level for each employee depends upon date of hire, and was 2.5% or 5.0% of each employee’s eligible compensaton for fscal 2023, 2022 and 2021. We also have in place a retrement plan covering our collectve bargaining unit employees. The retrement plan provides for a contributon of 2.5% or 5.0% of each employee’s eligible annual wages depending on their hire date. In additon to the employer contributons described above, both the proft sharing plan and the retrement plan include a 401(k) plan that allows employees to contribute pre-tax earnings up to the maximum amount allowed under the IRC, with an employer match of up to 5% of the employee’s eligible compensaton.</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collectve bargaining unit employees. Contributons to the plan covering our non-bargaining unit employees are made at our discreton. Contributons to both plans are subject to a maximum amount allowed under the IRC, and were 2.5% or 5.0% of each employee’s eligible wages, depending on each eligible employee’s hire date, for fscal 2023, 2022 and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nonqualifed deferred compensaton plan covering employees who are classifed as “highly compensated employees” as determined by IRS guidelines for the plan year and who were hired on or before April 1, 2012. Employees who are eligible for the nonqualifed deferred compensaton plan for any plan year are not eligible for the proft sharing plan contributon or the ESOP contributons described above for that plan year. Our contributon to the nonqualifed deferred compensaton plan for fscal 2023, 2022 and 2021 was 10% of each employee’s eligible compensaton, subject to the maximum amount allowed under the IRC.</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an employee stock purchase plan (“ESPP”) covering substantally all of our employees. The ESPP allows employees to purchase newly-issued shares of the Company’s common shares at a discount from market. The number of new shares issued under the ESPP was 65,597 in fscal 2023, 71,692 in fscal 2022 and 88,148 in fscal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60" w:type="dxa"/>
            <w:vAlign w:val="bottom"/>
          </w:tcPr>
          <w:p>
            <w:pPr>
              <w:spacing w:after="0"/>
              <w:rPr>
                <w:sz w:val="20"/>
                <w:szCs w:val="20"/>
                <w:color w:val="auto"/>
              </w:rPr>
            </w:pPr>
            <w:r>
              <w:rPr>
                <w:rFonts w:ascii="Arial" w:cs="Arial" w:eastAsia="Arial" w:hAnsi="Arial"/>
                <w:sz w:val="18"/>
                <w:szCs w:val="18"/>
                <w:color w:val="auto"/>
              </w:rPr>
              <w:t>The   following   represents   the   contributon</w:t>
            </w:r>
          </w:p>
        </w:tc>
        <w:tc>
          <w:tcPr>
            <w:tcW w:w="3640" w:type="dxa"/>
            <w:vAlign w:val="bottom"/>
            <w:gridSpan w:val="3"/>
          </w:tcPr>
          <w:p>
            <w:pPr>
              <w:jc w:val="right"/>
              <w:ind w:right="112"/>
              <w:spacing w:after="0"/>
              <w:rPr>
                <w:sz w:val="20"/>
                <w:szCs w:val="20"/>
                <w:color w:val="auto"/>
              </w:rPr>
            </w:pPr>
            <w:r>
              <w:rPr>
                <w:rFonts w:ascii="Arial" w:cs="Arial" w:eastAsia="Arial" w:hAnsi="Arial"/>
                <w:sz w:val="18"/>
                <w:szCs w:val="18"/>
                <w:color w:val="auto"/>
              </w:rPr>
              <w:t>expense   for   these   company-sponsored</w:t>
            </w:r>
          </w:p>
        </w:tc>
        <w:tc>
          <w:tcPr>
            <w:tcW w:w="52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plans</w:t>
            </w:r>
          </w:p>
        </w:tc>
        <w:tc>
          <w:tcPr>
            <w:tcW w:w="1620" w:type="dxa"/>
            <w:vAlign w:val="bottom"/>
            <w:gridSpan w:val="3"/>
          </w:tcPr>
          <w:p>
            <w:pPr>
              <w:jc w:val="right"/>
              <w:ind w:right="10"/>
              <w:spacing w:after="0"/>
              <w:rPr>
                <w:sz w:val="20"/>
                <w:szCs w:val="20"/>
                <w:color w:val="auto"/>
              </w:rPr>
            </w:pPr>
            <w:r>
              <w:rPr>
                <w:rFonts w:ascii="Arial" w:cs="Arial" w:eastAsia="Arial" w:hAnsi="Arial"/>
                <w:sz w:val="18"/>
                <w:szCs w:val="18"/>
                <w:color w:val="auto"/>
              </w:rPr>
              <w:t>for   fscal   2023,</w:t>
            </w:r>
          </w:p>
        </w:tc>
        <w:tc>
          <w:tcPr>
            <w:tcW w:w="1600" w:type="dxa"/>
            <w:vAlign w:val="bottom"/>
            <w:gridSpan w:val="3"/>
          </w:tcPr>
          <w:p>
            <w:pPr>
              <w:ind w:left="120"/>
              <w:spacing w:after="0"/>
              <w:rPr>
                <w:sz w:val="20"/>
                <w:szCs w:val="20"/>
                <w:color w:val="auto"/>
              </w:rPr>
            </w:pPr>
            <w:r>
              <w:rPr>
                <w:rFonts w:ascii="Arial" w:cs="Arial" w:eastAsia="Arial" w:hAnsi="Arial"/>
                <w:sz w:val="18"/>
                <w:szCs w:val="18"/>
                <w:color w:val="auto"/>
              </w:rPr>
              <w:t>2022   and   2021:</w:t>
            </w:r>
          </w:p>
        </w:tc>
      </w:tr>
      <w:tr>
        <w:trPr>
          <w:trHeight w:val="208"/>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9"/>
        </w:trPr>
        <w:tc>
          <w:tcPr>
            <w:tcW w:w="38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Non-bargaining unit employee plans:</w:t>
            </w:r>
          </w:p>
        </w:tc>
        <w:tc>
          <w:tcPr>
            <w:tcW w:w="2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3860" w:type="dxa"/>
            <w:vAlign w:val="bottom"/>
          </w:tcPr>
          <w:p>
            <w:pPr>
              <w:ind w:left="140"/>
              <w:spacing w:after="0"/>
              <w:rPr>
                <w:sz w:val="20"/>
                <w:szCs w:val="20"/>
                <w:color w:val="auto"/>
              </w:rPr>
            </w:pPr>
            <w:r>
              <w:rPr>
                <w:rFonts w:ascii="Arial" w:cs="Arial" w:eastAsia="Arial" w:hAnsi="Arial"/>
                <w:sz w:val="18"/>
                <w:szCs w:val="18"/>
                <w:color w:val="auto"/>
              </w:rPr>
              <w:t>Proft sharing</w:t>
            </w:r>
          </w:p>
        </w:tc>
        <w:tc>
          <w:tcPr>
            <w:tcW w:w="2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1,067</w:t>
            </w:r>
          </w:p>
        </w:tc>
        <w:tc>
          <w:tcPr>
            <w:tcW w:w="5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1"/>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401(k) matching contributons</w:t>
            </w:r>
          </w:p>
        </w:tc>
        <w:tc>
          <w:tcPr>
            <w:tcW w:w="2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3860" w:type="dxa"/>
            <w:vAlign w:val="bottom"/>
          </w:tcPr>
          <w:p>
            <w:pPr>
              <w:ind w:left="140"/>
              <w:spacing w:after="0"/>
              <w:rPr>
                <w:sz w:val="20"/>
                <w:szCs w:val="20"/>
                <w:color w:val="auto"/>
              </w:rPr>
            </w:pPr>
            <w:r>
              <w:rPr>
                <w:rFonts w:ascii="Arial" w:cs="Arial" w:eastAsia="Arial" w:hAnsi="Arial"/>
                <w:sz w:val="18"/>
                <w:szCs w:val="18"/>
                <w:color w:val="auto"/>
              </w:rPr>
              <w:t>ESOP</w:t>
            </w:r>
          </w:p>
        </w:tc>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Nonqualifed deferred compensaton plan</w:t>
            </w:r>
          </w:p>
        </w:tc>
        <w:tc>
          <w:tcPr>
            <w:tcW w:w="2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Bargaining unit employee plans</w:t>
            </w:r>
          </w:p>
        </w:tc>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ESPP - all employees</w:t>
            </w:r>
          </w:p>
        </w:tc>
        <w:tc>
          <w:tcPr>
            <w:tcW w:w="20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r>
      <w:tr>
        <w:trPr>
          <w:trHeight w:val="222"/>
        </w:trPr>
        <w:tc>
          <w:tcPr>
            <w:tcW w:w="3860" w:type="dxa"/>
            <w:vAlign w:val="bottom"/>
          </w:tcPr>
          <w:p>
            <w:pPr>
              <w:ind w:left="360"/>
              <w:spacing w:after="0"/>
              <w:rPr>
                <w:sz w:val="20"/>
                <w:szCs w:val="20"/>
                <w:color w:val="auto"/>
              </w:rPr>
            </w:pPr>
            <w:r>
              <w:rPr>
                <w:rFonts w:ascii="Arial" w:cs="Arial" w:eastAsia="Arial" w:hAnsi="Arial"/>
                <w:sz w:val="18"/>
                <w:szCs w:val="18"/>
                <w:color w:val="auto"/>
              </w:rPr>
              <w:t>Total contributon expense</w:t>
            </w:r>
          </w:p>
        </w:tc>
        <w:tc>
          <w:tcPr>
            <w:tcW w:w="20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
        </w:trPr>
        <w:tc>
          <w:tcPr>
            <w:tcW w:w="3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2013, we withdrew from a collectvely bargained multemployer pension plan and recorded a liability for our share of the unfunded vested benefts.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Payments of approximately $0.5 million per year are being made through 2034.</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Contngencies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Litgaton. </w:t>
      </w:r>
      <w:r>
        <w:rPr>
          <w:rFonts w:ascii="Arial" w:cs="Arial" w:eastAsia="Arial" w:hAnsi="Arial"/>
          <w:sz w:val="18"/>
          <w:szCs w:val="18"/>
          <w:color w:val="auto"/>
        </w:rPr>
        <w:t>As of April 2, 2023, there were no material pending legal proceedings, other than ordinary routne litgaton incidental to the business,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any of our subsidiaries are a party or of which any of our property is the subject. Legal fees associated with such maters are expensed as incurred.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Asset Retrement Obligatons. </w:t>
      </w:r>
      <w:r>
        <w:rPr>
          <w:rFonts w:ascii="Arial" w:cs="Arial" w:eastAsia="Arial" w:hAnsi="Arial"/>
          <w:sz w:val="17"/>
          <w:szCs w:val="17"/>
          <w:color w:val="auto"/>
        </w:rPr>
        <w:t>We have three leases of land which contain terms that state that at the end of the lease term, we have a specifed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tme to remove the property and buildings. Including available lease extensions, these leases expire in 2024, 2033 and 2044. At that tme, anything that remains on the land becomes the property of the lessor, and the lessor has the opton to either maintain the property or remove the property at our expense. We have not been able to reasonably estmate the fair value of the asset retrement obligatons, primarily due to the combinaton of the following factors: certain of the leases do not expire in the near future; we have a history of extending the leases with the lessors and currently intend to do so at expiraton of the lease periods; the lessors do not have a history of terminatng leases with their tenants; and because it is more likely than not that the buildings will have value at the end of the lease life and therefore, may not be removed by either the lessee or the lessor. Therefore, in accordance with accountng guidance related to asset retrement and environmental obligatons, we have not recorded an asset retrement obligaton as of April 2, 2023. We will contnue to monitor the factors surrounding the requirement to record an asset retrement obligaton and will recognize the fair value of a liability in the period in which it is incurred and a reasonable estmate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fscal 2023, 2022 and 2021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9"/>
        </w:trPr>
        <w:tc>
          <w:tcPr>
            <w:tcW w:w="5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7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5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current</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15,072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0" w:type="dxa"/>
            <w:vAlign w:val="bottom"/>
          </w:tcPr>
          <w:p>
            <w:pPr>
              <w:spacing w:after="0"/>
              <w:rPr>
                <w:sz w:val="1"/>
                <w:szCs w:val="1"/>
                <w:color w:val="auto"/>
              </w:rPr>
            </w:pPr>
          </w:p>
        </w:tc>
      </w:tr>
      <w:tr>
        <w:trPr>
          <w:trHeight w:val="228"/>
        </w:trPr>
        <w:tc>
          <w:tcPr>
            <w:tcW w:w="5760" w:type="dxa"/>
            <w:vAlign w:val="bottom"/>
          </w:tcPr>
          <w:p>
            <w:pPr>
              <w:ind w:left="20"/>
              <w:spacing w:after="0"/>
              <w:rPr>
                <w:sz w:val="20"/>
                <w:szCs w:val="20"/>
                <w:color w:val="auto"/>
              </w:rPr>
            </w:pPr>
            <w:r>
              <w:rPr>
                <w:rFonts w:ascii="Arial" w:cs="Arial" w:eastAsia="Arial" w:hAnsi="Arial"/>
                <w:sz w:val="18"/>
                <w:szCs w:val="18"/>
                <w:color w:val="auto"/>
              </w:rPr>
              <w:t>State — current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31"/>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22,773</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deferred</w:t>
            </w:r>
          </w:p>
        </w:tc>
        <w:tc>
          <w:tcPr>
            <w:tcW w:w="10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deferred</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1"/>
        </w:trPr>
        <w:tc>
          <w:tcPr>
            <w:tcW w:w="5760" w:type="dxa"/>
            <w:vAlign w:val="bottom"/>
          </w:tcPr>
          <w:p>
            <w:pPr>
              <w:ind w:left="360"/>
              <w:spacing w:after="0"/>
              <w:rPr>
                <w:sz w:val="20"/>
                <w:szCs w:val="20"/>
                <w:color w:val="auto"/>
              </w:rPr>
            </w:pPr>
            <w:r>
              <w:rPr>
                <w:rFonts w:ascii="Arial" w:cs="Arial" w:eastAsia="Arial" w:hAnsi="Arial"/>
                <w:sz w:val="18"/>
                <w:szCs w:val="18"/>
                <w:color w:val="auto"/>
              </w:rPr>
              <w:t>Total provision</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22,541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18,437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Reconciliatons of the provisions for income taxes to the applicable federal statutory income tax rate for fscal 2023, 2022 and 2021 are listed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gridSpan w:val="2"/>
          </w:tcPr>
          <w:p>
            <w:pPr>
              <w:ind w:left="662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5"/>
                <w:szCs w:val="15"/>
                <w:color w:val="auto"/>
              </w:rPr>
            </w:pPr>
          </w:p>
        </w:tc>
        <w:tc>
          <w:tcPr>
            <w:tcW w:w="13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r>
      <w:tr>
        <w:trPr>
          <w:trHeight w:val="43"/>
        </w:trPr>
        <w:tc>
          <w:tcPr>
            <w:tcW w:w="59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35"/>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deducton</w:t>
            </w:r>
          </w:p>
        </w:tc>
        <w:tc>
          <w:tcPr>
            <w:tcW w:w="540" w:type="dxa"/>
            <w:vAlign w:val="bottom"/>
          </w:tcPr>
          <w:p>
            <w:pPr>
              <w:jc w:val="right"/>
              <w:spacing w:after="0"/>
              <w:rPr>
                <w:sz w:val="20"/>
                <w:szCs w:val="20"/>
                <w:color w:val="auto"/>
              </w:rPr>
            </w:pPr>
            <w:r>
              <w:rPr>
                <w:rFonts w:ascii="Arial" w:cs="Arial" w:eastAsia="Arial" w:hAnsi="Arial"/>
                <w:sz w:val="18"/>
                <w:szCs w:val="18"/>
                <w:color w:val="auto"/>
              </w:rPr>
              <w:t>6.8 %</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5.6 %</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20" w:type="dxa"/>
            <w:vAlign w:val="bottom"/>
          </w:tcPr>
          <w:p>
            <w:pPr>
              <w:spacing w:after="0"/>
              <w:rPr>
                <w:sz w:val="20"/>
                <w:szCs w:val="20"/>
                <w:color w:val="auto"/>
              </w:rPr>
            </w:pPr>
          </w:p>
        </w:tc>
      </w:tr>
      <w:tr>
        <w:trPr>
          <w:trHeight w:val="238"/>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ESOP dividend deducton on allocated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(0.2)%</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28"/>
        </w:trPr>
        <w:tc>
          <w:tcPr>
            <w:tcW w:w="5980" w:type="dxa"/>
            <w:vAlign w:val="bottom"/>
          </w:tcPr>
          <w:p>
            <w:pPr>
              <w:ind w:left="20"/>
              <w:spacing w:after="0"/>
              <w:rPr>
                <w:sz w:val="20"/>
                <w:szCs w:val="20"/>
                <w:color w:val="auto"/>
              </w:rPr>
            </w:pPr>
            <w:r>
              <w:rPr>
                <w:rFonts w:ascii="Arial" w:cs="Arial" w:eastAsia="Arial" w:hAnsi="Arial"/>
                <w:sz w:val="18"/>
                <w:szCs w:val="18"/>
                <w:color w:val="auto"/>
              </w:rPr>
              <w:t>Other — net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(0.3)%</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51"/>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27.3 %</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2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2"/>
        </w:trPr>
        <w:tc>
          <w:tcPr>
            <w:tcW w:w="8940" w:type="dxa"/>
            <w:vAlign w:val="bottom"/>
            <w:gridSpan w:val="5"/>
          </w:tcPr>
          <w:p>
            <w:pPr>
              <w:spacing w:after="0"/>
              <w:rPr>
                <w:sz w:val="20"/>
                <w:szCs w:val="20"/>
                <w:color w:val="auto"/>
              </w:rPr>
            </w:pPr>
            <w:r>
              <w:rPr>
                <w:rFonts w:ascii="Arial" w:cs="Arial" w:eastAsia="Arial" w:hAnsi="Arial"/>
                <w:sz w:val="18"/>
                <w:szCs w:val="18"/>
                <w:color w:val="auto"/>
                <w:w w:val="98"/>
              </w:rPr>
              <w:t>The tax efects of items comprising our net deferred tax liability as of April 2, 2023 and April 3, 2022 are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9"/>
                <w:szCs w:val="19"/>
                <w:color w:val="auto"/>
              </w:rPr>
            </w:pPr>
          </w:p>
        </w:tc>
        <w:tc>
          <w:tcPr>
            <w:tcW w:w="13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r>
      <w:tr>
        <w:trPr>
          <w:trHeight w:val="29"/>
        </w:trPr>
        <w:tc>
          <w:tcPr>
            <w:tcW w:w="702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8"/>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Trade receivables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31"/>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compensaton accruals</w:t>
            </w: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 w:type="dxa"/>
            <w:vAlign w:val="bottom"/>
            <w:shd w:val="clear" w:color="auto" w:fill="CCEEFF"/>
          </w:tcPr>
          <w:p>
            <w:pPr>
              <w:spacing w:after="0"/>
              <w:rPr>
                <w:sz w:val="20"/>
                <w:szCs w:val="20"/>
                <w:color w:val="auto"/>
              </w:rPr>
            </w:pPr>
          </w:p>
        </w:tc>
      </w:tr>
      <w:tr>
        <w:trPr>
          <w:trHeight w:val="235"/>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Pension withdrawal liability</w:t>
            </w:r>
          </w:p>
        </w:tc>
        <w:tc>
          <w:tcPr>
            <w:tcW w:w="5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20"/>
                <w:szCs w:val="20"/>
                <w:color w:val="auto"/>
              </w:rPr>
            </w:pPr>
          </w:p>
        </w:tc>
      </w:tr>
      <w:tr>
        <w:trPr>
          <w:trHeight w:val="238"/>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 w:type="dxa"/>
            <w:vAlign w:val="bottom"/>
            <w:shd w:val="clear" w:color="auto" w:fill="CCEEFF"/>
          </w:tcPr>
          <w:p>
            <w:pPr>
              <w:spacing w:after="0"/>
              <w:rPr>
                <w:sz w:val="20"/>
                <w:szCs w:val="20"/>
                <w:color w:val="auto"/>
              </w:rPr>
            </w:pPr>
          </w:p>
        </w:tc>
      </w:tr>
      <w:tr>
        <w:trPr>
          <w:trHeight w:val="228"/>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20" w:type="dxa"/>
            <w:vAlign w:val="bottom"/>
            <w:tcBorders>
              <w:bottom w:val="single" w:sz="8" w:color="auto"/>
            </w:tcBorders>
            <w:shd w:val="clear" w:color="auto" w:fill="CCEEFF"/>
          </w:tcPr>
          <w:p>
            <w:pPr>
              <w:spacing w:after="0"/>
              <w:rPr>
                <w:sz w:val="19"/>
                <w:szCs w:val="19"/>
                <w:color w:val="auto"/>
              </w:rPr>
            </w:pPr>
          </w:p>
        </w:tc>
      </w:tr>
      <w:tr>
        <w:trPr>
          <w:trHeight w:val="231"/>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Total deferred tax assets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11,825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9,185</w:t>
            </w:r>
          </w:p>
        </w:tc>
        <w:tc>
          <w:tcPr>
            <w:tcW w:w="20" w:type="dxa"/>
            <w:vAlign w:val="bottom"/>
          </w:tcPr>
          <w:p>
            <w:pPr>
              <w:spacing w:after="0"/>
              <w:rPr>
                <w:sz w:val="20"/>
                <w:szCs w:val="20"/>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 liabilites: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8"/>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r>
      <w:tr>
        <w:trPr>
          <w:trHeight w:val="244"/>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 w:type="dxa"/>
            <w:vAlign w:val="bottom"/>
            <w:shd w:val="clear" w:color="auto" w:fill="CCEEFF"/>
          </w:tcPr>
          <w:p>
            <w:pPr>
              <w:spacing w:after="0"/>
              <w:rPr>
                <w:sz w:val="21"/>
                <w:szCs w:val="21"/>
                <w:color w:val="auto"/>
              </w:rPr>
            </w:pPr>
          </w:p>
        </w:tc>
      </w:tr>
      <w:tr>
        <w:trPr>
          <w:trHeight w:val="228"/>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Excess of tax over book depreciaton</w:t>
            </w:r>
          </w:p>
        </w:tc>
        <w:tc>
          <w:tcPr>
            <w:tcW w:w="5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(12,234)</w:t>
            </w:r>
          </w:p>
        </w:tc>
        <w:tc>
          <w:tcPr>
            <w:tcW w:w="20" w:type="dxa"/>
            <w:vAlign w:val="bottom"/>
          </w:tcPr>
          <w:p>
            <w:pPr>
              <w:spacing w:after="0"/>
              <w:rPr>
                <w:sz w:val="19"/>
                <w:szCs w:val="19"/>
                <w:color w:val="auto"/>
              </w:rPr>
            </w:pPr>
          </w:p>
        </w:tc>
      </w:tr>
      <w:tr>
        <w:trPr>
          <w:trHeight w:val="231"/>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20" w:type="dxa"/>
            <w:vAlign w:val="bottom"/>
            <w:shd w:val="clear" w:color="auto" w:fill="CCEEFF"/>
          </w:tcPr>
          <w:p>
            <w:pPr>
              <w:spacing w:after="0"/>
              <w:rPr>
                <w:sz w:val="20"/>
                <w:szCs w:val="20"/>
                <w:color w:val="auto"/>
              </w:rPr>
            </w:pPr>
          </w:p>
        </w:tc>
      </w:tr>
      <w:tr>
        <w:trPr>
          <w:trHeight w:val="235"/>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ROU asset</w:t>
            </w:r>
          </w:p>
        </w:tc>
        <w:tc>
          <w:tcPr>
            <w:tcW w:w="5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(2,864)</w:t>
            </w:r>
          </w:p>
        </w:tc>
        <w:tc>
          <w:tcPr>
            <w:tcW w:w="20" w:type="dxa"/>
            <w:vAlign w:val="bottom"/>
          </w:tcPr>
          <w:p>
            <w:pPr>
              <w:spacing w:after="0"/>
              <w:rPr>
                <w:sz w:val="20"/>
                <w:szCs w:val="20"/>
                <w:color w:val="auto"/>
              </w:rPr>
            </w:pPr>
          </w:p>
        </w:tc>
      </w:tr>
      <w:tr>
        <w:trPr>
          <w:trHeight w:val="236"/>
        </w:trPr>
        <w:tc>
          <w:tcPr>
            <w:tcW w:w="7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 on interest rate swap</w:t>
            </w:r>
          </w:p>
        </w:tc>
        <w:tc>
          <w:tcPr>
            <w:tcW w:w="5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auto"/>
            </w:tcBorders>
            <w:shd w:val="clear" w:color="auto" w:fill="CCEEFF"/>
          </w:tcPr>
          <w:p>
            <w:pPr>
              <w:spacing w:after="0"/>
              <w:rPr>
                <w:sz w:val="20"/>
                <w:szCs w:val="20"/>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Total deferred tax liabilites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(35,624)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(32,607)</w:t>
            </w:r>
          </w:p>
        </w:tc>
        <w:tc>
          <w:tcPr>
            <w:tcW w:w="20" w:type="dxa"/>
            <w:vAlign w:val="bottom"/>
          </w:tcPr>
          <w:p>
            <w:pPr>
              <w:spacing w:after="0"/>
              <w:rPr>
                <w:sz w:val="19"/>
                <w:szCs w:val="19"/>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As of April 2, 2023, the Company has determined that it is more likely than not that the deferred tax assets at April 2, 2023 will be realized either through future taxable income or reversals of taxable temporary diferences.</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are subject to U.S. federal income tax as well as income tax of multple state jurisdictons. The tax years prior to our fscal year ended March 29, 2020 are closed to examinaton by the Internal Revenue Service, and with few exceptons, state and local income tax jurisdictons.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Lease Obligatons. </w:t>
      </w:r>
      <w:r>
        <w:rPr>
          <w:rFonts w:ascii="Arial" w:cs="Arial" w:eastAsia="Arial" w:hAnsi="Arial"/>
          <w:sz w:val="18"/>
          <w:szCs w:val="18"/>
          <w:color w:val="auto"/>
        </w:rPr>
        <w:t>As of April 2, 2023, we were obligated under operatng lease agreements for certain manufacturing facilites, warehouse space,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 on which some of our facilites sit, vehicles and informaton technology equipment. Our leases have remaining lease terms of 1 year to 22 years, some of which include optons to extend the lease for up to 15 years.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of April 2, 2023 and April 3, 2022, our operatng lease components with inital or remaining terms in excess of one year were classifed on the consolidated balance sheet within right-of-use assets, short-term lease liability and long-term lease liability.</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Total lease expense was $3.1 million for the twelve months ended April 2, 2023 and $2.9 million for the twelve months ended April 3, 2022, and includes leases less than 12 months in duraton.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Other informaton related to our operatng leases was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1440" w:type="dxa"/>
            <w:vAlign w:val="bottom"/>
          </w:tcPr>
          <w:p>
            <w:pPr>
              <w:ind w:left="600"/>
              <w:spacing w:after="0"/>
              <w:rPr>
                <w:sz w:val="20"/>
                <w:szCs w:val="20"/>
                <w:color w:val="auto"/>
              </w:rPr>
            </w:pPr>
            <w:r>
              <w:rPr>
                <w:rFonts w:ascii="Arial" w:cs="Arial" w:eastAsia="Arial" w:hAnsi="Arial"/>
                <w:sz w:val="14"/>
                <w:szCs w:val="14"/>
                <w:b w:val="1"/>
                <w:bCs w:val="1"/>
                <w:color w:val="auto"/>
                <w:w w:val="99"/>
              </w:rPr>
              <w:t>April 2, 2023</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 2022</w:t>
            </w:r>
          </w:p>
        </w:tc>
      </w:tr>
      <w:tr>
        <w:trPr>
          <w:trHeight w:val="29"/>
        </w:trPr>
        <w:tc>
          <w:tcPr>
            <w:tcW w:w="7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3"/>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8580" w:type="dxa"/>
            <w:vAlign w:val="bottom"/>
            <w:gridSpan w:val="2"/>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520" w:type="dxa"/>
            <w:vAlign w:val="bottom"/>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r>
      <w:tr>
        <w:trPr>
          <w:trHeight w:val="244"/>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2.6 %</w:t>
            </w:r>
          </w:p>
        </w:tc>
      </w:tr>
      <w:tr>
        <w:trPr>
          <w:trHeight w:val="518"/>
        </w:trPr>
        <w:tc>
          <w:tcPr>
            <w:tcW w:w="8580" w:type="dxa"/>
            <w:vAlign w:val="bottom"/>
            <w:gridSpan w:val="2"/>
          </w:tcPr>
          <w:p>
            <w:pPr>
              <w:spacing w:after="0"/>
              <w:rPr>
                <w:sz w:val="20"/>
                <w:szCs w:val="20"/>
                <w:color w:val="auto"/>
              </w:rPr>
            </w:pPr>
            <w:r>
              <w:rPr>
                <w:rFonts w:ascii="Arial" w:cs="Arial" w:eastAsia="Arial" w:hAnsi="Arial"/>
                <w:sz w:val="18"/>
                <w:szCs w:val="18"/>
                <w:color w:val="auto"/>
              </w:rPr>
              <w:t>Maturites of lease liabilites as of April 2, 2023 were as follows: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85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Operatng Leases</w:t>
            </w:r>
          </w:p>
        </w:tc>
      </w:tr>
      <w:tr>
        <w:trPr>
          <w:trHeight w:val="26"/>
        </w:trPr>
        <w:tc>
          <w:tcPr>
            <w:tcW w:w="8580" w:type="dxa"/>
            <w:vAlign w:val="bottom"/>
            <w:gridSpan w:val="2"/>
          </w:tcPr>
          <w:p>
            <w:pPr>
              <w:spacing w:after="0"/>
              <w:rPr>
                <w:sz w:val="2"/>
                <w:szCs w:val="2"/>
                <w:color w:val="auto"/>
              </w:rPr>
            </w:pPr>
          </w:p>
        </w:tc>
        <w:tc>
          <w:tcPr>
            <w:tcW w:w="110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60" w:type="dxa"/>
            <w:vAlign w:val="bottom"/>
          </w:tcPr>
          <w:p>
            <w:pPr>
              <w:spacing w:after="0"/>
              <w:rPr>
                <w:sz w:val="20"/>
                <w:szCs w:val="20"/>
                <w:color w:val="auto"/>
              </w:rPr>
            </w:pPr>
          </w:p>
        </w:tc>
      </w:tr>
      <w:tr>
        <w:trPr>
          <w:trHeight w:val="228"/>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9"/>
                <w:szCs w:val="19"/>
                <w:color w:val="auto"/>
              </w:rPr>
            </w:pPr>
          </w:p>
        </w:tc>
      </w:tr>
      <w:tr>
        <w:trPr>
          <w:trHeight w:val="231"/>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20"/>
                <w:szCs w:val="20"/>
                <w:color w:val="auto"/>
              </w:rPr>
            </w:pPr>
          </w:p>
        </w:tc>
      </w:tr>
      <w:tr>
        <w:trPr>
          <w:trHeight w:val="235"/>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Fiscal 2027</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w:t>
            </w:r>
          </w:p>
        </w:tc>
        <w:tc>
          <w:tcPr>
            <w:tcW w:w="60" w:type="dxa"/>
            <w:vAlign w:val="bottom"/>
          </w:tcPr>
          <w:p>
            <w:pPr>
              <w:spacing w:after="0"/>
              <w:rPr>
                <w:sz w:val="20"/>
                <w:szCs w:val="20"/>
                <w:color w:val="auto"/>
              </w:rPr>
            </w:pPr>
          </w:p>
        </w:tc>
      </w:tr>
      <w:tr>
        <w:trPr>
          <w:trHeight w:val="238"/>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60" w:type="dxa"/>
            <w:vAlign w:val="bottom"/>
          </w:tcPr>
          <w:p>
            <w:pPr>
              <w:spacing w:after="0"/>
              <w:rPr>
                <w:sz w:val="20"/>
                <w:szCs w:val="20"/>
                <w:color w:val="auto"/>
              </w:rPr>
            </w:pPr>
          </w:p>
        </w:tc>
      </w:tr>
      <w:tr>
        <w:trPr>
          <w:trHeight w:val="228"/>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Thereafer</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60" w:type="dxa"/>
            <w:vAlign w:val="bottom"/>
          </w:tcPr>
          <w:p>
            <w:pPr>
              <w:spacing w:after="0"/>
              <w:rPr>
                <w:sz w:val="19"/>
                <w:szCs w:val="19"/>
                <w:color w:val="auto"/>
              </w:rPr>
            </w:pPr>
          </w:p>
        </w:tc>
      </w:tr>
      <w:tr>
        <w:trPr>
          <w:trHeight w:val="238"/>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60" w:type="dxa"/>
            <w:vAlign w:val="bottom"/>
          </w:tcPr>
          <w:p>
            <w:pPr>
              <w:spacing w:after="0"/>
              <w:rPr>
                <w:sz w:val="20"/>
                <w:szCs w:val="20"/>
                <w:color w:val="auto"/>
              </w:rPr>
            </w:pPr>
          </w:p>
        </w:tc>
      </w:tr>
      <w:tr>
        <w:trPr>
          <w:trHeight w:val="228"/>
        </w:trPr>
        <w:tc>
          <w:tcPr>
            <w:tcW w:w="8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9"/>
                <w:szCs w:val="19"/>
                <w:color w:val="auto"/>
              </w:rPr>
            </w:pPr>
          </w:p>
        </w:tc>
      </w:tr>
      <w:tr>
        <w:trPr>
          <w:trHeight w:val="249"/>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liabilites</w:t>
            </w:r>
          </w:p>
        </w:tc>
        <w:tc>
          <w:tcPr>
            <w:tcW w:w="110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60" w:type="dxa"/>
            <w:vAlign w:val="bottom"/>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Informaton</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three reportable segments: Industrial, Water Treatment and Health and Nutriton. The accountng policies of the segments are the same as those described in the summary of signifcant accountng policies. Product costs and expenses for each segment are based on actual costs incurred along with cost allocatons of shared and centralized functons.</w:t>
      </w:r>
    </w:p>
    <w:p>
      <w:pPr>
        <w:spacing w:after="0" w:line="2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evaluate performance based on operatng income. Reportable segments are defned primarily by product and type of customer. Segments are responsible for the sales, marketng and development of their products and services. Other than our Health and Nutriton segment, the segments do not have separate customer service or purchasing functons. There are no intersegment sales and no operatng segments have been aggregated.</w:t>
      </w:r>
    </w:p>
    <w:tbl>
      <w:tblPr>
        <w:tblLayout w:type="fixed"/>
        <w:tblInd w:w="0" w:type="dxa"/>
        <w:tblCellMar>
          <w:top w:w="0" w:type="dxa"/>
          <w:left w:w="0" w:type="dxa"/>
          <w:bottom w:w="0" w:type="dxa"/>
          <w:right w:w="0" w:type="dxa"/>
        </w:tblCellMar>
      </w:tblPr>
      <w:tr>
        <w:trPr>
          <w:trHeight w:val="135"/>
        </w:trPr>
        <w:tc>
          <w:tcPr>
            <w:tcW w:w="5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392"/>
              <w:spacing w:after="0" w:line="135" w:lineRule="exact"/>
              <w:rPr>
                <w:sz w:val="20"/>
                <w:szCs w:val="20"/>
                <w:color w:val="auto"/>
              </w:rPr>
            </w:pPr>
            <w:r>
              <w:rPr>
                <w:rFonts w:ascii="Arial" w:cs="Arial" w:eastAsia="Arial" w:hAnsi="Arial"/>
                <w:sz w:val="14"/>
                <w:szCs w:val="14"/>
                <w:b w:val="1"/>
                <w:bCs w:val="1"/>
                <w:color w:val="auto"/>
              </w:rPr>
              <w:t>Water</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Industrial</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Treatment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6"/>
              </w:rPr>
              <w:t>Health and Nutriton</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April 2, 2023:</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470,760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304,925</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159,413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935,098</w:t>
            </w: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165,119</w:t>
            </w:r>
          </w:p>
        </w:tc>
        <w:tc>
          <w:tcPr>
            <w:tcW w:w="0" w:type="dxa"/>
            <w:vAlign w:val="bottom"/>
          </w:tcPr>
          <w:p>
            <w:pPr>
              <w:spacing w:after="0"/>
              <w:rPr>
                <w:sz w:val="1"/>
                <w:szCs w:val="1"/>
                <w:color w:val="auto"/>
              </w:rPr>
            </w:pPr>
          </w:p>
        </w:tc>
      </w:tr>
      <w:tr>
        <w:trPr>
          <w:trHeight w:val="235"/>
        </w:trPr>
        <w:tc>
          <w:tcPr>
            <w:tcW w:w="5400" w:type="dxa"/>
            <w:vAlign w:val="bottom"/>
          </w:tcPr>
          <w:p>
            <w:pPr>
              <w:ind w:left="360"/>
              <w:spacing w:after="0"/>
              <w:rPr>
                <w:sz w:val="20"/>
                <w:szCs w:val="20"/>
                <w:color w:val="auto"/>
              </w:rPr>
            </w:pPr>
            <w:r>
              <w:rPr>
                <w:rFonts w:ascii="Arial" w:cs="Arial" w:eastAsia="Arial" w:hAnsi="Arial"/>
                <w:sz w:val="18"/>
                <w:szCs w:val="18"/>
                <w:color w:val="auto"/>
              </w:rPr>
              <w:t>Selling, general, and administratve expenses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76,969</w:t>
            </w:r>
          </w:p>
        </w:tc>
        <w:tc>
          <w:tcPr>
            <w:tcW w:w="0" w:type="dxa"/>
            <w:vAlign w:val="bottom"/>
          </w:tcPr>
          <w:p>
            <w:pPr>
              <w:spacing w:after="0"/>
              <w:rPr>
                <w:sz w:val="1"/>
                <w:szCs w:val="1"/>
                <w:color w:val="auto"/>
              </w:rPr>
            </w:pPr>
          </w:p>
        </w:tc>
      </w:tr>
      <w:tr>
        <w:trPr>
          <w:trHeight w:val="261"/>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Operatng income</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253,436</w:t>
            </w:r>
          </w:p>
        </w:tc>
        <w:tc>
          <w:tcPr>
            <w:tcW w:w="10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155,430</w:t>
            </w:r>
          </w:p>
        </w:tc>
        <w:tc>
          <w:tcPr>
            <w:tcW w:w="120" w:type="dxa"/>
            <w:vAlign w:val="bottom"/>
            <w:vMerge w:val="continue"/>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155,626</w:t>
            </w:r>
          </w:p>
        </w:tc>
        <w:tc>
          <w:tcPr>
            <w:tcW w:w="12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564,492</w:t>
            </w: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48,321</w:t>
            </w:r>
          </w:p>
        </w:tc>
        <w:tc>
          <w:tcPr>
            <w:tcW w:w="0" w:type="dxa"/>
            <w:vAlign w:val="bottom"/>
          </w:tcPr>
          <w:p>
            <w:pPr>
              <w:spacing w:after="0"/>
              <w:rPr>
                <w:sz w:val="1"/>
                <w:szCs w:val="1"/>
                <w:color w:val="auto"/>
              </w:rPr>
            </w:pP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Fiscal Year Ended April 3, 2022:</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386,938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228,133</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159,470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774,541</w:t>
            </w:r>
          </w:p>
        </w:tc>
        <w:tc>
          <w:tcPr>
            <w:tcW w:w="0" w:type="dxa"/>
            <w:vAlign w:val="bottom"/>
          </w:tcPr>
          <w:p>
            <w:pPr>
              <w:spacing w:after="0"/>
              <w:rPr>
                <w:sz w:val="1"/>
                <w:szCs w:val="1"/>
                <w:color w:val="auto"/>
              </w:rPr>
            </w:pPr>
          </w:p>
        </w:tc>
      </w:tr>
      <w:tr>
        <w:trPr>
          <w:trHeight w:val="235"/>
        </w:trPr>
        <w:tc>
          <w:tcPr>
            <w:tcW w:w="5400" w:type="dxa"/>
            <w:vAlign w:val="bottom"/>
          </w:tcPr>
          <w:p>
            <w:pPr>
              <w:ind w:left="360"/>
              <w:spacing w:after="0"/>
              <w:rPr>
                <w:sz w:val="20"/>
                <w:szCs w:val="20"/>
                <w:color w:val="auto"/>
              </w:rPr>
            </w:pPr>
            <w:r>
              <w:rPr>
                <w:rFonts w:ascii="Arial" w:cs="Arial" w:eastAsia="Arial" w:hAnsi="Arial"/>
                <w:sz w:val="18"/>
                <w:szCs w:val="18"/>
                <w:color w:val="auto"/>
              </w:rPr>
              <w:t>Gross proft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146,520</w:t>
            </w: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administratve expenses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75,326</w:t>
            </w:r>
          </w:p>
        </w:tc>
        <w:tc>
          <w:tcPr>
            <w:tcW w:w="0" w:type="dxa"/>
            <w:vAlign w:val="bottom"/>
          </w:tcPr>
          <w:p>
            <w:pPr>
              <w:spacing w:after="0"/>
              <w:rPr>
                <w:sz w:val="1"/>
                <w:szCs w:val="1"/>
                <w:color w:val="auto"/>
              </w:rPr>
            </w:pPr>
          </w:p>
        </w:tc>
      </w:tr>
      <w:tr>
        <w:trPr>
          <w:trHeight w:val="228"/>
        </w:trPr>
        <w:tc>
          <w:tcPr>
            <w:tcW w:w="5400" w:type="dxa"/>
            <w:vAlign w:val="bottom"/>
          </w:tcPr>
          <w:p>
            <w:pPr>
              <w:ind w:left="360"/>
              <w:spacing w:after="0"/>
              <w:rPr>
                <w:sz w:val="20"/>
                <w:szCs w:val="20"/>
                <w:color w:val="auto"/>
              </w:rPr>
            </w:pPr>
            <w:r>
              <w:rPr>
                <w:rFonts w:ascii="Arial" w:cs="Arial" w:eastAsia="Arial" w:hAnsi="Arial"/>
                <w:sz w:val="18"/>
                <w:szCs w:val="18"/>
                <w:color w:val="auto"/>
              </w:rPr>
              <w:t>Operatng income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Identfable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547,857</w:t>
            </w:r>
          </w:p>
        </w:tc>
        <w:tc>
          <w:tcPr>
            <w:tcW w:w="0" w:type="dxa"/>
            <w:vAlign w:val="bottom"/>
          </w:tcPr>
          <w:p>
            <w:pPr>
              <w:spacing w:after="0"/>
              <w:rPr>
                <w:sz w:val="1"/>
                <w:szCs w:val="1"/>
                <w:color w:val="auto"/>
              </w:rPr>
            </w:pPr>
          </w:p>
        </w:tc>
      </w:tr>
      <w:tr>
        <w:trPr>
          <w:trHeight w:val="228"/>
        </w:trPr>
        <w:tc>
          <w:tcPr>
            <w:tcW w:w="540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18,812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8,939</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28,512</w:t>
            </w: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28, 2021:</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400" w:type="dxa"/>
            <w:vAlign w:val="bottom"/>
          </w:tcPr>
          <w:p>
            <w:pPr>
              <w:ind w:left="36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273,361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170,004</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153,506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596,871</w:t>
            </w: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123,762</w:t>
            </w:r>
          </w:p>
        </w:tc>
        <w:tc>
          <w:tcPr>
            <w:tcW w:w="0" w:type="dxa"/>
            <w:vAlign w:val="bottom"/>
          </w:tcPr>
          <w:p>
            <w:pPr>
              <w:spacing w:after="0"/>
              <w:rPr>
                <w:sz w:val="1"/>
                <w:szCs w:val="1"/>
                <w:color w:val="auto"/>
              </w:rPr>
            </w:pPr>
          </w:p>
        </w:tc>
      </w:tr>
      <w:tr>
        <w:trPr>
          <w:trHeight w:val="228"/>
        </w:trPr>
        <w:tc>
          <w:tcPr>
            <w:tcW w:w="5400" w:type="dxa"/>
            <w:vAlign w:val="bottom"/>
          </w:tcPr>
          <w:p>
            <w:pPr>
              <w:ind w:left="360"/>
              <w:spacing w:after="0"/>
              <w:rPr>
                <w:sz w:val="20"/>
                <w:szCs w:val="20"/>
                <w:color w:val="auto"/>
              </w:rPr>
            </w:pPr>
            <w:r>
              <w:rPr>
                <w:rFonts w:ascii="Arial" w:cs="Arial" w:eastAsia="Arial" w:hAnsi="Arial"/>
                <w:sz w:val="18"/>
                <w:szCs w:val="18"/>
                <w:color w:val="auto"/>
              </w:rPr>
              <w:t>Selling, general, and administratve expenses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Operatng income</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Identfable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181,478</w:t>
            </w:r>
          </w:p>
        </w:tc>
        <w:tc>
          <w:tcPr>
            <w:tcW w:w="10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109,761</w:t>
            </w:r>
          </w:p>
        </w:tc>
        <w:tc>
          <w:tcPr>
            <w:tcW w:w="1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166,558</w:t>
            </w:r>
          </w:p>
        </w:tc>
        <w:tc>
          <w:tcPr>
            <w:tcW w:w="1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457,797</w:t>
            </w: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360" w:firstLine="8"/>
        <w:spacing w:after="0" w:line="273" w:lineRule="auto"/>
        <w:tabs>
          <w:tab w:leader="none" w:pos="13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Unallocated assets not included, consistng primarily of cash and cash equivalents,prepaid expenses, and non-qualifed deferred compensaton plan assets of $26.0 million at April 2, 2023, $19.5 million at April 3, 2022 and $14.8 million at March 28,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Evaluaton of Disclosure Controls and Procedures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evaluaton, under supervision and with the partcipaton of management, including the chief executve ofcer and chief fnancial ofcer, of the efectveness of the design and operaton of our disclosure controls and procedures pursuant to Rules 13a-15(f) and 15d-15(f) of the Exchange Act. Based upon that evaluaton, our chief executve ofcer and chief fnancial ofcer concluded that our disclosure controls and procedures are efectve.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Reportng</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fnancial reportng as defned in Rules 13a-15(f) and 15d-15(f) of the Securites Exchange Act. Our internal control over fnancial reportng is designed to provide reasonable assurance regarding the reliability of fnancial reportng and the preparaton of fnancial statements for external purposes in accordance with generally accepted accountng principles. Our internal control over fnancial reportng includes those policies and procedures that (1) pertain to maintenance of records that, in reasonable detail, accurately and fairly refect the transactons and dispositons of our assets; (2) provide reasonable assurance that transactons are recorded as necessary to permit preparaton of the fnancial statements in accordance with generally accepted accountng principles, and that our receipts and expenditures are being made only in accordance with authorizatons of our management and directors; and (3) provide reasonable assurance regarding preventon or tmely detecton of unauthorized acquisiton, use or dispositon of our assets that could have a material efect on the fnancial statements.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of its inherent limitatons, internal control over fnancial reportng may not prevent or detect misstatements. Projectons of any evaluaton of the efectveness of internal control over fnancial reportng to future periods are subject to the risk that the controls may become inadequate because of changes in conditons, or that the degree of compliance with the policies or procedures may deteriorate.</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Management assessed the efectveness of our internal control over fnancial reportng as of April 2, 2023, based on the criteria described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Commitee of Sponsoring Organizatons of the Treadway Commission. Based on this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that our internal control over fnancial reportng was efectve as of April 2, 2023.</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independent registered public accountng frm has issued an atestaton report on our internal control over fnancial reportng for April 2, 2023 which is included in the Report of Independent Registered Public Accountng Firm in Item 8 of this Annual Report on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There was no change in our internal control over fnancial reportng during the fourth quarter of fscal 2023 that has materially afected, or is reasonably likely to materially afect, our internal control over fnancial reportng.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informaton required by Part III is incorporated by reference from Hawkins’ defnitve Proxy Statement for the Annual Meetng of Shareholders to be held on August 2, 2023 (the “2023 Proxy Statement”). Except for those portons specifcally incorporated in this Form 10-K by reference to the 2023 Proxy Statement, no other portons of the 2023 Proxy Statement are deemed to be fled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Informaton about our Executve Ofcers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executve ofcers, their ages and ofces held, are set forth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79"/>
              </w:rPr>
              <w:t>Age</w:t>
            </w:r>
          </w:p>
        </w:tc>
        <w:tc>
          <w:tcPr>
            <w:tcW w:w="1140" w:type="dxa"/>
            <w:vAlign w:val="bottom"/>
            <w:shd w:val="clear" w:color="auto" w:fill="CCEEFF"/>
          </w:tcPr>
          <w:p>
            <w:pPr>
              <w:spacing w:after="0"/>
              <w:rPr>
                <w:sz w:val="16"/>
                <w:szCs w:val="16"/>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Ofce</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9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5400" w:type="dxa"/>
            <w:vAlign w:val="bottom"/>
            <w:tcBorders>
              <w:top w:val="single" w:sz="8" w:color="CCEEFF"/>
            </w:tcBorders>
            <w:shd w:val="clear" w:color="auto" w:fill="CCEEFF"/>
          </w:tcPr>
          <w:p>
            <w:pPr>
              <w:spacing w:after="0"/>
              <w:rPr>
                <w:sz w:val="2"/>
                <w:szCs w:val="2"/>
                <w:color w:val="auto"/>
              </w:rPr>
            </w:pP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Chief Executve Ofcer and President</w:t>
            </w:r>
          </w:p>
        </w:tc>
      </w:tr>
      <w:tr>
        <w:trPr>
          <w:trHeight w:val="231"/>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Jefrey P. Oldenkamp</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Executve Vice President, Chief Financial Ofcer and Treasurer</w:t>
            </w:r>
          </w:p>
        </w:tc>
      </w:tr>
      <w:tr>
        <w:trPr>
          <w:trHeight w:val="235"/>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260" w:type="dxa"/>
            <w:vAlign w:val="bottom"/>
          </w:tcPr>
          <w:p>
            <w:pPr>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238"/>
        </w:trPr>
        <w:tc>
          <w:tcPr>
            <w:tcW w:w="2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Drew M. Grahek</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114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 Operatons</w:t>
            </w:r>
          </w:p>
        </w:tc>
      </w:tr>
      <w:tr>
        <w:trPr>
          <w:trHeight w:val="22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Douglas A. Lange</w:t>
            </w:r>
          </w:p>
        </w:tc>
        <w:tc>
          <w:tcPr>
            <w:tcW w:w="260" w:type="dxa"/>
            <w:vAlign w:val="bottom"/>
          </w:tcPr>
          <w:p>
            <w:pPr>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Vice President — Water Treatment Group</w:t>
            </w:r>
          </w:p>
        </w:tc>
      </w:tr>
      <w:tr>
        <w:trPr>
          <w:trHeight w:val="244"/>
        </w:trPr>
        <w:tc>
          <w:tcPr>
            <w:tcW w:w="20" w:type="dxa"/>
            <w:vAlign w:val="bottom"/>
            <w:shd w:val="clear" w:color="auto" w:fill="CCEEFF"/>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Mangine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65</w:t>
            </w:r>
          </w:p>
        </w:tc>
        <w:tc>
          <w:tcPr>
            <w:tcW w:w="1140" w:type="dxa"/>
            <w:vAlign w:val="bottom"/>
            <w:shd w:val="clear" w:color="auto" w:fill="CCEEFF"/>
          </w:tcPr>
          <w:p>
            <w:pPr>
              <w:spacing w:after="0"/>
              <w:rPr>
                <w:sz w:val="21"/>
                <w:szCs w:val="21"/>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 Industrial Group</w:t>
            </w:r>
          </w:p>
        </w:tc>
      </w:tr>
      <w:tr>
        <w:trPr>
          <w:trHeight w:val="227"/>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260" w:type="dxa"/>
            <w:vAlign w:val="bottom"/>
          </w:tcPr>
          <w:p>
            <w:pPr>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Vice President — Health and Nutriton</w:t>
            </w:r>
          </w:p>
        </w:tc>
      </w:tr>
    </w:tbl>
    <w:p>
      <w:pPr>
        <w:spacing w:after="0" w:line="30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Executve Ofcer and President and member of our board since 2011. Mr. Hawkins has held the positon of</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since 2010. He joined the Company in 1992 and served as the Business Director - Food and Pharmaceutcals, a positon he held from 2009 to 2010. Previously he served as Business Manager - Food and Co-Extrusion Products from 2007 to 2009 and Sales Representatve - Food Ingredients from 2002 to 2007. He previously served the Company in various other capacites, including Plant Manager, Quality Director and Technical Director.</w:t>
      </w:r>
    </w:p>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xml:space="preserve">Jefrey P. Oldenkamp </w:t>
      </w:r>
      <w:r>
        <w:rPr>
          <w:rFonts w:ascii="Arial" w:cs="Arial" w:eastAsia="Arial" w:hAnsi="Arial"/>
          <w:sz w:val="16"/>
          <w:szCs w:val="16"/>
          <w:color w:val="auto"/>
        </w:rPr>
        <w:t>has been our Executve Vice President, Chief Financial Ofcer and Treasurer since October 2021. Mr. Oldenkamp joined Hawkins in</w:t>
      </w:r>
      <w:r>
        <w:rPr>
          <w:rFonts w:ascii="Arial" w:cs="Arial" w:eastAsia="Arial" w:hAnsi="Arial"/>
          <w:sz w:val="16"/>
          <w:szCs w:val="16"/>
          <w:i w:val="1"/>
          <w:iCs w:val="1"/>
          <w:color w:val="auto"/>
        </w:rPr>
        <w:t xml:space="preserve"> </w:t>
      </w:r>
      <w:r>
        <w:rPr>
          <w:rFonts w:ascii="Arial" w:cs="Arial" w:eastAsia="Arial" w:hAnsi="Arial"/>
          <w:sz w:val="16"/>
          <w:szCs w:val="16"/>
          <w:color w:val="auto"/>
        </w:rPr>
        <w:t>May 2017 and assumed the role of Chief Financial Ofcer, Vice President and Treasurer in June 2017. Prior to joining Hawkins, Mr. Oldenkamp was with MTS Systems Corporaton, a supplier of high-performance test systems and sensors, where he served as Chief Financial Ofcer from 2015 to May 2017 and as Vice President of Finance for the MTS Test business from 2014 to 2015, and with Nilfsk-Advance, Inc., a global manufacturer of professional cleaning equipment, where he served as Americas Operatons Chief Financial Ofcer and Vice President from 2012 to 2014.</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2008. Mr. Erstad was General Counsel and Secretary of BUCA, Inc., a</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company, from 2005 to 2008. Mr. Erstad had previously been an atorney with the corporate group of Faegre &amp; Benson LLP, a law frm, from 1996 to 2005, where his practce focused on securites law and mergers and acquisitons. He is a member of the Minnesota Bar.</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Operatons since September 2018. Prior to joining Hawkins, Mr. Grahek was Adjunct Faculty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Minnesota College of Contnuing Educaton and a Business Administrator in the Archdiocese of St. Paul and Minneapolis from June 2017 to June 2018; Director of Service Operatons and Supply Chain with Ulta Beauty, Inc. from April 2016 to June 2017; and Director of Stores with Field and Stream Outdoor Stores, a division of Dick’s Sportng Goods, Inc. from July 2015 to April 2016. Previously, he spent a total of 23 years at Target Corporaton in a variety of operatons, merchandising and property management positons.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Douglas A. Lange </w:t>
      </w:r>
      <w:r>
        <w:rPr>
          <w:rFonts w:ascii="Arial" w:cs="Arial" w:eastAsia="Arial" w:hAnsi="Arial"/>
          <w:sz w:val="18"/>
          <w:szCs w:val="18"/>
          <w:color w:val="auto"/>
        </w:rPr>
        <w:t>has been our Vice President - Water Treatment Group since June 2020. Prior to ataining this positon, Mr. Lange served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and Product Development Manager for the Water Treatment Group afer joining the company in January 2019. Prior to joining the Company, Mr. Lange was with H.B. Fuller Company, a global supplier of special adhesives, where he served as Global Marketng Manager and Product Manager for specialty markets in electronics and wood products from 2011 to January 2019. Mr. Lange served in various roles in the specialty adhesives market for a total of 21 years prior to joining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i w:val="1"/>
          <w:iCs w:val="1"/>
          <w:color w:val="auto"/>
        </w:rPr>
        <w:t xml:space="preserve">David J. Mangine </w:t>
      </w:r>
      <w:r>
        <w:rPr>
          <w:rFonts w:ascii="Arial" w:cs="Arial" w:eastAsia="Arial" w:hAnsi="Arial"/>
          <w:sz w:val="18"/>
          <w:szCs w:val="18"/>
          <w:color w:val="auto"/>
        </w:rPr>
        <w:t>has been our Vice President - Industrial Group since 2021. Prior to ataining this positon, Mr. Mangine served as the Industrial Sales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from 2011 to 2021, afer joining Hawkins in 2000 as an Account Manager.</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i w:val="1"/>
          <w:iCs w:val="1"/>
          <w:color w:val="auto"/>
        </w:rPr>
        <w:t xml:space="preserve">Shirley A. Rozeboom </w:t>
      </w:r>
      <w:r>
        <w:rPr>
          <w:rFonts w:ascii="Arial" w:cs="Arial" w:eastAsia="Arial" w:hAnsi="Arial"/>
          <w:sz w:val="17"/>
          <w:szCs w:val="17"/>
          <w:color w:val="auto"/>
        </w:rPr>
        <w:t>has been our Vice President - Health and Nutriton since 2019. Prior to ataining this positon, Ms. Rozeboom held the positon of</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of Sales for Stauber from 2012 to 2019, Director of Sales from 2008 to 2012 and Account Executve from 2000 to 2008.</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disclosure under the headings “Electon of Directors,” “Corporate Governance,” and, if applicable, “Delinquent Secton 16(a) Reports” of the 2022 Proxy Statement is incorporated herein by reference.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executve ofcer, principal fnancial ofcer, controller and other persons performing similar functons. We have posted the Code of Business Conduct and Ethics on our website located at www.hawkinsinc.com. Hawkins’ Code of Business Conduct and Ethics is also available in print to any shareholder who requests it in writng from our Corporate Secretary. We intend to post on our website any amendment to, or waiver from, a provision of our Code of Business Conduct and Ethics that applies to our principal executve ofcer, principal fnancial ofcer, controller and other persons performing similar functons within four business days following the date of such amendment or waiver. We are not including the informaton contained on our website as part of, or incorporatng it by reference into,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The disclosure under the heading “Compensaton of Executve Ofcers and Directors” in the 2023 Proxy Statement is incorporated herein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disclosure under the headings “Security Ownership of Management and Benefcial Ownership” and “Equity Compensaton Plan Informaton” in the 2023 Proxy Statement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disclosure under the headings “Electon of Directors” and “Related Party Transactons” of the 2023 Proxy Statement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disclosure under the heading “Independent Registered Public Accountng Firm’s Fees” of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52"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fnancial statements of Hawkins, Inc. are fled as part of this Annual Report on Form 10-K:</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Reports of Independent Registered Public Accountng Firms.</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Balance Sheets at April 2, 2023 and April 3, 2022.</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Statements of Income for the fscal years ended April 2, 2023, April 3, 2022 and March 28, 2021.</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Consolidated Statements of Comprehensive Income for the fscal years ended April 2, 2023, April 3, 2022 and March 28, 2021.</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Consolidated Statements of Shareholders’ Equity for the fscal years ended April 2, 2023, April 3, 2022, and March 28, 2021.</w:t>
      </w:r>
    </w:p>
    <w:p>
      <w:pPr>
        <w:spacing w:after="0" w:line="10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Statements of Cash Flows for the fscal years ended April 2, 2023, April 3, 2022, and March 28, 2021.</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90" w:lineRule="exact"/>
        <w:rPr>
          <w:sz w:val="20"/>
          <w:szCs w:val="20"/>
          <w:color w:val="auto"/>
        </w:rPr>
      </w:pPr>
    </w:p>
    <w:p>
      <w:pPr>
        <w:ind w:left="1380"/>
        <w:spacing w:after="0" w:line="236" w:lineRule="auto"/>
        <w:rPr>
          <w:sz w:val="20"/>
          <w:szCs w:val="20"/>
          <w:color w:val="auto"/>
        </w:rPr>
      </w:pPr>
      <w:r>
        <w:rPr>
          <w:rFonts w:ascii="Arial" w:cs="Arial" w:eastAsia="Arial" w:hAnsi="Arial"/>
          <w:sz w:val="17"/>
          <w:szCs w:val="17"/>
          <w:color w:val="auto"/>
        </w:rPr>
        <w:t>The additonal fnancial data listed below is included as a schedule to this Annual Report on Form 10-K and should be read in conjuncton with the fnancial statements presented in Part II, Item 8. Schedules not included with this additonal fnancial data have been omited because they are not required, or the required informaton is included in the fnancial statements or the notes.</w:t>
      </w:r>
    </w:p>
    <w:p>
      <w:pPr>
        <w:spacing w:after="0" w:line="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fnancial statement schedule for the fscal years 2023, 2022 and 2021.</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Schedule II — Valuaton and Qualifying Accounts.</w:t>
      </w:r>
    </w:p>
    <w:p>
      <w:pPr>
        <w:spacing w:after="0" w:line="7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15" w:right="559" w:bottom="1440" w:gutter="0" w:footer="0" w:header="0"/>
        </w:sectPr>
      </w:pPr>
    </w:p>
    <w:bookmarkStart w:id="50" w:name="page51"/>
    <w:bookmarkEnd w:id="50"/>
    <w:p>
      <w:pPr>
        <w:ind w:left="5114"/>
        <w:spacing w:after="0"/>
        <w:rPr>
          <w:sz w:val="20"/>
          <w:szCs w:val="20"/>
          <w:color w:val="auto"/>
        </w:rPr>
      </w:pPr>
      <w:r>
        <w:rPr>
          <w:rFonts w:ascii="Arial" w:cs="Arial" w:eastAsia="Arial" w:hAnsi="Arial"/>
          <w:sz w:val="15"/>
          <w:szCs w:val="15"/>
          <w:b w:val="1"/>
          <w:bCs w:val="1"/>
          <w:color w:val="auto"/>
        </w:rPr>
        <w:t>Exhibit Index</w:t>
      </w:r>
    </w:p>
    <w:p>
      <w:pPr>
        <w:sectPr>
          <w:pgSz w:w="11900" w:h="16838" w:orient="portrait"/>
          <w:cols w:equalWidth="0" w:num="1">
            <w:col w:w="10514"/>
          </w:cols>
          <w:pgMar w:left="346" w:top="915" w:right="1039" w:bottom="1440" w:gutter="0" w:footer="0" w:header="0"/>
        </w:sectPr>
      </w:pPr>
    </w:p>
    <w:p>
      <w:pPr>
        <w:spacing w:after="0" w:line="200" w:lineRule="exact"/>
        <w:rPr>
          <w:sz w:val="20"/>
          <w:szCs w:val="20"/>
          <w:color w:val="auto"/>
        </w:rPr>
      </w:pPr>
    </w:p>
    <w:p>
      <w:pPr>
        <w:spacing w:after="0" w:line="230" w:lineRule="exact"/>
        <w:rPr>
          <w:sz w:val="20"/>
          <w:szCs w:val="20"/>
          <w:color w:val="auto"/>
        </w:rPr>
      </w:pPr>
    </w:p>
    <w:tbl>
      <w:tblPr>
        <w:tblLayout w:type="fixed"/>
        <w:tblInd w:w="914"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Exhibit</w:t>
            </w:r>
          </w:p>
        </w:tc>
        <w:tc>
          <w:tcPr>
            <w:tcW w:w="240" w:type="dxa"/>
            <w:vAlign w:val="bottom"/>
          </w:tcPr>
          <w:p>
            <w:pPr>
              <w:spacing w:after="0"/>
              <w:rPr>
                <w:sz w:val="14"/>
                <w:szCs w:val="14"/>
                <w:color w:val="auto"/>
              </w:rPr>
            </w:pPr>
          </w:p>
        </w:tc>
        <w:tc>
          <w:tcPr>
            <w:tcW w:w="6580" w:type="dxa"/>
            <w:vAlign w:val="bottom"/>
            <w:gridSpan w:val="13"/>
          </w:tcPr>
          <w:p>
            <w:pPr>
              <w:spacing w:after="0"/>
              <w:rPr>
                <w:sz w:val="20"/>
                <w:szCs w:val="20"/>
                <w:color w:val="auto"/>
              </w:rPr>
            </w:pPr>
            <w:r>
              <w:rPr>
                <w:rFonts w:ascii="Arial" w:cs="Arial" w:eastAsia="Arial" w:hAnsi="Arial"/>
                <w:sz w:val="14"/>
                <w:szCs w:val="14"/>
                <w:b w:val="1"/>
                <w:bCs w:val="1"/>
                <w:color w:val="auto"/>
              </w:rPr>
              <w:t>Descripton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740" w:type="dxa"/>
            <w:vAlign w:val="bottom"/>
            <w:tcBorders>
              <w:bottom w:val="single" w:sz="8" w:color="0000FF"/>
            </w:tcBorders>
            <w:gridSpan w:val="4"/>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Restated Artcles of Incorporaton. (1)</w:t>
              </w:r>
            </w:hyperlink>
          </w:p>
        </w:tc>
        <w:tc>
          <w:tcPr>
            <w:tcW w:w="3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6580" w:type="dxa"/>
            <w:vAlign w:val="bottom"/>
            <w:gridSpan w:val="13"/>
          </w:tcPr>
          <w:p>
            <w:pPr>
              <w:spacing w:after="0"/>
              <w:rPr>
                <w:rFonts w:ascii="Arial" w:cs="Arial" w:eastAsia="Arial" w:hAnsi="Arial"/>
                <w:sz w:val="18"/>
                <w:szCs w:val="18"/>
                <w:color w:val="0000FF"/>
              </w:rPr>
            </w:pPr>
            <w:hyperlink r:id="rId73">
              <w:r>
                <w:rPr>
                  <w:rFonts w:ascii="Arial" w:cs="Arial" w:eastAsia="Arial" w:hAnsi="Arial"/>
                  <w:sz w:val="18"/>
                  <w:szCs w:val="18"/>
                  <w:color w:val="0000FF"/>
                </w:rPr>
                <w:t>Amended and Restated By-Laws. (2)</w:t>
              </w:r>
            </w:hyperlink>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620" w:type="dxa"/>
            <w:vAlign w:val="bottom"/>
            <w:tcBorders>
              <w:top w:val="single" w:sz="8" w:color="0000FF"/>
            </w:tcBorders>
            <w:gridSpan w:val="3"/>
          </w:tcPr>
          <w:p>
            <w:pPr>
              <w:spacing w:after="0"/>
              <w:rPr>
                <w:rFonts w:ascii="Arial" w:cs="Arial" w:eastAsia="Arial" w:hAnsi="Arial"/>
                <w:sz w:val="18"/>
                <w:szCs w:val="18"/>
                <w:color w:val="0000FF"/>
              </w:rPr>
            </w:pPr>
            <w:hyperlink r:id="rId74">
              <w:r>
                <w:rPr>
                  <w:rFonts w:ascii="Arial" w:cs="Arial" w:eastAsia="Arial" w:hAnsi="Arial"/>
                  <w:sz w:val="18"/>
                  <w:szCs w:val="18"/>
                  <w:color w:val="0000FF"/>
                </w:rPr>
                <w:t>Descripton of Securites. (3)</w:t>
              </w:r>
            </w:hyperlink>
          </w:p>
        </w:tc>
        <w:tc>
          <w:tcPr>
            <w:tcW w:w="3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240" w:type="dxa"/>
            <w:vAlign w:val="bottom"/>
          </w:tcPr>
          <w:p>
            <w:pPr>
              <w:spacing w:after="0"/>
              <w:rPr>
                <w:sz w:val="22"/>
                <w:szCs w:val="22"/>
                <w:color w:val="auto"/>
              </w:rPr>
            </w:pPr>
          </w:p>
        </w:tc>
        <w:tc>
          <w:tcPr>
            <w:tcW w:w="3420" w:type="dxa"/>
            <w:vAlign w:val="bottom"/>
            <w:tcBorders>
              <w:bottom w:val="single" w:sz="8" w:color="0000FF"/>
            </w:tcBorders>
            <w:gridSpan w:val="8"/>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Hawkins, Inc. 2010 Omnibus Incentve Plan. (4)</w:t>
              </w:r>
            </w:hyperlink>
          </w:p>
        </w:tc>
        <w:tc>
          <w:tcPr>
            <w:tcW w:w="316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240" w:type="dxa"/>
            <w:vAlign w:val="bottom"/>
          </w:tcPr>
          <w:p>
            <w:pPr>
              <w:spacing w:after="0"/>
              <w:rPr>
                <w:sz w:val="22"/>
                <w:szCs w:val="22"/>
                <w:color w:val="auto"/>
              </w:rPr>
            </w:pPr>
          </w:p>
        </w:tc>
        <w:tc>
          <w:tcPr>
            <w:tcW w:w="6580" w:type="dxa"/>
            <w:vAlign w:val="bottom"/>
            <w:gridSpan w:val="13"/>
          </w:tcPr>
          <w:p>
            <w:pPr>
              <w:spacing w:after="0"/>
              <w:rPr>
                <w:rFonts w:ascii="Arial" w:cs="Arial" w:eastAsia="Arial" w:hAnsi="Arial"/>
                <w:sz w:val="18"/>
                <w:szCs w:val="18"/>
                <w:color w:val="0000FF"/>
              </w:rPr>
            </w:pPr>
            <w:hyperlink r:id="rId76">
              <w:r>
                <w:rPr>
                  <w:rFonts w:ascii="Arial" w:cs="Arial" w:eastAsia="Arial" w:hAnsi="Arial"/>
                  <w:sz w:val="18"/>
                  <w:szCs w:val="18"/>
                  <w:color w:val="0000FF"/>
                </w:rPr>
                <w:t>Hawkins, Inc. Executve Severance Plan. (5)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Pr>
          <w:p>
            <w:pPr>
              <w:jc w:val="right"/>
              <w:spacing w:after="0"/>
              <w:rPr>
                <w:sz w:val="20"/>
                <w:szCs w:val="20"/>
                <w:color w:val="auto"/>
              </w:rPr>
            </w:pPr>
            <w:r>
              <w:rPr>
                <w:rFonts w:ascii="Arial" w:cs="Arial" w:eastAsia="Arial" w:hAnsi="Arial"/>
                <w:sz w:val="18"/>
                <w:szCs w:val="18"/>
                <w:color w:val="auto"/>
                <w:w w:val="95"/>
              </w:rPr>
              <w:t>10.3*</w:t>
            </w:r>
          </w:p>
        </w:tc>
        <w:tc>
          <w:tcPr>
            <w:tcW w:w="240" w:type="dxa"/>
            <w:vAlign w:val="bottom"/>
          </w:tcPr>
          <w:p>
            <w:pPr>
              <w:spacing w:after="0"/>
              <w:rPr>
                <w:sz w:val="24"/>
                <w:szCs w:val="24"/>
                <w:color w:val="auto"/>
              </w:rPr>
            </w:pPr>
          </w:p>
        </w:tc>
        <w:tc>
          <w:tcPr>
            <w:tcW w:w="6580" w:type="dxa"/>
            <w:vAlign w:val="bottom"/>
            <w:gridSpan w:val="13"/>
          </w:tcPr>
          <w:p>
            <w:pPr>
              <w:spacing w:after="0"/>
              <w:rPr>
                <w:rFonts w:ascii="Arial" w:cs="Arial" w:eastAsia="Arial" w:hAnsi="Arial"/>
                <w:sz w:val="18"/>
                <w:szCs w:val="18"/>
                <w:color w:val="0000FF"/>
              </w:rPr>
            </w:pPr>
            <w:hyperlink r:id="rId77">
              <w:r>
                <w:rPr>
                  <w:rFonts w:ascii="Arial" w:cs="Arial" w:eastAsia="Arial" w:hAnsi="Arial"/>
                  <w:sz w:val="18"/>
                  <w:szCs w:val="18"/>
                  <w:color w:val="0000FF"/>
                </w:rPr>
                <w:t>Employee Stock Purchase Plan, as amended. (6)</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240" w:type="dxa"/>
            <w:vAlign w:val="bottom"/>
          </w:tcPr>
          <w:p>
            <w:pPr>
              <w:spacing w:after="0"/>
              <w:rPr>
                <w:sz w:val="22"/>
                <w:szCs w:val="22"/>
                <w:color w:val="auto"/>
              </w:rPr>
            </w:pPr>
          </w:p>
        </w:tc>
        <w:tc>
          <w:tcPr>
            <w:tcW w:w="6580" w:type="dxa"/>
            <w:vAlign w:val="bottom"/>
            <w:gridSpan w:val="13"/>
          </w:tcPr>
          <w:p>
            <w:pPr>
              <w:spacing w:after="0"/>
              <w:rPr>
                <w:sz w:val="20"/>
                <w:szCs w:val="20"/>
                <w:color w:val="auto"/>
              </w:rPr>
            </w:pPr>
            <w:r>
              <w:rPr>
                <w:rFonts w:ascii="Arial" w:cs="Arial" w:eastAsia="Arial" w:hAnsi="Arial"/>
                <w:sz w:val="18"/>
                <w:szCs w:val="18"/>
                <w:color w:val="0000FF"/>
                <w:w w:val="96"/>
              </w:rPr>
              <w:t>Amendment No. 2 to the Hawkins, Inc. Employee Stock Purchase Plan, as amended.</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6"/>
              </w:rPr>
              <w:t>10.5</w:t>
            </w:r>
          </w:p>
        </w:tc>
        <w:tc>
          <w:tcPr>
            <w:tcW w:w="240" w:type="dxa"/>
            <w:vAlign w:val="bottom"/>
          </w:tcPr>
          <w:p>
            <w:pPr>
              <w:spacing w:after="0"/>
              <w:rPr>
                <w:sz w:val="22"/>
                <w:szCs w:val="22"/>
                <w:color w:val="auto"/>
              </w:rPr>
            </w:pPr>
          </w:p>
        </w:tc>
        <w:tc>
          <w:tcPr>
            <w:tcW w:w="6580" w:type="dxa"/>
            <w:vAlign w:val="bottom"/>
            <w:tcBorders>
              <w:bottom w:val="single" w:sz="8" w:color="0000FF"/>
            </w:tcBorders>
            <w:gridSpan w:val="13"/>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Second Amended and Restated Credit Agreement, dated as of March 31, 2022, among the</w:t>
              </w:r>
            </w:hyperlink>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gridSpan w:val="10"/>
            <w:vMerge w:val="restart"/>
          </w:tcPr>
          <w:p>
            <w:pPr>
              <w:spacing w:after="0" w:line="169"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Company, U.S. Bank Natonal Associaton, and certain fnancial insttutons. (7)</w:t>
              </w:r>
            </w:hyperlink>
          </w:p>
        </w:tc>
        <w:tc>
          <w:tcPr>
            <w:tcW w:w="8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700" w:type="dxa"/>
            <w:vAlign w:val="bottom"/>
            <w:tcBorders>
              <w:bottom w:val="single" w:sz="8" w:color="0000FF"/>
            </w:tcBorders>
            <w:gridSpan w:val="10"/>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20" w:type="dxa"/>
            <w:vAlign w:val="bottom"/>
          </w:tcPr>
          <w:p>
            <w:pPr>
              <w:jc w:val="right"/>
              <w:spacing w:after="0"/>
              <w:rPr>
                <w:sz w:val="20"/>
                <w:szCs w:val="20"/>
                <w:color w:val="auto"/>
              </w:rPr>
            </w:pPr>
            <w:r>
              <w:rPr>
                <w:rFonts w:ascii="Arial" w:cs="Arial" w:eastAsia="Arial" w:hAnsi="Arial"/>
                <w:sz w:val="18"/>
                <w:szCs w:val="18"/>
                <w:color w:val="auto"/>
                <w:w w:val="95"/>
              </w:rPr>
              <w:t>10.6*</w:t>
            </w:r>
          </w:p>
        </w:tc>
        <w:tc>
          <w:tcPr>
            <w:tcW w:w="240" w:type="dxa"/>
            <w:vAlign w:val="bottom"/>
          </w:tcPr>
          <w:p>
            <w:pPr>
              <w:spacing w:after="0"/>
              <w:rPr>
                <w:sz w:val="22"/>
                <w:szCs w:val="22"/>
                <w:color w:val="auto"/>
              </w:rPr>
            </w:pPr>
          </w:p>
        </w:tc>
        <w:tc>
          <w:tcPr>
            <w:tcW w:w="3220" w:type="dxa"/>
            <w:vAlign w:val="bottom"/>
            <w:tcBorders>
              <w:bottom w:val="single" w:sz="8" w:color="0000FF"/>
            </w:tcBorders>
            <w:gridSpan w:val="7"/>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Hawkins, Inc. 2019 Equity Incentve Plan. (8)</w:t>
              </w:r>
            </w:hyperlink>
          </w:p>
        </w:tc>
        <w:tc>
          <w:tcPr>
            <w:tcW w:w="33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95"/>
              </w:rPr>
              <w:t>10.7*</w:t>
            </w:r>
          </w:p>
        </w:tc>
        <w:tc>
          <w:tcPr>
            <w:tcW w:w="240" w:type="dxa"/>
            <w:vAlign w:val="bottom"/>
          </w:tcPr>
          <w:p>
            <w:pPr>
              <w:spacing w:after="0"/>
              <w:rPr>
                <w:sz w:val="22"/>
                <w:szCs w:val="22"/>
                <w:color w:val="auto"/>
              </w:rPr>
            </w:pPr>
          </w:p>
        </w:tc>
        <w:tc>
          <w:tcPr>
            <w:tcW w:w="6520" w:type="dxa"/>
            <w:vAlign w:val="bottom"/>
            <w:tcBorders>
              <w:bottom w:val="single" w:sz="8" w:color="0000FF"/>
            </w:tcBorders>
            <w:gridSpan w:val="12"/>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Form of Performance Stock Unit Award Notce and Restricted Stock Agreement under the</w:t>
              </w:r>
            </w:hyperlink>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120" w:type="dxa"/>
            <w:vAlign w:val="bottom"/>
            <w:gridSpan w:val="6"/>
            <w:vMerge w:val="restart"/>
          </w:tcPr>
          <w:p>
            <w:pPr>
              <w:spacing w:after="0" w:line="169"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Company’s 2019 Equity Incentve Plan. (9)</w:t>
              </w:r>
            </w:hyperlink>
          </w:p>
        </w:tc>
        <w:tc>
          <w:tcPr>
            <w:tcW w:w="34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120" w:type="dxa"/>
            <w:vAlign w:val="bottom"/>
            <w:tcBorders>
              <w:bottom w:val="single" w:sz="8" w:color="0000FF"/>
            </w:tcBorders>
            <w:gridSpan w:val="6"/>
            <w:vMerge w:val="continue"/>
          </w:tcPr>
          <w:p>
            <w:pPr>
              <w:spacing w:after="0"/>
              <w:rPr>
                <w:sz w:val="5"/>
                <w:szCs w:val="5"/>
                <w:color w:val="auto"/>
              </w:rPr>
            </w:pPr>
          </w:p>
        </w:tc>
        <w:tc>
          <w:tcPr>
            <w:tcW w:w="34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2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240" w:type="dxa"/>
            <w:vAlign w:val="bottom"/>
          </w:tcPr>
          <w:p>
            <w:pPr>
              <w:spacing w:after="0"/>
              <w:rPr>
                <w:sz w:val="22"/>
                <w:szCs w:val="22"/>
                <w:color w:val="auto"/>
              </w:rPr>
            </w:pPr>
          </w:p>
        </w:tc>
        <w:tc>
          <w:tcPr>
            <w:tcW w:w="6580" w:type="dxa"/>
            <w:vAlign w:val="bottom"/>
            <w:gridSpan w:val="13"/>
          </w:tcPr>
          <w:p>
            <w:pPr>
              <w:spacing w:after="0"/>
              <w:rPr>
                <w:rFonts w:ascii="Arial" w:cs="Arial" w:eastAsia="Arial" w:hAnsi="Arial"/>
                <w:sz w:val="18"/>
                <w:szCs w:val="18"/>
                <w:color w:val="0000FF"/>
              </w:rPr>
            </w:pPr>
            <w:hyperlink r:id="rId81">
              <w:r>
                <w:rPr>
                  <w:rFonts w:ascii="Arial" w:cs="Arial" w:eastAsia="Arial" w:hAnsi="Arial"/>
                  <w:sz w:val="18"/>
                  <w:szCs w:val="18"/>
                  <w:color w:val="0000FF"/>
                </w:rPr>
                <w:t>Nine Year LTI with Shirley Rozeboom. (10)</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954" w:right="4440" w:firstLine="143"/>
        <w:spacing w:after="0" w:line="356" w:lineRule="auto"/>
        <w:tabs>
          <w:tab w:leader="none" w:pos="157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FF"/>
        </w:rPr>
        <w:t xml:space="preserve">Subsidiaries of the registrant. </w:t>
      </w:r>
      <w:r>
        <w:rPr>
          <w:rFonts w:ascii="Arial" w:cs="Arial" w:eastAsia="Arial" w:hAnsi="Arial"/>
          <w:sz w:val="17"/>
          <w:szCs w:val="17"/>
          <w:color w:val="000000"/>
        </w:rPr>
        <w:t xml:space="preserve">23.1 </w:t>
      </w:r>
      <w:r>
        <w:rPr>
          <w:rFonts w:ascii="Arial" w:cs="Arial" w:eastAsia="Arial" w:hAnsi="Arial"/>
          <w:sz w:val="17"/>
          <w:szCs w:val="17"/>
          <w:u w:val="single" w:color="auto"/>
          <w:color w:val="0000FF"/>
        </w:rPr>
        <w:t>Consent of Grant Thornton LLP.</w:t>
      </w:r>
    </w:p>
    <w:p>
      <w:pPr>
        <w:ind w:left="954"/>
        <w:spacing w:after="0"/>
        <w:rPr>
          <w:rFonts w:ascii="Arial" w:cs="Arial" w:eastAsia="Arial" w:hAnsi="Arial"/>
          <w:sz w:val="17"/>
          <w:szCs w:val="17"/>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0000FF"/>
        </w:rPr>
        <w:t>Powers of Atorney.</w:t>
      </w:r>
    </w:p>
    <w:p>
      <w:pPr>
        <w:spacing w:after="0" w:line="64" w:lineRule="exact"/>
        <w:rPr>
          <w:sz w:val="20"/>
          <w:szCs w:val="20"/>
          <w:color w:val="auto"/>
        </w:rPr>
      </w:pPr>
    </w:p>
    <w:tbl>
      <w:tblPr>
        <w:tblLayout w:type="fixed"/>
        <w:tblInd w:w="954" w:type="dxa"/>
        <w:tblCellMar>
          <w:top w:w="0" w:type="dxa"/>
          <w:left w:w="0" w:type="dxa"/>
          <w:bottom w:w="0" w:type="dxa"/>
          <w:right w:w="0" w:type="dxa"/>
        </w:tblCellMar>
      </w:tblPr>
      <w:tr>
        <w:trPr>
          <w:trHeight w:val="207"/>
        </w:trPr>
        <w:tc>
          <w:tcPr>
            <w:tcW w:w="620" w:type="dxa"/>
            <w:vAlign w:val="bottom"/>
            <w:vMerge w:val="restart"/>
          </w:tcPr>
          <w:p>
            <w:pPr>
              <w:jc w:val="right"/>
              <w:ind w:right="210"/>
              <w:spacing w:after="0"/>
              <w:rPr>
                <w:sz w:val="20"/>
                <w:szCs w:val="20"/>
                <w:color w:val="auto"/>
              </w:rPr>
            </w:pPr>
            <w:r>
              <w:rPr>
                <w:rFonts w:ascii="Arial" w:cs="Arial" w:eastAsia="Arial" w:hAnsi="Arial"/>
                <w:sz w:val="18"/>
                <w:szCs w:val="18"/>
                <w:color w:val="auto"/>
                <w:w w:val="85"/>
              </w:rPr>
              <w:t>31.1</w:t>
            </w:r>
          </w:p>
        </w:tc>
        <w:tc>
          <w:tcPr>
            <w:tcW w:w="6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5"/>
              </w:rPr>
              <w:t>Certfcaton by Chief Certfcaton by Chief Executve Ofcer pursuant to Rule 13a-14(a) of</w:t>
            </w:r>
          </w:p>
        </w:tc>
        <w:tc>
          <w:tcPr>
            <w:tcW w:w="0" w:type="dxa"/>
            <w:vAlign w:val="bottom"/>
          </w:tcPr>
          <w:p>
            <w:pPr>
              <w:spacing w:after="0"/>
              <w:rPr>
                <w:sz w:val="1"/>
                <w:szCs w:val="1"/>
                <w:color w:val="auto"/>
              </w:rPr>
            </w:pPr>
          </w:p>
        </w:tc>
      </w:tr>
      <w:tr>
        <w:trPr>
          <w:trHeight w:val="107"/>
        </w:trPr>
        <w:tc>
          <w:tcPr>
            <w:tcW w:w="620" w:type="dxa"/>
            <w:vAlign w:val="bottom"/>
            <w:vMerge w:val="continue"/>
          </w:tcPr>
          <w:p>
            <w:pPr>
              <w:spacing w:after="0"/>
              <w:rPr>
                <w:sz w:val="9"/>
                <w:szCs w:val="9"/>
                <w:color w:val="auto"/>
              </w:rPr>
            </w:pPr>
          </w:p>
        </w:tc>
        <w:tc>
          <w:tcPr>
            <w:tcW w:w="5360" w:type="dxa"/>
            <w:vAlign w:val="bottom"/>
            <w:gridSpan w:val="3"/>
            <w:vMerge w:val="restart"/>
          </w:tcPr>
          <w:p>
            <w:pPr>
              <w:spacing w:after="0" w:line="169" w:lineRule="exact"/>
              <w:rPr>
                <w:sz w:val="20"/>
                <w:szCs w:val="20"/>
                <w:color w:val="auto"/>
              </w:rPr>
            </w:pPr>
            <w:r>
              <w:rPr>
                <w:rFonts w:ascii="Arial" w:cs="Arial" w:eastAsia="Arial" w:hAnsi="Arial"/>
                <w:sz w:val="18"/>
                <w:szCs w:val="18"/>
                <w:color w:val="0000FF"/>
                <w:w w:val="91"/>
              </w:rPr>
              <w:t>the Exchange Act. Ofcer pursuant to Rule 13a-14(a) of the Exchange Act.</w:t>
            </w:r>
          </w:p>
        </w:tc>
        <w:tc>
          <w:tcPr>
            <w:tcW w:w="118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5360" w:type="dxa"/>
            <w:vAlign w:val="bottom"/>
            <w:tcBorders>
              <w:bottom w:val="single" w:sz="8" w:color="0000FF"/>
            </w:tcBorders>
            <w:gridSpan w:val="3"/>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6540" w:type="dxa"/>
            <w:vAlign w:val="bottom"/>
            <w:gridSpan w:val="5"/>
          </w:tcPr>
          <w:p>
            <w:pPr>
              <w:spacing w:after="0"/>
              <w:rPr>
                <w:sz w:val="20"/>
                <w:szCs w:val="20"/>
                <w:color w:val="auto"/>
              </w:rPr>
            </w:pPr>
            <w:r>
              <w:rPr>
                <w:rFonts w:ascii="Arial" w:cs="Arial" w:eastAsia="Arial" w:hAnsi="Arial"/>
                <w:sz w:val="18"/>
                <w:szCs w:val="18"/>
                <w:color w:val="0000FF"/>
                <w:w w:val="97"/>
              </w:rPr>
              <w:t>Certfcaton by Chief Financial Ofcer pursuant to Rule 13a-14(a) of the Exchange Act.</w:t>
            </w:r>
          </w:p>
        </w:tc>
        <w:tc>
          <w:tcPr>
            <w:tcW w:w="0" w:type="dxa"/>
            <w:vAlign w:val="bottom"/>
          </w:tcPr>
          <w:p>
            <w:pPr>
              <w:spacing w:after="0"/>
              <w:rPr>
                <w:sz w:val="1"/>
                <w:szCs w:val="1"/>
                <w:color w:val="auto"/>
              </w:rPr>
            </w:pPr>
          </w:p>
        </w:tc>
      </w:tr>
      <w:tr>
        <w:trPr>
          <w:trHeight w:val="26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62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Secton 1350 Certfcaton by Chief Executve Ofcer.</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37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5"/>
              </w:rPr>
              <w:t>Secton 1350 Certfcaton by Chief Financial Ofcer.</w:t>
            </w:r>
          </w:p>
        </w:tc>
        <w:tc>
          <w:tcPr>
            <w:tcW w:w="40" w:type="dxa"/>
            <w:vAlign w:val="bottom"/>
            <w:tcBorders>
              <w:top w:val="single" w:sz="8" w:color="0000FF"/>
            </w:tcBorders>
          </w:tcPr>
          <w:p>
            <w:pPr>
              <w:spacing w:after="0"/>
              <w:rPr>
                <w:sz w:val="24"/>
                <w:szCs w:val="24"/>
                <w:color w:val="auto"/>
              </w:rPr>
            </w:pPr>
          </w:p>
        </w:tc>
        <w:tc>
          <w:tcPr>
            <w:tcW w:w="2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6540" w:type="dxa"/>
            <w:vAlign w:val="bottom"/>
            <w:gridSpan w:val="5"/>
          </w:tcPr>
          <w:p>
            <w:pPr>
              <w:spacing w:after="0"/>
              <w:rPr>
                <w:sz w:val="20"/>
                <w:szCs w:val="20"/>
                <w:color w:val="auto"/>
              </w:rPr>
            </w:pPr>
            <w:r>
              <w:rPr>
                <w:rFonts w:ascii="Arial" w:cs="Arial" w:eastAsia="Arial" w:hAnsi="Arial"/>
                <w:sz w:val="18"/>
                <w:szCs w:val="18"/>
                <w:color w:val="auto"/>
                <w:w w:val="91"/>
              </w:rPr>
              <w:t>Financial statements from the Annual Report on Form 10-K of Hawkins, Inc. for the period</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540" w:type="dxa"/>
            <w:vAlign w:val="bottom"/>
            <w:gridSpan w:val="5"/>
          </w:tcPr>
          <w:p>
            <w:pPr>
              <w:spacing w:after="0"/>
              <w:rPr>
                <w:sz w:val="20"/>
                <w:szCs w:val="20"/>
                <w:color w:val="auto"/>
              </w:rPr>
            </w:pPr>
            <w:r>
              <w:rPr>
                <w:rFonts w:ascii="Arial" w:cs="Arial" w:eastAsia="Arial" w:hAnsi="Arial"/>
                <w:sz w:val="18"/>
                <w:szCs w:val="18"/>
                <w:color w:val="auto"/>
                <w:w w:val="95"/>
              </w:rPr>
              <w:t>ended April 2, 2023, fled with the SEC on May 17, 2023, formated in Inline Extensible</w:t>
            </w:r>
          </w:p>
        </w:tc>
        <w:tc>
          <w:tcPr>
            <w:tcW w:w="0" w:type="dxa"/>
            <w:vAlign w:val="bottom"/>
          </w:tcPr>
          <w:p>
            <w:pPr>
              <w:spacing w:after="0"/>
              <w:rPr>
                <w:sz w:val="1"/>
                <w:szCs w:val="1"/>
                <w:color w:val="auto"/>
              </w:rPr>
            </w:pPr>
          </w:p>
        </w:tc>
      </w:tr>
    </w:tbl>
    <w:p>
      <w:pPr>
        <w:ind w:left="1574" w:right="60"/>
        <w:spacing w:after="0" w:line="230" w:lineRule="auto"/>
        <w:rPr>
          <w:sz w:val="20"/>
          <w:szCs w:val="20"/>
          <w:color w:val="auto"/>
        </w:rPr>
      </w:pPr>
      <w:r>
        <w:rPr>
          <w:rFonts w:ascii="Arial" w:cs="Arial" w:eastAsia="Arial" w:hAnsi="Arial"/>
          <w:sz w:val="16"/>
          <w:szCs w:val="16"/>
          <w:color w:val="auto"/>
        </w:rPr>
        <w:t>Business Reportng Language (iXBRL): (i) the Consolidated Balance Sheets at April 2, 2023 and April 3, 2022 (ii) the Consolidated Statements of Income for the fscal years ended April</w:t>
      </w:r>
    </w:p>
    <w:p>
      <w:pPr>
        <w:spacing w:after="0" w:line="1" w:lineRule="exact"/>
        <w:rPr>
          <w:sz w:val="20"/>
          <w:szCs w:val="20"/>
          <w:color w:val="auto"/>
        </w:rPr>
      </w:pPr>
    </w:p>
    <w:p>
      <w:pPr>
        <w:ind w:left="1574" w:hanging="569"/>
        <w:spacing w:after="0" w:line="181" w:lineRule="auto"/>
        <w:tabs>
          <w:tab w:leader="none" w:pos="1574" w:val="left"/>
        </w:tabs>
        <w:numPr>
          <w:ilvl w:val="0"/>
          <w:numId w:val="10"/>
        </w:numPr>
        <w:rPr>
          <w:rFonts w:ascii="Arial" w:cs="Arial" w:eastAsia="Arial" w:hAnsi="Arial"/>
          <w:sz w:val="35"/>
          <w:szCs w:val="35"/>
          <w:color w:val="auto"/>
          <w:vertAlign w:val="subscript"/>
        </w:rPr>
      </w:pPr>
      <w:r>
        <w:rPr>
          <w:rFonts w:ascii="Arial" w:cs="Arial" w:eastAsia="Arial" w:hAnsi="Arial"/>
          <w:sz w:val="18"/>
          <w:szCs w:val="18"/>
          <w:color w:val="auto"/>
        </w:rPr>
        <w:t>2, 2023, April 3, 2022, and March 28, 2021, (iii) the Consolidated Statements of Comprehensive Income for the fscal years ended April 2, 2023, April 3, 2022, and March 28, 2021, (iv) the Consolidated Statements of Shareholders’ Equity for the fscal years ended April 2, 2023, April 3, 2022, and March 28, 2021, (v) Consolidated Statements of Cash Flows for the fscal years ended April 2, 2023, April 3, 2022, and March 28, 2021, and (iv) Notes to Consolidated Financial Statements.</w:t>
      </w:r>
    </w:p>
    <w:p>
      <w:pPr>
        <w:spacing w:after="0" w:line="58" w:lineRule="exact"/>
        <w:rPr>
          <w:sz w:val="20"/>
          <w:szCs w:val="20"/>
          <w:color w:val="auto"/>
        </w:rPr>
      </w:pPr>
    </w:p>
    <w:p>
      <w:pPr>
        <w:ind w:left="1014"/>
        <w:spacing w:after="0"/>
        <w:tabs>
          <w:tab w:leader="none" w:pos="155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94" w:lineRule="exact"/>
        <w:rPr>
          <w:sz w:val="20"/>
          <w:szCs w:val="20"/>
          <w:color w:val="auto"/>
        </w:rPr>
      </w:pPr>
    </w:p>
    <w:p>
      <w:pPr>
        <w:spacing w:after="0" w:line="394" w:lineRule="auto"/>
        <w:rPr>
          <w:sz w:val="20"/>
          <w:szCs w:val="20"/>
          <w:color w:val="auto"/>
        </w:rPr>
      </w:pPr>
      <w:r>
        <w:rPr>
          <w:rFonts w:ascii="Arial" w:cs="Arial" w:eastAsia="Arial" w:hAnsi="Arial"/>
          <w:sz w:val="16"/>
          <w:szCs w:val="16"/>
          <w:color w:val="auto"/>
        </w:rPr>
        <w:t>Incorporated by Reference Filed Electronically Filed Electronically Filed Electronically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ectPr>
          <w:pgSz w:w="11900" w:h="16838" w:orient="portrait"/>
          <w:cols w:equalWidth="0" w:num="2">
            <w:col w:w="8294" w:space="280"/>
            <w:col w:w="1940"/>
          </w:cols>
          <w:pgMar w:left="346" w:top="915" w:right="1039" w:bottom="1440" w:gutter="0" w:footer="0" w:header="0"/>
          <w:type w:val="continuous"/>
        </w:sectPr>
      </w:pPr>
    </w:p>
    <w:p>
      <w:pPr>
        <w:ind w:left="674" w:hanging="674"/>
        <w:spacing w:after="0"/>
        <w:tabs>
          <w:tab w:leader="none" w:pos="67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Management contract or compensaton plan or arrangement required to be fled as an exhibit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825500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-113030</wp:posOffset>
            </wp:positionV>
            <wp:extent cx="71234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0514"/>
          </w:cols>
          <w:pgMar w:left="346" w:top="915" w:right="1039" w:bottom="1440" w:gutter="0" w:footer="0" w:header="0"/>
          <w:type w:val="continuous"/>
        </w:sectPr>
      </w:pPr>
    </w:p>
    <w:bookmarkStart w:id="51" w:name="page52"/>
    <w:bookmarkEnd w:id="51"/>
    <w:p>
      <w:pPr>
        <w:ind w:left="580" w:hanging="329"/>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3.2 to the Company’s Current Report on Form 8-K dated February 26, 2021 and fled March 2, 2021.</w:t>
      </w:r>
    </w:p>
    <w:p>
      <w:pPr>
        <w:spacing w:after="0" w:line="182" w:lineRule="exact"/>
        <w:rPr>
          <w:rFonts w:ascii="Arial" w:cs="Arial" w:eastAsia="Arial" w:hAnsi="Arial"/>
          <w:sz w:val="17"/>
          <w:szCs w:val="17"/>
          <w:color w:val="auto"/>
        </w:rPr>
      </w:pPr>
    </w:p>
    <w:p>
      <w:pPr>
        <w:ind w:left="580" w:hanging="329"/>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fled November 3, 2009.</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Annual Report on Form 10-K fled June 2,2021.</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Registraton Statement on Form S-8 fled June 6, 2011.</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182" w:lineRule="exact"/>
        <w:rPr>
          <w:rFonts w:ascii="Arial" w:cs="Arial" w:eastAsia="Arial" w:hAnsi="Arial"/>
          <w:sz w:val="17"/>
          <w:szCs w:val="17"/>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99.1 to the Company’s Registraton Statement on Form S-8 fled November 2, 2018.</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Registraton Statement on Form 8-K fled December 3, 2018.</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Exhibit 10.3 to the Company’s Quarterly Report on Form 10-Q for the quarterly period ended September 29, 2019.</w:t>
      </w:r>
    </w:p>
    <w:p>
      <w:pPr>
        <w:spacing w:after="0" w:line="194" w:lineRule="exact"/>
        <w:rPr>
          <w:rFonts w:ascii="Arial" w:cs="Arial" w:eastAsia="Arial" w:hAnsi="Arial"/>
          <w:sz w:val="16"/>
          <w:szCs w:val="16"/>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10.10 to the Company’s Annual Report on Form 10-K fled May 20,2020.</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Exhibit 10.7 to the Company’s Annual Report on Form 10-K fled June 2,2021.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17" w:right="539" w:bottom="1440" w:gutter="0" w:footer="0" w:header="0"/>
        </w:sectPr>
      </w:pPr>
    </w:p>
    <w:bookmarkStart w:id="52" w:name="page53"/>
    <w:bookmarkEnd w:id="5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9" w:lineRule="exact"/>
        <w:rPr>
          <w:sz w:val="20"/>
          <w:szCs w:val="20"/>
          <w:color w:val="auto"/>
        </w:rPr>
      </w:pPr>
    </w:p>
    <w:tbl>
      <w:tblPr>
        <w:tblLayout w:type="fixed"/>
        <w:tblInd w:w="5640" w:type="dxa"/>
        <w:tblCellMar>
          <w:top w:w="0" w:type="dxa"/>
          <w:left w:w="0" w:type="dxa"/>
          <w:bottom w:w="0" w:type="dxa"/>
          <w:right w:w="0" w:type="dxa"/>
        </w:tblCellMar>
      </w:tblPr>
      <w:tr>
        <w:trPr>
          <w:trHeight w:val="227"/>
        </w:trPr>
        <w:tc>
          <w:tcPr>
            <w:tcW w:w="1180" w:type="dxa"/>
            <w:vAlign w:val="bottom"/>
          </w:tcPr>
          <w:p>
            <w:pPr>
              <w:spacing w:after="0"/>
              <w:rPr>
                <w:sz w:val="20"/>
                <w:szCs w:val="20"/>
                <w:color w:val="auto"/>
              </w:rPr>
            </w:pPr>
            <w:r>
              <w:rPr>
                <w:rFonts w:ascii="Arial" w:cs="Arial" w:eastAsia="Arial" w:hAnsi="Arial"/>
                <w:sz w:val="18"/>
                <w:szCs w:val="18"/>
                <w:color w:val="auto"/>
                <w:w w:val="89"/>
              </w:rPr>
              <w:t>HAWKINS, INC.</w:t>
            </w:r>
          </w:p>
        </w:tc>
        <w:tc>
          <w:tcPr>
            <w:tcW w:w="3900" w:type="dxa"/>
            <w:vAlign w:val="bottom"/>
          </w:tcPr>
          <w:p>
            <w:pPr>
              <w:spacing w:after="0"/>
              <w:rPr>
                <w:sz w:val="19"/>
                <w:szCs w:val="19"/>
                <w:color w:val="auto"/>
              </w:rPr>
            </w:pPr>
          </w:p>
        </w:tc>
      </w:tr>
      <w:tr>
        <w:trPr>
          <w:trHeight w:val="500"/>
        </w:trPr>
        <w:tc>
          <w:tcPr>
            <w:tcW w:w="1180" w:type="dxa"/>
            <w:vAlign w:val="bottom"/>
          </w:tcPr>
          <w:p>
            <w:pPr>
              <w:ind w:left="500"/>
              <w:spacing w:after="0"/>
              <w:rPr>
                <w:sz w:val="20"/>
                <w:szCs w:val="20"/>
                <w:color w:val="auto"/>
              </w:rPr>
            </w:pPr>
            <w:r>
              <w:rPr>
                <w:rFonts w:ascii="Arial" w:cs="Arial" w:eastAsia="Arial" w:hAnsi="Arial"/>
                <w:sz w:val="18"/>
                <w:szCs w:val="18"/>
                <w:color w:val="auto"/>
              </w:rPr>
              <w:t>By</w:t>
            </w:r>
          </w:p>
        </w:tc>
        <w:tc>
          <w:tcPr>
            <w:tcW w:w="3900" w:type="dxa"/>
            <w:vAlign w:val="bottom"/>
          </w:tcPr>
          <w:p>
            <w:pPr>
              <w:ind w:left="20"/>
              <w:spacing w:after="0"/>
              <w:rPr>
                <w:sz w:val="20"/>
                <w:szCs w:val="20"/>
                <w:color w:val="auto"/>
              </w:rPr>
            </w:pPr>
            <w:r>
              <w:rPr>
                <w:rFonts w:ascii="Arial" w:cs="Arial" w:eastAsia="Arial" w:hAnsi="Arial"/>
                <w:sz w:val="18"/>
                <w:szCs w:val="18"/>
                <w:color w:val="auto"/>
              </w:rPr>
              <w:t>/s/ Patrick H. Hawkins</w:t>
            </w:r>
          </w:p>
        </w:tc>
      </w:tr>
      <w:tr>
        <w:trPr>
          <w:trHeight w:val="22"/>
        </w:trPr>
        <w:tc>
          <w:tcPr>
            <w:tcW w:w="118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164"/>
        </w:trPr>
        <w:tc>
          <w:tcPr>
            <w:tcW w:w="1180" w:type="dxa"/>
            <w:vAlign w:val="bottom"/>
          </w:tcPr>
          <w:p>
            <w:pPr>
              <w:spacing w:after="0"/>
              <w:rPr>
                <w:sz w:val="14"/>
                <w:szCs w:val="14"/>
                <w:color w:val="auto"/>
              </w:rPr>
            </w:pPr>
          </w:p>
        </w:tc>
        <w:tc>
          <w:tcPr>
            <w:tcW w:w="3900" w:type="dxa"/>
            <w:vAlign w:val="bottom"/>
          </w:tcPr>
          <w:p>
            <w:pPr>
              <w:ind w:left="20"/>
              <w:spacing w:after="0" w:line="164" w:lineRule="exact"/>
              <w:rPr>
                <w:sz w:val="20"/>
                <w:szCs w:val="20"/>
                <w:color w:val="auto"/>
              </w:rPr>
            </w:pPr>
            <w:r>
              <w:rPr>
                <w:rFonts w:ascii="Arial" w:cs="Arial" w:eastAsia="Arial" w:hAnsi="Arial"/>
                <w:sz w:val="18"/>
                <w:szCs w:val="18"/>
                <w:color w:val="auto"/>
              </w:rPr>
              <w:t>Patrick H. Hawkins</w:t>
            </w:r>
          </w:p>
        </w:tc>
      </w:tr>
      <w:tr>
        <w:trPr>
          <w:trHeight w:val="227"/>
        </w:trPr>
        <w:tc>
          <w:tcPr>
            <w:tcW w:w="1180" w:type="dxa"/>
            <w:vAlign w:val="bottom"/>
          </w:tcPr>
          <w:p>
            <w:pPr>
              <w:spacing w:after="0"/>
              <w:rPr>
                <w:sz w:val="19"/>
                <w:szCs w:val="19"/>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Chief Executve Ofcer and President</w:t>
            </w:r>
          </w:p>
        </w:tc>
      </w:tr>
    </w:tbl>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17, 2023</w:t>
            </w:r>
          </w:p>
        </w:tc>
      </w:tr>
    </w:tbl>
    <w:p>
      <w:pPr>
        <w:spacing w:after="0" w:line="327"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Pursuant to the requirements of the Securites Exchange Act of 1934, this report has been signed by the following persons on behalf of the registrant in the capacites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40" w:type="dxa"/>
            <w:vAlign w:val="bottom"/>
          </w:tcPr>
          <w:p>
            <w:pPr>
              <w:ind w:left="2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3340" w:type="dxa"/>
            <w:vAlign w:val="bottom"/>
          </w:tcPr>
          <w:p>
            <w:pPr>
              <w:ind w:left="20"/>
              <w:spacing w:after="0"/>
              <w:rPr>
                <w:sz w:val="20"/>
                <w:szCs w:val="20"/>
                <w:color w:val="auto"/>
              </w:rPr>
            </w:pPr>
            <w:r>
              <w:rPr>
                <w:rFonts w:ascii="Arial" w:cs="Arial" w:eastAsia="Arial" w:hAnsi="Arial"/>
                <w:sz w:val="18"/>
                <w:szCs w:val="18"/>
                <w:color w:val="auto"/>
              </w:rPr>
              <w:t>/s/ Patrick H. Hawkins</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Chief Executve Ofcer, President and Director</w:t>
            </w: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20"/>
              <w:spacing w:after="0" w:line="204" w:lineRule="exact"/>
              <w:rPr>
                <w:sz w:val="20"/>
                <w:szCs w:val="20"/>
                <w:color w:val="auto"/>
              </w:rPr>
            </w:pPr>
            <w:r>
              <w:rPr>
                <w:rFonts w:ascii="Arial" w:cs="Arial" w:eastAsia="Arial" w:hAnsi="Arial"/>
                <w:sz w:val="18"/>
                <w:szCs w:val="18"/>
                <w:color w:val="auto"/>
              </w:rPr>
              <w:t>Patrick H. Hawkins</w:t>
            </w:r>
          </w:p>
        </w:tc>
        <w:tc>
          <w:tcPr>
            <w:tcW w:w="240" w:type="dxa"/>
            <w:vAlign w:val="bottom"/>
          </w:tcPr>
          <w:p>
            <w:pPr>
              <w:spacing w:after="0"/>
              <w:rPr>
                <w:sz w:val="17"/>
                <w:szCs w:val="17"/>
                <w:color w:val="auto"/>
              </w:rPr>
            </w:pPr>
          </w:p>
        </w:tc>
        <w:tc>
          <w:tcPr>
            <w:tcW w:w="5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executve ofcer)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Jefrey P. Oldenkamp</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Jefrey P. Oldenkamp</w:t>
            </w:r>
          </w:p>
        </w:tc>
        <w:tc>
          <w:tcPr>
            <w:tcW w:w="2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Executve Vice President and Chief Financial Ofcer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fnancial ofcer and principal accountng ofcer)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34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8"/>
                <w:szCs w:val="18"/>
                <w:color w:val="auto"/>
              </w:rPr>
              <w:t>James A. Faulconbridge</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Mary J. Schumacher</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34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8"/>
                <w:szCs w:val="18"/>
                <w:color w:val="auto"/>
              </w:rPr>
              <w:t>Jefrey E. Spethmann</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8"/>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4"/>
        </w:trPr>
        <w:tc>
          <w:tcPr>
            <w:tcW w:w="3340" w:type="dxa"/>
            <w:vAlign w:val="bottom"/>
          </w:tcPr>
          <w:p>
            <w:pPr>
              <w:ind w:left="20"/>
              <w:spacing w:after="0"/>
              <w:rPr>
                <w:sz w:val="20"/>
                <w:szCs w:val="20"/>
                <w:color w:val="auto"/>
              </w:rPr>
            </w:pPr>
            <w:r>
              <w:rPr>
                <w:rFonts w:ascii="Arial" w:cs="Arial" w:eastAsia="Arial" w:hAnsi="Arial"/>
                <w:sz w:val="18"/>
                <w:szCs w:val="18"/>
                <w:color w:val="auto"/>
              </w:rPr>
              <w:t>Daniel J. Stauber</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334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8"/>
                <w:szCs w:val="18"/>
                <w:color w:val="auto"/>
              </w:rPr>
              <w:t>Yi "Faith" Tang</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7"/>
        </w:trPr>
        <w:tc>
          <w:tcPr>
            <w:tcW w:w="334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8"/>
                <w:szCs w:val="18"/>
                <w:color w:val="auto"/>
              </w:rPr>
              <w:t>James T. Thompson</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7"/>
        </w:trPr>
        <w:tc>
          <w:tcPr>
            <w:tcW w:w="334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May 17, 2023</w:t>
            </w:r>
          </w:p>
        </w:tc>
        <w:tc>
          <w:tcPr>
            <w:tcW w:w="0" w:type="dxa"/>
            <w:vAlign w:val="bottom"/>
          </w:tcPr>
          <w:p>
            <w:pPr>
              <w:spacing w:after="0"/>
              <w:rPr>
                <w:sz w:val="1"/>
                <w:szCs w:val="1"/>
                <w:color w:val="auto"/>
              </w:rPr>
            </w:pPr>
          </w:p>
        </w:tc>
      </w:tr>
      <w:tr>
        <w:trPr>
          <w:trHeight w:val="22"/>
        </w:trPr>
        <w:tc>
          <w:tcPr>
            <w:tcW w:w="3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Arial" w:cs="Arial" w:eastAsia="Arial" w:hAnsi="Arial"/>
                <w:sz w:val="18"/>
                <w:szCs w:val="18"/>
                <w:color w:val="auto"/>
              </w:rPr>
              <w:t>Jefrey L. Wright</w:t>
            </w: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right="380" w:firstLine="8"/>
        <w:spacing w:after="0" w:line="233" w:lineRule="auto"/>
        <w:tabs>
          <w:tab w:leader="none" w:pos="1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above-named directors of the registrant pursuant to Powers of Atorney duly executed by such persons.</w:t>
      </w:r>
    </w:p>
    <w:p>
      <w:pPr>
        <w:spacing w:after="0" w:line="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Patrick H. Hawkins</w:t>
      </w:r>
    </w:p>
    <w:p>
      <w:pPr>
        <w:spacing w:after="0" w:line="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-127635</wp:posOffset>
            </wp:positionV>
            <wp:extent cx="30772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15" w:right="51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HAWKINS, INC.</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YEARS ENDED April 2, 2023, April 3, 2022 AND March 28,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920"/>
              <w:spacing w:after="0"/>
              <w:rPr>
                <w:sz w:val="20"/>
                <w:szCs w:val="20"/>
                <w:color w:val="auto"/>
              </w:rPr>
            </w:pPr>
            <w:r>
              <w:rPr>
                <w:rFonts w:ascii="Arial" w:cs="Arial" w:eastAsia="Arial" w:hAnsi="Arial"/>
                <w:sz w:val="14"/>
                <w:szCs w:val="14"/>
                <w:b w:val="1"/>
                <w:bCs w:val="1"/>
                <w:color w:val="auto"/>
                <w:w w:val="92"/>
              </w:rPr>
              <w:t>Additons</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vMerge w:val="restart"/>
          </w:tcPr>
          <w:p>
            <w:pPr>
              <w:jc w:val="center"/>
              <w:ind w:right="279"/>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right="201"/>
              <w:spacing w:after="0" w:line="115" w:lineRule="exact"/>
              <w:rPr>
                <w:sz w:val="20"/>
                <w:szCs w:val="20"/>
                <w:color w:val="auto"/>
              </w:rPr>
            </w:pPr>
            <w:r>
              <w:rPr>
                <w:rFonts w:ascii="Arial" w:cs="Arial" w:eastAsia="Arial" w:hAnsi="Arial"/>
                <w:sz w:val="13"/>
                <w:szCs w:val="13"/>
                <w:b w:val="1"/>
                <w:bCs w:val="1"/>
                <w:color w:val="auto"/>
                <w:w w:val="96"/>
              </w:rPr>
              <w:t>Charged to</w:t>
            </w:r>
          </w:p>
        </w:tc>
        <w:tc>
          <w:tcPr>
            <w:tcW w:w="320" w:type="dxa"/>
            <w:vAlign w:val="bottom"/>
          </w:tcPr>
          <w:p>
            <w:pPr>
              <w:spacing w:after="0"/>
              <w:rPr>
                <w:sz w:val="10"/>
                <w:szCs w:val="10"/>
                <w:color w:val="auto"/>
              </w:rPr>
            </w:pPr>
          </w:p>
        </w:tc>
        <w:tc>
          <w:tcPr>
            <w:tcW w:w="1160" w:type="dxa"/>
            <w:vAlign w:val="bottom"/>
          </w:tcPr>
          <w:p>
            <w:pPr>
              <w:jc w:val="center"/>
              <w:ind w:right="181"/>
              <w:spacing w:after="0" w:line="115" w:lineRule="exact"/>
              <w:rPr>
                <w:sz w:val="20"/>
                <w:szCs w:val="20"/>
                <w:color w:val="auto"/>
              </w:rPr>
            </w:pPr>
            <w:r>
              <w:rPr>
                <w:rFonts w:ascii="Arial" w:cs="Arial" w:eastAsia="Arial" w:hAnsi="Arial"/>
                <w:sz w:val="13"/>
                <w:szCs w:val="13"/>
                <w:b w:val="1"/>
                <w:bCs w:val="1"/>
                <w:color w:val="auto"/>
                <w:w w:val="96"/>
              </w:rPr>
              <w:t>Charged to</w:t>
            </w:r>
          </w:p>
        </w:tc>
        <w:tc>
          <w:tcPr>
            <w:tcW w:w="340" w:type="dxa"/>
            <w:vAlign w:val="bottom"/>
          </w:tcPr>
          <w:p>
            <w:pPr>
              <w:spacing w:after="0"/>
              <w:rPr>
                <w:sz w:val="10"/>
                <w:szCs w:val="10"/>
                <w:color w:val="auto"/>
              </w:rPr>
            </w:pPr>
          </w:p>
        </w:tc>
        <w:tc>
          <w:tcPr>
            <w:tcW w:w="12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Deductons</w:t>
            </w:r>
          </w:p>
        </w:tc>
        <w:tc>
          <w:tcPr>
            <w:tcW w:w="280" w:type="dxa"/>
            <w:vAlign w:val="bottom"/>
          </w:tcPr>
          <w:p>
            <w:pPr>
              <w:spacing w:after="0"/>
              <w:rPr>
                <w:sz w:val="10"/>
                <w:szCs w:val="10"/>
                <w:color w:val="auto"/>
              </w:rPr>
            </w:pPr>
          </w:p>
        </w:tc>
        <w:tc>
          <w:tcPr>
            <w:tcW w:w="11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279"/>
              <w:spacing w:after="0" w:line="138" w:lineRule="exact"/>
              <w:rPr>
                <w:sz w:val="20"/>
                <w:szCs w:val="20"/>
                <w:color w:val="auto"/>
              </w:rPr>
            </w:pPr>
            <w:r>
              <w:rPr>
                <w:rFonts w:ascii="Arial" w:cs="Arial" w:eastAsia="Arial" w:hAnsi="Arial"/>
                <w:sz w:val="14"/>
                <w:szCs w:val="14"/>
                <w:b w:val="1"/>
                <w:bCs w:val="1"/>
                <w:color w:val="auto"/>
                <w:w w:val="84"/>
              </w:rPr>
              <w:t>Beginning</w:t>
            </w:r>
          </w:p>
        </w:tc>
        <w:tc>
          <w:tcPr>
            <w:tcW w:w="240" w:type="dxa"/>
            <w:vAlign w:val="bottom"/>
          </w:tcPr>
          <w:p>
            <w:pPr>
              <w:spacing w:after="0"/>
              <w:rPr>
                <w:sz w:val="11"/>
                <w:szCs w:val="11"/>
                <w:color w:val="auto"/>
              </w:rPr>
            </w:pPr>
          </w:p>
        </w:tc>
        <w:tc>
          <w:tcPr>
            <w:tcW w:w="1180" w:type="dxa"/>
            <w:vAlign w:val="bottom"/>
          </w:tcPr>
          <w:p>
            <w:pPr>
              <w:jc w:val="center"/>
              <w:ind w:right="201"/>
              <w:spacing w:after="0" w:line="138" w:lineRule="exact"/>
              <w:rPr>
                <w:sz w:val="20"/>
                <w:szCs w:val="20"/>
                <w:color w:val="auto"/>
              </w:rPr>
            </w:pPr>
            <w:r>
              <w:rPr>
                <w:rFonts w:ascii="Arial" w:cs="Arial" w:eastAsia="Arial" w:hAnsi="Arial"/>
                <w:sz w:val="14"/>
                <w:szCs w:val="14"/>
                <w:b w:val="1"/>
                <w:bCs w:val="1"/>
                <w:color w:val="auto"/>
                <w:w w:val="85"/>
              </w:rPr>
              <w:t>Costs and</w:t>
            </w:r>
          </w:p>
        </w:tc>
        <w:tc>
          <w:tcPr>
            <w:tcW w:w="320" w:type="dxa"/>
            <w:vAlign w:val="bottom"/>
          </w:tcPr>
          <w:p>
            <w:pPr>
              <w:spacing w:after="0"/>
              <w:rPr>
                <w:sz w:val="11"/>
                <w:szCs w:val="11"/>
                <w:color w:val="auto"/>
              </w:rPr>
            </w:pPr>
          </w:p>
        </w:tc>
        <w:tc>
          <w:tcPr>
            <w:tcW w:w="1160" w:type="dxa"/>
            <w:vAlign w:val="bottom"/>
          </w:tcPr>
          <w:p>
            <w:pPr>
              <w:jc w:val="center"/>
              <w:ind w:right="181"/>
              <w:spacing w:after="0" w:line="138" w:lineRule="exact"/>
              <w:rPr>
                <w:sz w:val="20"/>
                <w:szCs w:val="20"/>
                <w:color w:val="auto"/>
              </w:rPr>
            </w:pPr>
            <w:r>
              <w:rPr>
                <w:rFonts w:ascii="Arial" w:cs="Arial" w:eastAsia="Arial" w:hAnsi="Arial"/>
                <w:sz w:val="14"/>
                <w:szCs w:val="14"/>
                <w:b w:val="1"/>
                <w:bCs w:val="1"/>
                <w:color w:val="auto"/>
                <w:w w:val="90"/>
              </w:rPr>
              <w:t>Other</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6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Descripton</w:t>
            </w:r>
          </w:p>
        </w:tc>
        <w:tc>
          <w:tcPr>
            <w:tcW w:w="240" w:type="dxa"/>
            <w:vAlign w:val="bottom"/>
          </w:tcPr>
          <w:p>
            <w:pPr>
              <w:spacing w:after="0"/>
              <w:rPr>
                <w:sz w:val="13"/>
                <w:szCs w:val="13"/>
                <w:color w:val="auto"/>
              </w:rPr>
            </w:pPr>
          </w:p>
        </w:tc>
        <w:tc>
          <w:tcPr>
            <w:tcW w:w="1260" w:type="dxa"/>
            <w:vAlign w:val="bottom"/>
          </w:tcPr>
          <w:p>
            <w:pPr>
              <w:jc w:val="center"/>
              <w:ind w:right="279"/>
              <w:spacing w:after="0" w:line="159" w:lineRule="exact"/>
              <w:rPr>
                <w:sz w:val="20"/>
                <w:szCs w:val="20"/>
                <w:color w:val="auto"/>
              </w:rPr>
            </w:pPr>
            <w:r>
              <w:rPr>
                <w:rFonts w:ascii="Arial" w:cs="Arial" w:eastAsia="Arial" w:hAnsi="Arial"/>
                <w:sz w:val="14"/>
                <w:szCs w:val="14"/>
                <w:b w:val="1"/>
                <w:bCs w:val="1"/>
                <w:color w:val="auto"/>
                <w:w w:val="88"/>
              </w:rPr>
              <w:t>of Year</w:t>
            </w:r>
          </w:p>
        </w:tc>
        <w:tc>
          <w:tcPr>
            <w:tcW w:w="240" w:type="dxa"/>
            <w:vAlign w:val="bottom"/>
          </w:tcPr>
          <w:p>
            <w:pPr>
              <w:spacing w:after="0"/>
              <w:rPr>
                <w:sz w:val="13"/>
                <w:szCs w:val="13"/>
                <w:color w:val="auto"/>
              </w:rPr>
            </w:pPr>
          </w:p>
        </w:tc>
        <w:tc>
          <w:tcPr>
            <w:tcW w:w="1180" w:type="dxa"/>
            <w:vAlign w:val="bottom"/>
          </w:tcPr>
          <w:p>
            <w:pPr>
              <w:jc w:val="center"/>
              <w:ind w:right="201"/>
              <w:spacing w:after="0" w:line="159" w:lineRule="exact"/>
              <w:rPr>
                <w:sz w:val="20"/>
                <w:szCs w:val="20"/>
                <w:color w:val="auto"/>
              </w:rPr>
            </w:pPr>
            <w:r>
              <w:rPr>
                <w:rFonts w:ascii="Arial" w:cs="Arial" w:eastAsia="Arial" w:hAnsi="Arial"/>
                <w:sz w:val="14"/>
                <w:szCs w:val="14"/>
                <w:b w:val="1"/>
                <w:bCs w:val="1"/>
                <w:color w:val="auto"/>
                <w:w w:val="82"/>
              </w:rPr>
              <w:t>Expenses</w:t>
            </w:r>
          </w:p>
        </w:tc>
        <w:tc>
          <w:tcPr>
            <w:tcW w:w="320" w:type="dxa"/>
            <w:vAlign w:val="bottom"/>
          </w:tcPr>
          <w:p>
            <w:pPr>
              <w:spacing w:after="0"/>
              <w:rPr>
                <w:sz w:val="13"/>
                <w:szCs w:val="13"/>
                <w:color w:val="auto"/>
              </w:rPr>
            </w:pPr>
          </w:p>
        </w:tc>
        <w:tc>
          <w:tcPr>
            <w:tcW w:w="1160" w:type="dxa"/>
            <w:vAlign w:val="bottom"/>
          </w:tcPr>
          <w:p>
            <w:pPr>
              <w:jc w:val="center"/>
              <w:ind w:right="181"/>
              <w:spacing w:after="0" w:line="159" w:lineRule="exact"/>
              <w:rPr>
                <w:sz w:val="20"/>
                <w:szCs w:val="20"/>
                <w:color w:val="auto"/>
              </w:rPr>
            </w:pPr>
            <w:r>
              <w:rPr>
                <w:rFonts w:ascii="Arial" w:cs="Arial" w:eastAsia="Arial" w:hAnsi="Arial"/>
                <w:sz w:val="14"/>
                <w:szCs w:val="14"/>
                <w:b w:val="1"/>
                <w:bCs w:val="1"/>
                <w:color w:val="auto"/>
                <w:w w:val="84"/>
              </w:rPr>
              <w:t>Accounts</w:t>
            </w:r>
          </w:p>
        </w:tc>
        <w:tc>
          <w:tcPr>
            <w:tcW w:w="340" w:type="dxa"/>
            <w:vAlign w:val="bottom"/>
          </w:tcPr>
          <w:p>
            <w:pPr>
              <w:spacing w:after="0"/>
              <w:rPr>
                <w:sz w:val="13"/>
                <w:szCs w:val="13"/>
                <w:color w:val="auto"/>
              </w:rPr>
            </w:pPr>
          </w:p>
        </w:tc>
        <w:tc>
          <w:tcPr>
            <w:tcW w:w="120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Write-Ofs</w:t>
            </w:r>
          </w:p>
        </w:tc>
        <w:tc>
          <w:tcPr>
            <w:tcW w:w="280" w:type="dxa"/>
            <w:vAlign w:val="bottom"/>
          </w:tcPr>
          <w:p>
            <w:pPr>
              <w:spacing w:after="0"/>
              <w:rPr>
                <w:sz w:val="13"/>
                <w:szCs w:val="13"/>
                <w:color w:val="auto"/>
              </w:rPr>
            </w:pPr>
          </w:p>
        </w:tc>
        <w:tc>
          <w:tcPr>
            <w:tcW w:w="1180" w:type="dxa"/>
            <w:vAlign w:val="bottom"/>
          </w:tcPr>
          <w:p>
            <w:pPr>
              <w:jc w:val="right"/>
              <w:ind w:right="277"/>
              <w:spacing w:after="0" w:line="159"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30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760" w:type="dxa"/>
            <w:vAlign w:val="bottom"/>
            <w:gridSpan w:val="2"/>
          </w:tcPr>
          <w:p>
            <w:pPr>
              <w:spacing w:after="0"/>
              <w:rPr>
                <w:sz w:val="20"/>
                <w:szCs w:val="20"/>
                <w:color w:val="auto"/>
              </w:rPr>
            </w:pPr>
            <w:r>
              <w:rPr>
                <w:rFonts w:ascii="Arial" w:cs="Arial" w:eastAsia="Arial" w:hAnsi="Arial"/>
                <w:sz w:val="18"/>
                <w:szCs w:val="18"/>
                <w:color w:val="auto"/>
                <w:w w:val="96"/>
              </w:rPr>
              <w:t>Reserve deducted from asset to which it applies: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April 2, 2023:</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367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April 3, 2022:</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497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Fiscal Year Ended March 28, 2021: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784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bl>
    <w:p>
      <w:pPr>
        <w:sectPr>
          <w:pgSz w:w="11900" w:h="16838" w:orient="portrait"/>
          <w:cols w:equalWidth="0" w:num="1">
            <w:col w:w="11160"/>
          </w:cols>
          <w:pgMar w:left="380" w:top="915"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jc w:val="center"/>
        <w:spacing w:after="0" w:line="234" w:lineRule="auto"/>
        <w:rPr>
          <w:sz w:val="20"/>
          <w:szCs w:val="20"/>
          <w:color w:val="auto"/>
        </w:rPr>
      </w:pPr>
      <w:r>
        <w:rPr>
          <w:rFonts w:ascii="Arial" w:cs="Arial" w:eastAsia="Arial" w:hAnsi="Arial"/>
          <w:sz w:val="18"/>
          <w:szCs w:val="18"/>
          <w:b w:val="1"/>
          <w:bCs w:val="1"/>
          <w:color w:val="auto"/>
        </w:rPr>
        <w:t>TO THE</w:t>
      </w:r>
    </w:p>
    <w:p>
      <w:pPr>
        <w:jc w:val="center"/>
        <w:spacing w:after="0" w:line="235" w:lineRule="auto"/>
        <w:rPr>
          <w:sz w:val="20"/>
          <w:szCs w:val="20"/>
          <w:color w:val="auto"/>
        </w:rPr>
      </w:pPr>
      <w:r>
        <w:rPr>
          <w:rFonts w:ascii="Arial" w:cs="Arial" w:eastAsia="Arial" w:hAnsi="Arial"/>
          <w:sz w:val="18"/>
          <w:szCs w:val="18"/>
          <w:b w:val="1"/>
          <w:bCs w:val="1"/>
          <w:color w:val="auto"/>
        </w:rPr>
        <w:t>HAWKINS, INC.</w:t>
      </w:r>
    </w:p>
    <w:p>
      <w:pPr>
        <w:jc w:val="center"/>
        <w:spacing w:after="0" w:line="235" w:lineRule="auto"/>
        <w:rPr>
          <w:sz w:val="20"/>
          <w:szCs w:val="20"/>
          <w:color w:val="auto"/>
        </w:rPr>
      </w:pPr>
      <w:r>
        <w:rPr>
          <w:rFonts w:ascii="Arial" w:cs="Arial" w:eastAsia="Arial" w:hAnsi="Arial"/>
          <w:sz w:val="18"/>
          <w:szCs w:val="18"/>
          <w:b w:val="1"/>
          <w:bCs w:val="1"/>
          <w:color w:val="auto"/>
        </w:rPr>
        <w:t>EMPLOYEE STOCK PURCHASE PLAN, AS AMENDED</w:t>
      </w:r>
    </w:p>
    <w:p>
      <w:pPr>
        <w:spacing w:after="0" w:line="2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WHEREAS, Hawkins, Inc., a Minnesota corporaton (the “Company”) maintains the Hawkins, Inc. Employee Stock Purchase Plan, as amended (the “Plan”); and</w:t>
      </w:r>
    </w:p>
    <w:p>
      <w:pPr>
        <w:spacing w:after="0" w:line="56" w:lineRule="exact"/>
        <w:rPr>
          <w:sz w:val="20"/>
          <w:szCs w:val="20"/>
          <w:color w:val="auto"/>
        </w:rPr>
      </w:pPr>
    </w:p>
    <w:p>
      <w:pPr>
        <w:ind w:firstLine="648"/>
        <w:spacing w:after="0" w:line="287" w:lineRule="auto"/>
        <w:rPr>
          <w:sz w:val="20"/>
          <w:szCs w:val="20"/>
          <w:color w:val="auto"/>
        </w:rPr>
      </w:pPr>
      <w:r>
        <w:rPr>
          <w:rFonts w:ascii="Arial" w:cs="Arial" w:eastAsia="Arial" w:hAnsi="Arial"/>
          <w:sz w:val="17"/>
          <w:szCs w:val="17"/>
          <w:color w:val="auto"/>
        </w:rPr>
        <w:t>WHEREAS, the Company desires to amend the Plan to provide for a minimum holding period for Shares purchased under the Plan to ensure that Partcipants’ purchases will qualify for the tax treatment described in Secton 423(a) of the Internal Revenue Code of 1986, as amended;</w:t>
      </w:r>
    </w:p>
    <w:p>
      <w:pPr>
        <w:spacing w:after="0" w:line="4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NOW, THEREFORE, BE IT RESOLVED, that, efectve with respect to the purchase period commencing on July 1, 2023 and each subsequent purchase period thereafer, the Plan be, and it hereby is, amended as follows:</w:t>
      </w:r>
    </w:p>
    <w:p>
      <w:pPr>
        <w:spacing w:after="0" w:line="70" w:lineRule="exact"/>
        <w:rPr>
          <w:sz w:val="20"/>
          <w:szCs w:val="20"/>
          <w:color w:val="auto"/>
        </w:rPr>
      </w:pPr>
    </w:p>
    <w:p>
      <w:pPr>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Secton 10.2 of the Plan is amended by replacing the second and third sentences of the second paragraph of such secton with the following sentence:</w:t>
      </w:r>
    </w:p>
    <w:p>
      <w:pPr>
        <w:spacing w:after="0" w:line="69" w:lineRule="exact"/>
        <w:rPr>
          <w:rFonts w:ascii="Arial" w:cs="Arial" w:eastAsia="Arial" w:hAnsi="Arial"/>
          <w:sz w:val="18"/>
          <w:szCs w:val="18"/>
          <w:color w:val="auto"/>
        </w:rPr>
      </w:pPr>
    </w:p>
    <w:p>
      <w:pPr>
        <w:jc w:val="both"/>
        <w:ind w:left="660"/>
        <w:spacing w:after="0" w:line="242" w:lineRule="auto"/>
        <w:rPr>
          <w:rFonts w:ascii="Arial" w:cs="Arial" w:eastAsia="Arial" w:hAnsi="Arial"/>
          <w:sz w:val="18"/>
          <w:szCs w:val="18"/>
          <w:color w:val="auto"/>
        </w:rPr>
      </w:pPr>
      <w:r>
        <w:rPr>
          <w:rFonts w:ascii="Arial" w:cs="Arial" w:eastAsia="Arial" w:hAnsi="Arial"/>
          <w:sz w:val="18"/>
          <w:szCs w:val="18"/>
          <w:color w:val="auto"/>
        </w:rPr>
        <w:t>“At any tme afer the Partcipant has satsfed the minimum holding period requirements established by Code Secton 423(a)(1), the Partcipant may direct such agent to sell such Shares and distribute the net proceeds of such sale to the Partcipant, or a Partcipant may request from the agent a certfcate representng the Shares credited to the Partcipant’s account, in which case the agent shall transfer a certfcate for such whole number of Shares directly to the Partcipant.”</w:t>
      </w:r>
    </w:p>
    <w:p>
      <w:pPr>
        <w:spacing w:after="0" w:line="8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provisions, terms and conditons of the Plan are and will remain in full force and efect.</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WITNESS WHEREOF, this amendment has been duly adopted by the Company’s Board of Directors as of April 26, 2023.</w:t>
      </w:r>
    </w:p>
    <w:p>
      <w:pPr>
        <w:sectPr>
          <w:pgSz w:w="11900" w:h="16838" w:orient="portrait"/>
          <w:cols w:equalWidth="0" w:num="1">
            <w:col w:w="11240"/>
          </w:cols>
          <w:pgMar w:left="320" w:top="138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p>
        </w:tc>
        <w:tc>
          <w:tcPr>
            <w:tcW w:w="8020" w:type="dxa"/>
            <w:vAlign w:val="bottom"/>
          </w:tcPr>
          <w:p>
            <w:pPr>
              <w:ind w:left="3780"/>
              <w:spacing w:after="0"/>
              <w:rPr>
                <w:sz w:val="20"/>
                <w:szCs w:val="20"/>
                <w:color w:val="auto"/>
              </w:rPr>
            </w:pPr>
            <w:r>
              <w:rPr>
                <w:rFonts w:ascii="Arial" w:cs="Arial" w:eastAsia="Arial" w:hAnsi="Arial"/>
                <w:sz w:val="18"/>
                <w:szCs w:val="18"/>
                <w:b w:val="1"/>
                <w:bCs w:val="1"/>
                <w:color w:val="auto"/>
              </w:rPr>
              <w:t>Subsidiaries of Hawkins, Inc.</w:t>
            </w:r>
          </w:p>
        </w:tc>
        <w:tc>
          <w:tcPr>
            <w:tcW w:w="1540" w:type="dxa"/>
            <w:vAlign w:val="bottom"/>
          </w:tcPr>
          <w:p>
            <w:pPr>
              <w:spacing w:after="0"/>
              <w:rPr>
                <w:sz w:val="20"/>
                <w:szCs w:val="20"/>
                <w:color w:val="auto"/>
              </w:rPr>
            </w:pPr>
          </w:p>
        </w:tc>
      </w:tr>
      <w:tr>
        <w:trPr>
          <w:trHeight w:val="693"/>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Subsidiary</w:t>
            </w:r>
          </w:p>
        </w:tc>
        <w:tc>
          <w:tcPr>
            <w:tcW w:w="802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State of Organizaton</w:t>
            </w:r>
          </w:p>
        </w:tc>
      </w:tr>
      <w:tr>
        <w:trPr>
          <w:trHeight w:val="242"/>
        </w:trPr>
        <w:tc>
          <w:tcPr>
            <w:tcW w:w="8780" w:type="dxa"/>
            <w:vAlign w:val="bottom"/>
            <w:gridSpan w:val="2"/>
          </w:tcPr>
          <w:p>
            <w:pPr>
              <w:spacing w:after="0"/>
              <w:rPr>
                <w:sz w:val="20"/>
                <w:szCs w:val="20"/>
                <w:color w:val="auto"/>
              </w:rPr>
            </w:pPr>
            <w:r>
              <w:rPr>
                <w:rFonts w:ascii="Arial" w:cs="Arial" w:eastAsia="Arial" w:hAnsi="Arial"/>
                <w:sz w:val="18"/>
                <w:szCs w:val="18"/>
                <w:color w:val="auto"/>
              </w:rPr>
              <w:t>Stauber Holdings, Inc.</w:t>
            </w:r>
          </w:p>
        </w:tc>
        <w:tc>
          <w:tcPr>
            <w:tcW w:w="1540" w:type="dxa"/>
            <w:vAlign w:val="bottom"/>
          </w:tcPr>
          <w:p>
            <w:pPr>
              <w:spacing w:after="0"/>
              <w:rPr>
                <w:sz w:val="20"/>
                <w:szCs w:val="20"/>
                <w:color w:val="auto"/>
              </w:rPr>
            </w:pPr>
            <w:r>
              <w:rPr>
                <w:rFonts w:ascii="Arial" w:cs="Arial" w:eastAsia="Arial" w:hAnsi="Arial"/>
                <w:sz w:val="18"/>
                <w:szCs w:val="18"/>
                <w:color w:val="auto"/>
              </w:rPr>
              <w:t>Minnesota</w:t>
            </w:r>
          </w:p>
        </w:tc>
      </w:tr>
      <w:tr>
        <w:trPr>
          <w:trHeight w:val="243"/>
        </w:trPr>
        <w:tc>
          <w:tcPr>
            <w:tcW w:w="8780" w:type="dxa"/>
            <w:vAlign w:val="bottom"/>
            <w:gridSpan w:val="2"/>
          </w:tcPr>
          <w:p>
            <w:pPr>
              <w:spacing w:after="0"/>
              <w:rPr>
                <w:sz w:val="20"/>
                <w:szCs w:val="20"/>
                <w:color w:val="auto"/>
              </w:rPr>
            </w:pPr>
            <w:r>
              <w:rPr>
                <w:rFonts w:ascii="Arial" w:cs="Arial" w:eastAsia="Arial" w:hAnsi="Arial"/>
                <w:sz w:val="18"/>
                <w:szCs w:val="18"/>
                <w:color w:val="auto"/>
              </w:rPr>
              <w:t>Stauber Performance Ingredients, Inc., a subsidiary of Stauber Holdings, Inc.</w:t>
            </w:r>
          </w:p>
        </w:tc>
        <w:tc>
          <w:tcPr>
            <w:tcW w:w="1540" w:type="dxa"/>
            <w:vAlign w:val="bottom"/>
          </w:tcPr>
          <w:p>
            <w:pPr>
              <w:spacing w:after="0"/>
              <w:rPr>
                <w:sz w:val="20"/>
                <w:szCs w:val="20"/>
                <w:color w:val="auto"/>
              </w:rPr>
            </w:pPr>
            <w:r>
              <w:rPr>
                <w:rFonts w:ascii="Arial" w:cs="Arial" w:eastAsia="Arial" w:hAnsi="Arial"/>
                <w:sz w:val="18"/>
                <w:szCs w:val="18"/>
                <w:color w:val="auto"/>
              </w:rPr>
              <w:t>Minnesota</w:t>
            </w:r>
          </w:p>
        </w:tc>
      </w:tr>
    </w:tbl>
    <w:p>
      <w:pPr>
        <w:sectPr>
          <w:pgSz w:w="11900" w:h="16838" w:orient="portrait"/>
          <w:cols w:equalWidth="0" w:num="1">
            <w:col w:w="11220"/>
          </w:cols>
          <w:pgMar w:left="340" w:top="140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23.1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Accountng Firm</w:t>
      </w:r>
    </w:p>
    <w:p>
      <w:pPr>
        <w:spacing w:after="0" w:line="200" w:lineRule="exact"/>
        <w:rPr>
          <w:sz w:val="20"/>
          <w:szCs w:val="20"/>
          <w:color w:val="auto"/>
        </w:rPr>
      </w:pPr>
    </w:p>
    <w:p>
      <w:pPr>
        <w:spacing w:after="0" w:line="28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issued our reports dated May 17, 2023, with respect to the consolidated fnancial statements and internal control over fnancial reportng included in the Annual Report of Hawkins, Inc. on Form 10-K for the year ended April 2, 2023. We consent to the incorporaton by reference of said reports in the Registraton Statements of Hawkins, Inc. on Forms S-8 (File Nos. 333-87582, 333-123080, 333-172761, 333-174735, 333-228128, and 333-234432).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ectPr>
          <w:pgSz w:w="11900" w:h="16838" w:orient="portrait"/>
          <w:cols w:equalWidth="0" w:num="1">
            <w:col w:w="11240"/>
          </w:cols>
          <w:pgMar w:left="320" w:top="875" w:right="339" w:bottom="1440" w:gutter="0" w:footer="0" w:header="0"/>
        </w:sectPr>
      </w:pPr>
    </w:p>
    <w:bookmarkStart w:id="57" w:name="page58"/>
    <w:bookmarkEnd w:id="57"/>
    <w:p>
      <w:pPr>
        <w:jc w:val="center"/>
        <w:ind w:right="-1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A. Faulconbridge</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-127635</wp:posOffset>
            </wp:positionV>
            <wp:extent cx="2100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58" w:name="page59"/>
    <w:bookmarkEnd w:id="58"/>
    <w:p>
      <w:pPr>
        <w:jc w:val="center"/>
        <w:ind w:right="-45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Mary J. Schumacher</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-127635</wp:posOffset>
            </wp:positionV>
            <wp:extent cx="2100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59" w:name="page60"/>
    <w:bookmarkEnd w:id="59"/>
    <w:p>
      <w:pPr>
        <w:jc w:val="center"/>
        <w:ind w:right="-45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Jefrey E. Spethmann</w:t>
      </w:r>
    </w:p>
    <w:p>
      <w:pPr>
        <w:spacing w:after="0" w:line="5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Jefrey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-127635</wp:posOffset>
            </wp:positionV>
            <wp:extent cx="2100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60" w:name="page61"/>
    <w:bookmarkEnd w:id="60"/>
    <w:p>
      <w:pPr>
        <w:jc w:val="center"/>
        <w:ind w:right="-45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Daniel J. Stauber</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-127635</wp:posOffset>
            </wp:positionV>
            <wp:extent cx="2100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61" w:name="page62"/>
    <w:bookmarkEnd w:id="61"/>
    <w:p>
      <w:pPr>
        <w:jc w:val="center"/>
        <w:ind w:right="-45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Yi “Faith” Tang</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-127635</wp:posOffset>
            </wp:positionV>
            <wp:extent cx="2100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62" w:name="page63"/>
    <w:bookmarkEnd w:id="62"/>
    <w:p>
      <w:pPr>
        <w:jc w:val="center"/>
        <w:ind w:right="-1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3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34925</wp:posOffset>
            </wp:positionV>
            <wp:extent cx="2100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Thompson</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63" w:name="page64"/>
    <w:bookmarkEnd w:id="63"/>
    <w:p>
      <w:pPr>
        <w:jc w:val="center"/>
        <w:ind w:right="-45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Power of Atorney</w:t>
      </w:r>
    </w:p>
    <w:p>
      <w:pPr>
        <w:spacing w:after="0" w:line="262"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The undersigned director of Hawkins, Inc., a Minnesota corporaton (the “Company”), does hereby make, consttute and appoint Patrick H. Hawkins and Jefrey P. Oldenkamp, and either of them, the undersigned’s true and lawful atorneys-in-fact and agents, with power of substtuton and resubsttuton, for the undersigned and in the undersigned’s name, place and stead, to sign and afx the undersigned’s name as such director of the Company to an Annual Report on Form 10-K for the fscal year ended April 2, 2023 or other applicable form, and any amendments thereto, to be fled by the Company with the U.S. Securites and Exchange Commission, Washington, D.C. (the “SEC”), and to fle the same with all exhibits thereto and other supportng documents in connecton therewith with the SEC, grantng unto said atorneys-in-fact and agents, and each of them, full power and authority to do and to perform any and all acts necessary or incidental to the performance and executon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Atorney as of the date set forth below.</w:t>
      </w:r>
    </w:p>
    <w:p>
      <w:pPr>
        <w:spacing w:after="0" w:line="27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Jefrey L. Wright</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-127635</wp:posOffset>
            </wp:positionV>
            <wp:extent cx="2100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April 27, 2022</w:t>
      </w:r>
    </w:p>
    <w:p>
      <w:pPr>
        <w:sectPr>
          <w:pgSz w:w="11900" w:h="16838" w:orient="portrait"/>
          <w:cols w:equalWidth="0" w:num="1">
            <w:col w:w="11120"/>
          </w:cols>
          <w:pgMar w:left="320" w:top="1384" w:right="4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certfy that:</w:t>
      </w:r>
    </w:p>
    <w:p>
      <w:pPr>
        <w:spacing w:after="0" w:line="36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jc w:val="both"/>
        <w:ind w:left="660" w:right="120" w:hanging="328"/>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660" w:right="220" w:hanging="328"/>
        <w:spacing w:after="0" w:line="287"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45" w:lineRule="exact"/>
        <w:rPr>
          <w:rFonts w:ascii="Arial" w:cs="Arial" w:eastAsia="Arial" w:hAnsi="Arial"/>
          <w:sz w:val="17"/>
          <w:szCs w:val="17"/>
          <w:color w:val="auto"/>
        </w:rPr>
      </w:pPr>
    </w:p>
    <w:p>
      <w:pPr>
        <w:jc w:val="both"/>
        <w:ind w:left="660" w:right="22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1" w:lineRule="exact"/>
        <w:rPr>
          <w:rFonts w:ascii="Arial" w:cs="Arial" w:eastAsia="Arial" w:hAnsi="Arial"/>
          <w:sz w:val="18"/>
          <w:szCs w:val="18"/>
          <w:color w:val="auto"/>
        </w:rPr>
      </w:pPr>
    </w:p>
    <w:p>
      <w:pPr>
        <w:ind w:left="1300" w:right="200" w:hanging="320"/>
        <w:spacing w:after="0" w:line="25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71" w:lineRule="exact"/>
        <w:rPr>
          <w:rFonts w:ascii="Arial" w:cs="Arial" w:eastAsia="Arial" w:hAnsi="Arial"/>
          <w:sz w:val="18"/>
          <w:szCs w:val="18"/>
          <w:color w:val="auto"/>
        </w:rPr>
      </w:pPr>
    </w:p>
    <w:p>
      <w:pPr>
        <w:ind w:left="1300" w:right="20" w:hanging="320"/>
        <w:spacing w:after="0" w:line="25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1" w:lineRule="exact"/>
        <w:rPr>
          <w:rFonts w:ascii="Arial" w:cs="Arial" w:eastAsia="Arial" w:hAnsi="Arial"/>
          <w:sz w:val="18"/>
          <w:szCs w:val="18"/>
          <w:color w:val="auto"/>
        </w:rPr>
      </w:pPr>
    </w:p>
    <w:p>
      <w:pPr>
        <w:ind w:left="1300" w:right="20" w:hanging="320"/>
        <w:spacing w:after="0" w:line="25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71" w:lineRule="exact"/>
        <w:rPr>
          <w:rFonts w:ascii="Arial" w:cs="Arial" w:eastAsia="Arial" w:hAnsi="Arial"/>
          <w:sz w:val="18"/>
          <w:szCs w:val="18"/>
          <w:color w:val="auto"/>
        </w:rPr>
      </w:pPr>
    </w:p>
    <w:p>
      <w:pPr>
        <w:ind w:left="1300" w:right="100" w:hanging="320"/>
        <w:spacing w:after="0" w:line="25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71" w:lineRule="exact"/>
        <w:rPr>
          <w:rFonts w:ascii="Arial" w:cs="Arial" w:eastAsia="Arial" w:hAnsi="Arial"/>
          <w:sz w:val="18"/>
          <w:szCs w:val="18"/>
          <w:color w:val="auto"/>
        </w:rPr>
      </w:pPr>
    </w:p>
    <w:p>
      <w:pPr>
        <w:ind w:left="660" w:right="160" w:hanging="328"/>
        <w:spacing w:after="0" w:line="30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32" w:lineRule="exact"/>
        <w:rPr>
          <w:rFonts w:ascii="Arial" w:cs="Arial" w:eastAsia="Arial" w:hAnsi="Arial"/>
          <w:sz w:val="17"/>
          <w:szCs w:val="17"/>
          <w:color w:val="auto"/>
        </w:rPr>
      </w:pPr>
    </w:p>
    <w:p>
      <w:pPr>
        <w:ind w:left="1300" w:right="440" w:hanging="320"/>
        <w:spacing w:after="0" w:line="320"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5" w:lineRule="exact"/>
        <w:rPr>
          <w:rFonts w:ascii="Arial" w:cs="Arial" w:eastAsia="Arial" w:hAnsi="Arial"/>
          <w:sz w:val="16"/>
          <w:szCs w:val="16"/>
          <w:color w:val="auto"/>
        </w:rPr>
      </w:pPr>
    </w:p>
    <w:p>
      <w:pPr>
        <w:ind w:left="1300" w:hanging="320"/>
        <w:spacing w:after="0" w:line="25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/s/ Patrick H. Hawkins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Executve Ofcer and President</w:t>
      </w:r>
    </w:p>
    <w:p>
      <w:pPr>
        <w:sectPr>
          <w:pgSz w:w="11900" w:h="16838" w:orient="portrait"/>
          <w:cols w:equalWidth="0" w:num="1">
            <w:col w:w="11240"/>
          </w:cols>
          <w:pgMar w:left="320" w:top="87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 Jefrey P. Oldenkamp, certfy that:</w:t>
      </w:r>
    </w:p>
    <w:p>
      <w:pPr>
        <w:spacing w:after="0" w:line="33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jc w:val="both"/>
        <w:ind w:left="660" w:right="120" w:hanging="328"/>
        <w:spacing w:after="0" w:line="24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8"/>
          <w:szCs w:val="18"/>
          <w:color w:val="auto"/>
        </w:rPr>
      </w:pPr>
    </w:p>
    <w:p>
      <w:pPr>
        <w:ind w:left="660" w:right="220" w:hanging="328"/>
        <w:spacing w:after="0" w:line="287"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45" w:lineRule="exact"/>
        <w:rPr>
          <w:rFonts w:ascii="Arial" w:cs="Arial" w:eastAsia="Arial" w:hAnsi="Arial"/>
          <w:sz w:val="17"/>
          <w:szCs w:val="17"/>
          <w:color w:val="auto"/>
        </w:rPr>
      </w:pPr>
    </w:p>
    <w:p>
      <w:pPr>
        <w:jc w:val="both"/>
        <w:ind w:left="660" w:right="22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71" w:lineRule="exact"/>
        <w:rPr>
          <w:rFonts w:ascii="Arial" w:cs="Arial" w:eastAsia="Arial" w:hAnsi="Arial"/>
          <w:sz w:val="18"/>
          <w:szCs w:val="18"/>
          <w:color w:val="auto"/>
        </w:rPr>
      </w:pPr>
    </w:p>
    <w:p>
      <w:pPr>
        <w:ind w:left="1300" w:right="200" w:hanging="320"/>
        <w:spacing w:after="0" w:line="25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71" w:lineRule="exact"/>
        <w:rPr>
          <w:rFonts w:ascii="Arial" w:cs="Arial" w:eastAsia="Arial" w:hAnsi="Arial"/>
          <w:sz w:val="18"/>
          <w:szCs w:val="18"/>
          <w:color w:val="auto"/>
        </w:rPr>
      </w:pPr>
    </w:p>
    <w:p>
      <w:pPr>
        <w:ind w:left="1300" w:right="20" w:hanging="320"/>
        <w:spacing w:after="0" w:line="25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71" w:lineRule="exact"/>
        <w:rPr>
          <w:rFonts w:ascii="Arial" w:cs="Arial" w:eastAsia="Arial" w:hAnsi="Arial"/>
          <w:sz w:val="18"/>
          <w:szCs w:val="18"/>
          <w:color w:val="auto"/>
        </w:rPr>
      </w:pPr>
    </w:p>
    <w:p>
      <w:pPr>
        <w:ind w:left="1300" w:right="20" w:hanging="320"/>
        <w:spacing w:after="0" w:line="25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71" w:lineRule="exact"/>
        <w:rPr>
          <w:rFonts w:ascii="Arial" w:cs="Arial" w:eastAsia="Arial" w:hAnsi="Arial"/>
          <w:sz w:val="18"/>
          <w:szCs w:val="18"/>
          <w:color w:val="auto"/>
        </w:rPr>
      </w:pPr>
    </w:p>
    <w:p>
      <w:pPr>
        <w:ind w:left="1300" w:right="100" w:hanging="320"/>
        <w:spacing w:after="0" w:line="25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71" w:lineRule="exact"/>
        <w:rPr>
          <w:rFonts w:ascii="Arial" w:cs="Arial" w:eastAsia="Arial" w:hAnsi="Arial"/>
          <w:sz w:val="18"/>
          <w:szCs w:val="18"/>
          <w:color w:val="auto"/>
        </w:rPr>
      </w:pPr>
    </w:p>
    <w:p>
      <w:pPr>
        <w:ind w:left="660" w:right="160" w:hanging="328"/>
        <w:spacing w:after="0" w:line="30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32" w:lineRule="exact"/>
        <w:rPr>
          <w:rFonts w:ascii="Arial" w:cs="Arial" w:eastAsia="Arial" w:hAnsi="Arial"/>
          <w:sz w:val="17"/>
          <w:szCs w:val="17"/>
          <w:color w:val="auto"/>
        </w:rPr>
      </w:pPr>
    </w:p>
    <w:p>
      <w:pPr>
        <w:ind w:left="1300" w:right="440" w:hanging="320"/>
        <w:spacing w:after="0" w:line="320"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5" w:lineRule="exact"/>
        <w:rPr>
          <w:rFonts w:ascii="Arial" w:cs="Arial" w:eastAsia="Arial" w:hAnsi="Arial"/>
          <w:sz w:val="16"/>
          <w:szCs w:val="16"/>
          <w:color w:val="auto"/>
        </w:rPr>
      </w:pPr>
    </w:p>
    <w:p>
      <w:pPr>
        <w:ind w:left="1300" w:hanging="320"/>
        <w:spacing w:after="0" w:line="25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signifcant role in the registrant’s internal control over fnancial reportng.</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8"/>
          <w:szCs w:val="18"/>
          <w:u w:val="single" w:color="auto"/>
          <w:color w:val="auto"/>
        </w:rPr>
        <w:t>/s/ Jefrey P. Oldenkamp</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Jefrey P. Oldenkamp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Executve Vice President and Chief Financial Ofcer</w:t>
      </w:r>
    </w:p>
    <w:p>
      <w:pPr>
        <w:sectPr>
          <w:pgSz w:w="11900" w:h="16838" w:orient="portrait"/>
          <w:cols w:equalWidth="0" w:num="1">
            <w:col w:w="11240"/>
          </w:cols>
          <w:pgMar w:left="320" w:top="87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connecton with the Annual Report of Hawkins, Inc. (the Company) on Form 10-K for the period ended April 2, 2023,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secton 13(a) or 15(d) of the Securites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760" w:firstLine="454"/>
        <w:spacing w:after="0" w:line="273" w:lineRule="auto"/>
        <w:tabs>
          <w:tab w:leader="none" w:pos="6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Executve Ofcer and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17, 2023</w:t>
      </w:r>
    </w:p>
    <w:p>
      <w:pPr>
        <w:sectPr>
          <w:pgSz w:w="11900" w:h="16838" w:orient="portrait"/>
          <w:cols w:equalWidth="0" w:num="1">
            <w:col w:w="11240"/>
          </w:cols>
          <w:pgMar w:left="320" w:top="87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In connecton with the Annual Report of Hawkins, Inc. (the Company) on Form 10-K for the period ended April 2, 2023, as fled with the Securites and Exchange Commission on the date hereof (the Report), I, Jefrey P. Oldenkamp, Chief Financial Ofcer of the Company, certfy, pursuant to 18 U.S.C. § 1350, as adopted pursuant to § 906 of the Sarbanes-Oxley Act of 2002, that: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secton 13(a) or 15(d) of the Securites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760" w:firstLine="454"/>
        <w:spacing w:after="0" w:line="273" w:lineRule="auto"/>
        <w:tabs>
          <w:tab w:leader="none" w:pos="6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informaton contained in the Report fairly presents, in all material respects, the fnancial conditon and results of operatons of the Company.</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Jefrey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Executve Vice President and Chief Financial Ofcer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17, 2023</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21"/>
    </w:lvl>
  </w:abstractNum>
  <w:abstractNum w:abstractNumId="9">
    <w:nsid w:val="DED7263"/>
    <w:multiLevelType w:val="hybridMultilevel"/>
    <w:lvl w:ilvl="0">
      <w:lvlJc w:val="left"/>
      <w:lvlText w:val="%1"/>
      <w:numFmt w:val="decimal"/>
      <w:start w:val="10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31" Type="http://schemas.openxmlformats.org/officeDocument/2006/relationships/hyperlink" Target="http://www.sec.gov/ix?doc=/Archives/edgar/data/46250/000004625022000016/hwkn-20220403.htm" TargetMode="External"/><Relationship Id="rId72" Type="http://schemas.openxmlformats.org/officeDocument/2006/relationships/hyperlink" Target="http://www.sec.gov/Archives/edgar/data/46250/000004625021000012/exhibit32.htm" TargetMode="External"/><Relationship Id="rId73" Type="http://schemas.openxmlformats.org/officeDocument/2006/relationships/hyperlink" Target="http://www.sec.gov/Archives/edgar/data/46250/000089710109002205/hawkins095018_ex3-1.htm" TargetMode="External"/><Relationship Id="rId74" Type="http://schemas.openxmlformats.org/officeDocument/2006/relationships/hyperlink" Target="http://www.sec.gov/Archives/edgar/data/46250/000004625021000019/hwkn10k2021exhibit41.htm" TargetMode="External"/><Relationship Id="rId75" Type="http://schemas.openxmlformats.org/officeDocument/2006/relationships/hyperlink" Target="http://www.sec.gov/Archives/edgar/data/46250/000095012311056962/c65009exv10w1.htm" TargetMode="External"/><Relationship Id="rId76" Type="http://schemas.openxmlformats.org/officeDocument/2006/relationships/hyperlink" Target="http://www.sec.gov/Archives/edgar/data/46250/000095012311073038/c64584exv10w1.htm" TargetMode="External"/><Relationship Id="rId77" Type="http://schemas.openxmlformats.org/officeDocument/2006/relationships/hyperlink" Target="http://www.sec.gov/Archives/edgar/data/46250/000119312518316437/d643918dex991.htm" TargetMode="External"/><Relationship Id="rId78" Type="http://schemas.openxmlformats.org/officeDocument/2006/relationships/hyperlink" Target="http://www.sec.gov/Archives/edgar/data/46250/000004625022000010/exhibit101.htm" TargetMode="External"/><Relationship Id="rId79" Type="http://schemas.openxmlformats.org/officeDocument/2006/relationships/hyperlink" Target="https://www.sec.gov/Archives/edgar/data/46250/000004625019000039/hawkins10qq2092919ex103.htm" TargetMode="External"/><Relationship Id="rId80" Type="http://schemas.openxmlformats.org/officeDocument/2006/relationships/hyperlink" Target="http://www.sec.gov/Archives/edgar/data/46250/000004625020000027/hwkn10k2020exhibit1010.htm" TargetMode="External"/><Relationship Id="rId81" Type="http://schemas.openxmlformats.org/officeDocument/2006/relationships/hyperlink" Target="http://www.sec.gov/Archives/edgar/data/46250/000004625021000019/hwkn10k2021exhibit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2023-05-17T15:25:53Z</dcterms:created>
  <dcterms:modified xsi:type="dcterms:W3CDTF">2023-05-17T15:25:53Z</dcterms:modified>
</cp:coreProperties>
</file>