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HAWKINS JOHN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03/03/2010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MINNEAPOLIS MN</w:t>
            </w:r>
          </w:p>
        </w:tc>
        <w:tc>
          <w:tcPr>
            <w:tcW w:w="1260" w:type="dxa"/>
            <w:vAlign w:val="bottom"/>
          </w:tcPr>
          <w:p>
            <w:pPr>
              <w:spacing w:after="0"/>
              <w:rPr>
                <w:sz w:val="20"/>
                <w:szCs w:val="20"/>
                <w:color w:val="auto"/>
              </w:rPr>
            </w:pPr>
            <w:r>
              <w:rPr>
                <w:rFonts w:ascii="Arial" w:cs="Arial" w:eastAsia="Arial" w:hAnsi="Arial"/>
                <w:sz w:val="18"/>
                <w:szCs w:val="18"/>
                <w:color w:val="0000FF"/>
              </w:rPr>
              <w:t>55413</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vMerge w:val="restart"/>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520" w:type="dxa"/>
            <w:vAlign w:val="bottom"/>
            <w:tcBorders>
              <w:bottom w:val="single" w:sz="8" w:color="2C2C2C"/>
            </w:tcBorders>
            <w:gridSpan w:val="8"/>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2"/>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9"/>
              </w:rPr>
              <w:t>03/03/2010</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21.64</w:t>
            </w:r>
            <w:r>
              <w:rPr>
                <w:rFonts w:ascii="Arial" w:cs="Arial" w:eastAsia="Arial" w:hAnsi="Arial"/>
                <w:sz w:val="22"/>
                <w:szCs w:val="22"/>
                <w:color w:val="008000"/>
                <w:w w:val="93"/>
                <w:vertAlign w:val="superscript"/>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7"/>
              <w:spacing w:after="0"/>
              <w:rPr>
                <w:sz w:val="20"/>
                <w:szCs w:val="20"/>
                <w:color w:val="auto"/>
              </w:rPr>
            </w:pPr>
            <w:r>
              <w:rPr>
                <w:rFonts w:ascii="Arial" w:cs="Arial" w:eastAsia="Arial" w:hAnsi="Arial"/>
                <w:sz w:val="18"/>
                <w:szCs w:val="18"/>
                <w:color w:val="0000FF"/>
                <w:w w:val="83"/>
              </w:rPr>
              <w:t>69,029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40" w:type="dxa"/>
            <w:vAlign w:val="bottom"/>
            <w:gridSpan w:val="3"/>
          </w:tcPr>
          <w:p>
            <w:pPr>
              <w:jc w:val="right"/>
              <w:ind w:right="117"/>
              <w:spacing w:after="0"/>
              <w:rPr>
                <w:sz w:val="20"/>
                <w:szCs w:val="20"/>
                <w:color w:val="auto"/>
              </w:rPr>
            </w:pPr>
            <w:r>
              <w:rPr>
                <w:rFonts w:ascii="Arial" w:cs="Arial" w:eastAsia="Arial" w:hAnsi="Arial"/>
                <w:sz w:val="18"/>
                <w:szCs w:val="18"/>
                <w:color w:val="0000FF"/>
              </w:rPr>
              <w:t>101,299.9416</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4520" w:type="dxa"/>
            <w:vAlign w:val="bottom"/>
            <w:tcBorders>
              <w:bottom w:val="single" w:sz="8" w:color="2C2C2C"/>
            </w:tcBorders>
            <w:gridSpan w:val="8"/>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8"/>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5,000 shares of common stock of the issuer sold by the reporting person in multiple transactions on March 3, 2010 with the sales price ranging from $21.60 to $21.82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Steven C. Kennedy, as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03/05/2010</w:t>
            </w:r>
          </w:p>
        </w:tc>
        <w:tc>
          <w:tcPr>
            <w:tcW w:w="0" w:type="dxa"/>
            <w:vAlign w:val="bottom"/>
          </w:tcPr>
          <w:p>
            <w:pPr>
              <w:spacing w:after="0"/>
              <w:rPr>
                <w:sz w:val="1"/>
                <w:szCs w:val="1"/>
                <w:color w:val="auto"/>
              </w:rPr>
            </w:pPr>
          </w:p>
        </w:tc>
      </w:tr>
      <w:tr>
        <w:trPr>
          <w:trHeight w:val="88"/>
        </w:trPr>
        <w:tc>
          <w:tcPr>
            <w:tcW w:w="18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3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tcBorders>
              <w:top w:val="single" w:sz="8" w:color="auto"/>
            </w:tcBorders>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696"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2019-12-17T09:34:10Z</dcterms:created>
  <dcterms:modified xsi:type="dcterms:W3CDTF">2019-12-17T09:34:10Z</dcterms:modified>
</cp:coreProperties>
</file>