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6" w:lineRule="exact"/>
        <w:rPr>
          <w:sz w:val="24"/>
          <w:szCs w:val="24"/>
          <w:color w:val="auto"/>
        </w:rPr>
      </w:pPr>
    </w:p>
    <w:p>
      <w:pPr>
        <w:ind w:left="760" w:right="2340" w:hanging="752"/>
        <w:spacing w:after="0" w:line="256" w:lineRule="auto"/>
        <w:tabs>
          <w:tab w:leader="none" w:pos="7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2380" w:hanging="712"/>
        <w:spacing w:after="0" w:line="256" w:lineRule="auto"/>
        <w:tabs>
          <w:tab w:leader="none" w:pos="7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40"/>
          </w:cols>
          <w:pgMar w:left="240" w:top="585" w:right="219" w:bottom="0" w:gutter="0" w:footer="0" w:header="0"/>
        </w:sectPr>
      </w:pPr>
    </w:p>
    <w:p>
      <w:pPr>
        <w:spacing w:after="0" w:line="172" w:lineRule="exact"/>
        <w:rPr>
          <w:sz w:val="24"/>
          <w:szCs w:val="24"/>
          <w:color w:val="auto"/>
        </w:rPr>
      </w:pPr>
    </w:p>
    <w:p>
      <w:pPr>
        <w:ind w:left="36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080" w:space="720"/>
            <w:col w:w="4640"/>
          </w:cols>
          <w:pgMar w:left="240" w:top="585" w:right="21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0-7647</w:t>
      </w:r>
    </w:p>
    <w:p>
      <w:pPr>
        <w:sectPr>
          <w:pgSz w:w="11900" w:h="16838" w:orient="portrait"/>
          <w:cols w:equalWidth="0" w:num="1">
            <w:col w:w="11440"/>
          </w:cols>
          <w:pgMar w:left="240" w:top="585" w:right="21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40"/>
          </w:cols>
          <w:pgMar w:left="240" w:top="585" w:right="219" w:bottom="0" w:gutter="0" w:footer="0" w:header="0"/>
          <w:type w:val="continuous"/>
        </w:sectPr>
      </w:pPr>
    </w:p>
    <w:p>
      <w:pPr>
        <w:spacing w:after="0" w:line="228"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120"/>
          </w:cols>
          <w:pgMar w:left="240" w:top="585" w:right="219" w:bottom="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jc w:val="center"/>
        <w:spacing w:after="0" w:line="207" w:lineRule="exact"/>
        <w:tabs>
          <w:tab w:leader="none" w:pos="160" w:val="left"/>
          <w:tab w:leader="none" w:pos="200" w:val="left"/>
          <w:tab w:leader="none" w:pos="1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99" w:lineRule="exact"/>
        <w:rPr>
          <w:sz w:val="24"/>
          <w:szCs w:val="24"/>
          <w:color w:val="auto"/>
        </w:rPr>
      </w:pPr>
    </w:p>
    <w:p>
      <w:pPr>
        <w:ind w:left="5000"/>
        <w:spacing w:after="0" w:line="207" w:lineRule="exact"/>
        <w:tabs>
          <w:tab w:leader="none" w:pos="5500" w:val="left"/>
          <w:tab w:leader="none" w:pos="5880" w:val="left"/>
          <w:tab w:leader="none" w:pos="632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o</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4"/>
          <w:szCs w:val="24"/>
          <w:color w:val="auto"/>
        </w:rPr>
      </w:pPr>
    </w:p>
    <w:p>
      <w:pPr>
        <w:jc w:val="center"/>
        <w:spacing w:after="0" w:line="207" w:lineRule="exact"/>
        <w:tabs>
          <w:tab w:leader="none" w:pos="160" w:val="left"/>
          <w:tab w:leader="none" w:pos="220" w:val="left"/>
          <w:tab w:leader="none" w:pos="160" w:val="left"/>
        </w:tabs>
        <w:rPr>
          <w:sz w:val="20"/>
          <w:szCs w:val="20"/>
          <w:color w:val="auto"/>
        </w:rPr>
      </w:pPr>
      <w:r>
        <w:rPr>
          <w:rFonts w:ascii="Arial" w:cs="Arial" w:eastAsia="Arial" w:hAnsi="Arial"/>
          <w:sz w:val="18"/>
          <w:szCs w:val="18"/>
          <w:color w:val="auto"/>
        </w:rPr>
        <w:t>YES</w:t>
        <w:tab/>
        <w:t>o</w:t>
        <w:tab/>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rPr>
              <w:t>OUTSTANDING AT NOVEMBER 9, 2005</w:t>
            </w:r>
          </w:p>
        </w:tc>
        <w:tc>
          <w:tcPr>
            <w:tcW w:w="20" w:type="dxa"/>
            <w:vAlign w:val="bottom"/>
          </w:tcPr>
          <w:p>
            <w:pPr>
              <w:spacing w:after="0"/>
              <w:rPr>
                <w:sz w:val="14"/>
                <w:szCs w:val="14"/>
                <w:color w:val="auto"/>
              </w:rPr>
            </w:pP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$.05 per share</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right"/>
              <w:ind w:right="2319"/>
              <w:spacing w:after="0"/>
              <w:rPr>
                <w:sz w:val="20"/>
                <w:szCs w:val="20"/>
                <w:color w:val="auto"/>
              </w:rPr>
            </w:pPr>
            <w:r>
              <w:rPr>
                <w:rFonts w:ascii="Arial" w:cs="Arial" w:eastAsia="Arial" w:hAnsi="Arial"/>
                <w:sz w:val="18"/>
                <w:szCs w:val="18"/>
                <w:color w:val="auto"/>
              </w:rPr>
              <w:t>10,171,496</w:t>
            </w:r>
          </w:p>
        </w:tc>
        <w:tc>
          <w:tcPr>
            <w:tcW w:w="20" w:type="dxa"/>
            <w:vAlign w:val="bottom"/>
          </w:tcPr>
          <w:p>
            <w:pPr>
              <w:spacing w:after="0"/>
              <w:rPr>
                <w:sz w:val="19"/>
                <w:szCs w:val="19"/>
                <w:color w:val="auto"/>
              </w:rPr>
            </w:pPr>
          </w:p>
        </w:tc>
      </w:tr>
      <w:tr>
        <w:trPr>
          <w:trHeight w:val="236"/>
        </w:trPr>
        <w:tc>
          <w:tcPr>
            <w:tcW w:w="5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88"/>
        </w:trPr>
        <w:tc>
          <w:tcPr>
            <w:tcW w:w="56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56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40" w:type="dxa"/>
            <w:vAlign w:val="bottom"/>
            <w:gridSpan w:val="2"/>
            <w:vMerge w:val="restart"/>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980" w:type="dxa"/>
            <w:vAlign w:val="bottom"/>
            <w:vMerge w:val="restart"/>
          </w:tcPr>
          <w:p>
            <w:pPr>
              <w:spacing w:after="0"/>
              <w:rPr>
                <w:sz w:val="14"/>
                <w:szCs w:val="14"/>
                <w:color w:val="auto"/>
              </w:rPr>
            </w:pPr>
          </w:p>
        </w:tc>
        <w:tc>
          <w:tcPr>
            <w:tcW w:w="9080" w:type="dxa"/>
            <w:vAlign w:val="bottom"/>
            <w:gridSpan w:val="7"/>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640" w:type="dxa"/>
            <w:vAlign w:val="bottom"/>
            <w:gridSpan w:val="2"/>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9080" w:type="dxa"/>
            <w:vAlign w:val="bottom"/>
            <w:gridSpan w:val="7"/>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12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2400" w:type="dxa"/>
            <w:vAlign w:val="bottom"/>
            <w:tcBorders>
              <w:top w:val="single" w:sz="8" w:color="0000EE"/>
            </w:tcBorders>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668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8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Balance Sheets – September 30, 2005 and April 3, 2005</w:t>
              </w:r>
            </w:hyperlink>
          </w:p>
        </w:tc>
        <w:tc>
          <w:tcPr>
            <w:tcW w:w="720" w:type="dxa"/>
            <w:vAlign w:val="bottom"/>
            <w:gridSpan w:val="2"/>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8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Statements of Income - Three and Six Months Ended September 30, 2005 and 2004</w:t>
              </w:r>
            </w:hyperlink>
          </w:p>
        </w:tc>
        <w:tc>
          <w:tcPr>
            <w:tcW w:w="72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20" w:type="dxa"/>
            <w:vAlign w:val="bottom"/>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Statements of Cash Flows - Six Months Ended September 30, 2005 and 2004</w:t>
              </w:r>
            </w:hyperlink>
          </w:p>
        </w:tc>
        <w:tc>
          <w:tcPr>
            <w:tcW w:w="4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2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2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Financial Statements</w:t>
              </w:r>
            </w:hyperlink>
          </w:p>
        </w:tc>
        <w:tc>
          <w:tcPr>
            <w:tcW w:w="2660" w:type="dxa"/>
            <w:vAlign w:val="bottom"/>
            <w:gridSpan w:val="2"/>
          </w:tcPr>
          <w:p>
            <w:pPr>
              <w:spacing w:after="0"/>
              <w:rPr>
                <w:sz w:val="24"/>
                <w:szCs w:val="24"/>
                <w:color w:val="auto"/>
              </w:rPr>
            </w:pPr>
          </w:p>
        </w:tc>
        <w:tc>
          <w:tcPr>
            <w:tcW w:w="72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585" w:right="21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2.</w:t>
              </w:r>
            </w:hyperlink>
          </w:p>
        </w:tc>
        <w:tc>
          <w:tcPr>
            <w:tcW w:w="1080" w:type="dxa"/>
            <w:vAlign w:val="bottom"/>
            <w:gridSpan w:val="4"/>
          </w:tcPr>
          <w:p>
            <w:pPr>
              <w:spacing w:after="0"/>
              <w:rPr>
                <w:sz w:val="17"/>
                <w:szCs w:val="17"/>
                <w:color w:val="auto"/>
              </w:rPr>
            </w:pPr>
          </w:p>
        </w:tc>
        <w:tc>
          <w:tcPr>
            <w:tcW w:w="7900" w:type="dxa"/>
            <w:vAlign w:val="bottom"/>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Management’s Discussion and Analysis of Financial Condition and Results of Operations</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5"/>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Item 3.</w:t>
              </w:r>
            </w:hyperlink>
          </w:p>
        </w:tc>
        <w:tc>
          <w:tcPr>
            <w:tcW w:w="160" w:type="dxa"/>
            <w:vAlign w:val="bottom"/>
            <w:tcBorders>
              <w:bottom w:val="single" w:sz="8" w:color="0000EE"/>
            </w:tcBorders>
          </w:tcPr>
          <w:p>
            <w:pPr>
              <w:spacing w:after="0"/>
              <w:rPr>
                <w:sz w:val="24"/>
                <w:szCs w:val="24"/>
                <w:color w:val="auto"/>
              </w:rPr>
            </w:pPr>
          </w:p>
        </w:tc>
        <w:tc>
          <w:tcPr>
            <w:tcW w:w="920" w:type="dxa"/>
            <w:vAlign w:val="bottom"/>
            <w:gridSpan w:val="3"/>
          </w:tcPr>
          <w:p>
            <w:pPr>
              <w:spacing w:after="0"/>
              <w:rPr>
                <w:sz w:val="24"/>
                <w:szCs w:val="24"/>
                <w:color w:val="auto"/>
              </w:rPr>
            </w:pPr>
          </w:p>
        </w:tc>
        <w:tc>
          <w:tcPr>
            <w:tcW w:w="43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Quantitative and Qualitative Disclosures about Market Risk</w:t>
              </w:r>
            </w:hyperlink>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Borders>
              <w:bottom w:val="single" w:sz="8" w:color="0000EE"/>
            </w:tcBorders>
            <w:gridSpan w:val="4"/>
          </w:tcPr>
          <w:p>
            <w:pPr>
              <w:jc w:val="right"/>
              <w:ind w:right="2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13</w:t>
              </w:r>
            </w:hyperlink>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Item 4.</w:t>
              </w:r>
            </w:hyperlink>
          </w:p>
        </w:tc>
        <w:tc>
          <w:tcPr>
            <w:tcW w:w="1080" w:type="dxa"/>
            <w:vAlign w:val="bottom"/>
            <w:gridSpan w:val="4"/>
          </w:tcPr>
          <w:p>
            <w:pPr>
              <w:spacing w:after="0"/>
              <w:rPr>
                <w:sz w:val="24"/>
                <w:szCs w:val="24"/>
                <w:color w:val="auto"/>
              </w:rPr>
            </w:pPr>
          </w:p>
        </w:tc>
        <w:tc>
          <w:tcPr>
            <w:tcW w:w="17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Controls and Procedures</w:t>
              </w:r>
            </w:hyperlink>
          </w:p>
        </w:tc>
        <w:tc>
          <w:tcPr>
            <w:tcW w:w="426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14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20" w:type="dxa"/>
            <w:vAlign w:val="bottom"/>
            <w:gridSpan w:val="6"/>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PART II.</w:t>
              </w:r>
            </w:hyperlink>
          </w:p>
        </w:tc>
        <w:tc>
          <w:tcPr>
            <w:tcW w:w="6040" w:type="dxa"/>
            <w:vAlign w:val="bottom"/>
            <w:gridSpan w:val="6"/>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OTHER INFORMATION</w:t>
              </w:r>
            </w:hyperlink>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tcBorders>
              <w:bottom w:val="single" w:sz="8" w:color="0000EE"/>
            </w:tcBorders>
            <w:gridSpan w:val="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Item 4.</w:t>
              </w:r>
            </w:hyperlink>
          </w:p>
        </w:tc>
        <w:tc>
          <w:tcPr>
            <w:tcW w:w="60" w:type="dxa"/>
            <w:vAlign w:val="bottom"/>
            <w:tcBorders>
              <w:bottom w:val="single" w:sz="8" w:color="0000EE"/>
            </w:tcBorders>
          </w:tcPr>
          <w:p>
            <w:pPr>
              <w:spacing w:after="0"/>
              <w:rPr>
                <w:sz w:val="24"/>
                <w:szCs w:val="24"/>
                <w:color w:val="auto"/>
              </w:rPr>
            </w:pPr>
          </w:p>
        </w:tc>
        <w:tc>
          <w:tcPr>
            <w:tcW w:w="860" w:type="dxa"/>
            <w:vAlign w:val="bottom"/>
            <w:gridSpan w:val="2"/>
          </w:tcPr>
          <w:p>
            <w:pPr>
              <w:spacing w:after="0"/>
              <w:rPr>
                <w:sz w:val="24"/>
                <w:szCs w:val="24"/>
                <w:color w:val="auto"/>
              </w:rPr>
            </w:pPr>
          </w:p>
        </w:tc>
        <w:tc>
          <w:tcPr>
            <w:tcW w:w="37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Submission of Matters to a Vote of Security Holders</w:t>
              </w:r>
            </w:hyperlink>
          </w:p>
        </w:tc>
        <w:tc>
          <w:tcPr>
            <w:tcW w:w="22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5"/>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Item 6.</w:t>
              </w:r>
            </w:hyperlink>
          </w:p>
        </w:tc>
        <w:tc>
          <w:tcPr>
            <w:tcW w:w="1080" w:type="dxa"/>
            <w:vAlign w:val="bottom"/>
            <w:gridSpan w:val="4"/>
          </w:tcPr>
          <w:p>
            <w:pPr>
              <w:spacing w:after="0"/>
              <w:rPr>
                <w:sz w:val="24"/>
                <w:szCs w:val="24"/>
                <w:color w:val="auto"/>
              </w:rPr>
            </w:pPr>
          </w:p>
        </w:tc>
        <w:tc>
          <w:tcPr>
            <w:tcW w:w="6040" w:type="dxa"/>
            <w:vAlign w:val="bottom"/>
            <w:gridSpan w:val="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Exhibits</w:t>
              </w:r>
            </w:hyperlink>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5"/>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20" w:type="dxa"/>
            <w:vAlign w:val="bottom"/>
            <w:gridSpan w:val="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5"/>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7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20" w:type="dxa"/>
            <w:vAlign w:val="bottom"/>
            <w:gridSpan w:val="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5"/>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4320" w:type="dxa"/>
            <w:vAlign w:val="bottom"/>
            <w:gridSpan w:val="5"/>
          </w:tcPr>
          <w:p>
            <w:pPr>
              <w:ind w:left="404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6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0" w:type="dxa"/>
            <w:vAlign w:val="bottom"/>
            <w:gridSpan w:val="3"/>
          </w:tcPr>
          <w:p>
            <w:pPr>
              <w:ind w:left="50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12"/>
          </w:tcPr>
          <w:p>
            <w:pPr>
              <w:spacing w:after="0"/>
              <w:rPr>
                <w:sz w:val="20"/>
                <w:szCs w:val="20"/>
                <w:color w:val="auto"/>
              </w:rPr>
            </w:pPr>
            <w:r>
              <w:rPr>
                <w:rFonts w:ascii="Arial" w:cs="Arial" w:eastAsia="Arial" w:hAnsi="Arial"/>
                <w:sz w:val="18"/>
                <w:szCs w:val="18"/>
                <w:color w:val="auto"/>
              </w:rPr>
              <w:t>ITEM 1. FINANCIAL STATEMENTS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620" w:type="dxa"/>
            <w:vAlign w:val="bottom"/>
            <w:gridSpan w:val="6"/>
          </w:tcPr>
          <w:p>
            <w:pPr>
              <w:spacing w:after="0"/>
              <w:rPr>
                <w:sz w:val="20"/>
                <w:szCs w:val="20"/>
                <w:color w:val="auto"/>
              </w:rPr>
            </w:pPr>
            <w:r>
              <w:rPr>
                <w:rFonts w:ascii="Arial" w:cs="Arial" w:eastAsia="Arial" w:hAnsi="Arial"/>
                <w:sz w:val="18"/>
                <w:szCs w:val="18"/>
                <w:b w:val="1"/>
                <w:bCs w:val="1"/>
                <w:color w:val="auto"/>
              </w:rPr>
              <w:t>HAWKINS, INC.</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gridSpan w:val="12"/>
          </w:tcPr>
          <w:p>
            <w:pPr>
              <w:spacing w:after="0"/>
              <w:rPr>
                <w:sz w:val="20"/>
                <w:szCs w:val="20"/>
                <w:color w:val="auto"/>
              </w:rPr>
            </w:pPr>
            <w:r>
              <w:rPr>
                <w:rFonts w:ascii="Arial" w:cs="Arial" w:eastAsia="Arial" w:hAnsi="Arial"/>
                <w:sz w:val="18"/>
                <w:szCs w:val="18"/>
                <w:b w:val="1"/>
                <w:bCs w:val="1"/>
                <w:color w:val="auto"/>
              </w:rPr>
              <w:t>CONDENSED BALANCE SHEETS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9"/>
              </w:rPr>
              <w:t>2005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9"/>
              </w:rPr>
              <w:t>SEPTEMBER 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rPr>
              <w:t>(DERIVED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CURRENT ASSETS:</w:t>
            </w: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11"/>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3,465,785</w:t>
            </w:r>
          </w:p>
        </w:tc>
        <w:tc>
          <w:tcPr>
            <w:tcW w:w="14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4,564,790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Investments available-for-sale</w:t>
            </w:r>
          </w:p>
        </w:tc>
        <w:tc>
          <w:tcPr>
            <w:tcW w:w="2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14,011,653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6,672,521</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11"/>
          </w:tcPr>
          <w:p>
            <w:pPr>
              <w:ind w:left="160"/>
              <w:spacing w:after="0"/>
              <w:rPr>
                <w:sz w:val="20"/>
                <w:szCs w:val="20"/>
                <w:color w:val="auto"/>
              </w:rPr>
            </w:pPr>
            <w:r>
              <w:rPr>
                <w:rFonts w:ascii="Arial" w:cs="Arial" w:eastAsia="Arial" w:hAnsi="Arial"/>
                <w:sz w:val="18"/>
                <w:szCs w:val="18"/>
                <w:color w:val="auto"/>
              </w:rPr>
              <w:t>Trade receivables - net</w:t>
            </w:r>
          </w:p>
        </w:tc>
        <w:tc>
          <w:tcPr>
            <w:tcW w:w="200" w:type="dxa"/>
            <w:vAlign w:val="bottom"/>
          </w:tcPr>
          <w:p>
            <w:pPr>
              <w:spacing w:after="0"/>
              <w:rPr>
                <w:sz w:val="18"/>
                <w:szCs w:val="18"/>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14,999,598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13,673,953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15,812,063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8,587,610</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11"/>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2,680,200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2,223,798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11"/>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50,969,299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35,722,672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2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32,821,351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30,973,613</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11"/>
            <w:shd w:val="clear" w:color="auto" w:fill="CCEEFF"/>
          </w:tcPr>
          <w:p>
            <w:pPr>
              <w:spacing w:after="0"/>
              <w:rPr>
                <w:sz w:val="20"/>
                <w:szCs w:val="20"/>
                <w:color w:val="auto"/>
              </w:rPr>
            </w:pPr>
            <w:r>
              <w:rPr>
                <w:rFonts w:ascii="Arial" w:cs="Arial" w:eastAsia="Arial" w:hAnsi="Arial"/>
                <w:sz w:val="18"/>
                <w:szCs w:val="18"/>
                <w:color w:val="auto"/>
                <w:w w:val="96"/>
              </w:rPr>
              <w:t>INTANGIBLE ASSETS - less accumulated amortization of $1,306,083 and $1,870,719, respectively</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2,176,950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2,492,330</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7,459,541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16,085,074</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ASSETS</w:t>
            </w: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2,091,665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2,384,429</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95,518,806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87,658,118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gridSpan w:val="11"/>
            <w:shd w:val="clear" w:color="auto" w:fill="CCEEFF"/>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11"/>
          </w:tcPr>
          <w:p>
            <w:pPr>
              <w:ind w:left="160"/>
              <w:spacing w:after="0"/>
              <w:rPr>
                <w:sz w:val="20"/>
                <w:szCs w:val="20"/>
                <w:color w:val="auto"/>
              </w:rPr>
            </w:pPr>
            <w:r>
              <w:rPr>
                <w:rFonts w:ascii="Arial" w:cs="Arial" w:eastAsia="Arial" w:hAnsi="Arial"/>
                <w:sz w:val="18"/>
                <w:szCs w:val="18"/>
                <w:color w:val="auto"/>
              </w:rPr>
              <w:t>Accounts payable – trade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10,173,806</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5,946,189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6"/>
              </w:rPr>
              <w:t>Dividends payable</w:t>
            </w: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2,044,347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1,846,321</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11"/>
          </w:tcPr>
          <w:p>
            <w:pPr>
              <w:ind w:left="160"/>
              <w:spacing w:after="0"/>
              <w:rPr>
                <w:sz w:val="20"/>
                <w:szCs w:val="20"/>
                <w:color w:val="auto"/>
              </w:rPr>
            </w:pPr>
            <w:r>
              <w:rPr>
                <w:rFonts w:ascii="Arial" w:cs="Arial" w:eastAsia="Arial" w:hAnsi="Arial"/>
                <w:sz w:val="18"/>
                <w:szCs w:val="18"/>
                <w:color w:val="auto"/>
              </w:rPr>
              <w:t>Accrued payroll and employee benefits</w:t>
            </w:r>
          </w:p>
        </w:tc>
        <w:tc>
          <w:tcPr>
            <w:tcW w:w="2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3,412,484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3,954,968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2,594,627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2,510,506</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11"/>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18,225,264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14,257,984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22,145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1,217,422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1,178,422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11"/>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w w:val="92"/>
              </w:rPr>
              <w:t>Common stock, par value $.05 per share; 10,246,854 and 10,257,341 shares issued and outstanding</w:t>
            </w:r>
          </w:p>
        </w:tc>
        <w:tc>
          <w:tcPr>
            <w:tcW w:w="2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512,343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512,867</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11"/>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38,108,855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38,232,076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Unearned compensation</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(198,702)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11"/>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(111,509)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4"/>
          </w:tcPr>
          <w:p>
            <w:pPr>
              <w:jc w:val="right"/>
              <w:ind w:right="40"/>
              <w:spacing w:after="0"/>
              <w:rPr>
                <w:sz w:val="20"/>
                <w:szCs w:val="20"/>
                <w:color w:val="auto"/>
              </w:rPr>
            </w:pPr>
            <w:r>
              <w:rPr>
                <w:rFonts w:ascii="Arial" w:cs="Arial" w:eastAsia="Arial" w:hAnsi="Arial"/>
                <w:sz w:val="18"/>
                <w:szCs w:val="18"/>
                <w:color w:val="auto"/>
              </w:rPr>
              <w:t>(196,031)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7"/>
              </w:rPr>
              <w:t>Retained earnings</w:t>
            </w: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37,555,415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33,849,357</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gridSpan w:val="11"/>
          </w:tcPr>
          <w:p>
            <w:pPr>
              <w:ind w:left="3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76,065,104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72,199,567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95,518,806</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87,658,118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40" w:type="dxa"/>
            <w:vAlign w:val="bottom"/>
            <w:gridSpan w:val="11"/>
          </w:tcPr>
          <w:p>
            <w:pPr>
              <w:spacing w:after="0" w:line="204" w:lineRule="exact"/>
              <w:rPr>
                <w:sz w:val="20"/>
                <w:szCs w:val="20"/>
                <w:color w:val="auto"/>
              </w:rPr>
            </w:pPr>
            <w:r>
              <w:rPr>
                <w:rFonts w:ascii="Arial" w:cs="Arial" w:eastAsia="Arial" w:hAnsi="Arial"/>
                <w:sz w:val="18"/>
                <w:szCs w:val="18"/>
                <w:color w:val="auto"/>
              </w:rPr>
              <w:t>See accompanying notes to condensed financial statements.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-7868285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-7868285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24" w:right="219" w:bottom="0" w:gutter="0" w:footer="0" w:header="0"/>
        </w:sectPr>
      </w:pPr>
    </w:p>
    <w:bookmarkStart w:id="2" w:name="page3"/>
    <w:bookmarkEnd w:id="2"/>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6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gridSpan w:val="4"/>
          </w:tcPr>
          <w:p>
            <w:pPr>
              <w:jc w:val="center"/>
              <w:ind w:left="494"/>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left="594"/>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494"/>
              <w:spacing w:after="0"/>
              <w:rPr>
                <w:sz w:val="20"/>
                <w:szCs w:val="20"/>
                <w:color w:val="auto"/>
              </w:rPr>
            </w:pPr>
            <w:r>
              <w:rPr>
                <w:rFonts w:ascii="Arial" w:cs="Arial" w:eastAsia="Arial" w:hAnsi="Arial"/>
                <w:sz w:val="14"/>
                <w:szCs w:val="14"/>
                <w:b w:val="1"/>
                <w:bCs w:val="1"/>
                <w:color w:val="auto"/>
                <w:w w:val="99"/>
              </w:rPr>
              <w:t>SEPTEMBER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gridSpan w:val="4"/>
          </w:tcPr>
          <w:p>
            <w:pPr>
              <w:jc w:val="center"/>
              <w:ind w:left="594"/>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gridSpan w:val="4"/>
          </w:tcPr>
          <w:p>
            <w:pPr>
              <w:jc w:val="center"/>
              <w:ind w:left="494"/>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36,643,242</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28,631,601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72,497,769</w:t>
            </w:r>
          </w:p>
        </w:tc>
        <w:tc>
          <w:tcPr>
            <w:tcW w:w="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58,587,419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27,848,289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20,313,977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53,817,158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41,684,319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8,794,953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8,317,624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18,680,611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16,903,100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5,189,914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4,724,648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11,088,310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8,929,493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 (Note 6)</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(1,015,826)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(1,015,826)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4,620,865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3,592,976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8,608,127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7,973,607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68,654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376,878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4,689,519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3,733,584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8,985,005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8,310,388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1,688,600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3,234,600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3,000,919</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2,406,084</w:t>
            </w: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5,750,405</w:t>
            </w:r>
          </w:p>
        </w:tc>
        <w:tc>
          <w:tcPr>
            <w:tcW w:w="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5,335,388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outstanding –</w:t>
            </w:r>
          </w:p>
        </w:tc>
        <w:tc>
          <w:tcPr>
            <w:tcW w:w="38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10,227,209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10,222,065</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outstanding –</w:t>
            </w:r>
          </w:p>
        </w:tc>
        <w:tc>
          <w:tcPr>
            <w:tcW w:w="38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10,251,181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10,217,793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10,247,623</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10,217,234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0.56</w:t>
            </w:r>
          </w:p>
        </w:tc>
        <w:tc>
          <w:tcPr>
            <w:tcW w:w="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620" w:type="dxa"/>
            <w:vAlign w:val="bottom"/>
            <w:gridSpan w:val="3"/>
          </w:tcPr>
          <w:p>
            <w:pPr>
              <w:spacing w:after="0"/>
              <w:rPr>
                <w:sz w:val="20"/>
                <w:szCs w:val="20"/>
                <w:color w:val="auto"/>
              </w:rPr>
            </w:pPr>
            <w:r>
              <w:rPr>
                <w:rFonts w:ascii="Arial" w:cs="Arial" w:eastAsia="Arial" w:hAnsi="Arial"/>
                <w:sz w:val="18"/>
                <w:szCs w:val="18"/>
                <w:color w:val="auto"/>
                <w:w w:val="94"/>
              </w:rPr>
              <w:t>See accompanying notes to condensed financial statements.</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48"/>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HAWKINS,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gridSpan w:val="4"/>
          </w:tcPr>
          <w:p>
            <w:pPr>
              <w:jc w:val="center"/>
              <w:ind w:left="494"/>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474"/>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4"/>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gridSpan w:val="4"/>
          </w:tcPr>
          <w:p>
            <w:pPr>
              <w:jc w:val="center"/>
              <w:ind w:left="474"/>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5,750,405</w:t>
            </w:r>
          </w:p>
        </w:tc>
        <w:tc>
          <w:tcPr>
            <w:tcW w:w="140" w:type="dxa"/>
            <w:vAlign w:val="bottom"/>
          </w:tcPr>
          <w:p>
            <w:pPr>
              <w:spacing w:after="0"/>
              <w:rPr>
                <w:sz w:val="18"/>
                <w:szCs w:val="18"/>
                <w:color w:val="auto"/>
              </w:rPr>
            </w:pPr>
          </w:p>
        </w:tc>
        <w:tc>
          <w:tcPr>
            <w:tcW w:w="7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5,335,388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Reconciliation to cash flows: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1,748,441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1,573,558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compensation expense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Intangible assets impairment</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investments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Loss (gain) from property disposals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37,645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Changes in operating accounts (using) providing cash:</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520"/>
              <w:spacing w:after="0"/>
              <w:rPr>
                <w:sz w:val="20"/>
                <w:szCs w:val="20"/>
                <w:color w:val="auto"/>
              </w:rPr>
            </w:pPr>
            <w:r>
              <w:rPr>
                <w:rFonts w:ascii="Arial" w:cs="Arial" w:eastAsia="Arial" w:hAnsi="Arial"/>
                <w:sz w:val="18"/>
                <w:szCs w:val="18"/>
                <w:color w:val="auto"/>
              </w:rPr>
              <w:t>Trade receivables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(1,325,645)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(269,258)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(7,224,453)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(2,865,582)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4,227,617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2,222,120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(480,950)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5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(352,929)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1,838,670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2,966,692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7,725,939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(3,504,076)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(3,349,878)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Purchases of investments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(2,068,577)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(8,297,515)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-4181475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-4181475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341" w:right="2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and maturities of investments</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3,266,641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8,547,297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Proceeds from property disposals</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received on notes receivable</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(2,219,376)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(2,927,825)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Cash dividends paid</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(1,846,321)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(1,839,004)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(1,846,321)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(1,839,004)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(1,099,005)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2,959,110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4,564,790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1,558,969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3,465,785</w:t>
            </w:r>
          </w:p>
        </w:tc>
        <w:tc>
          <w:tcPr>
            <w:tcW w:w="140" w:type="dxa"/>
            <w:vAlign w:val="bottom"/>
          </w:tcPr>
          <w:p>
            <w:pPr>
              <w:spacing w:after="0"/>
              <w:rPr>
                <w:sz w:val="19"/>
                <w:szCs w:val="19"/>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4,518,079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Issuance of restricted stock</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2,714,000</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1,079,798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1" w:lineRule="exact"/>
        <w:rPr>
          <w:sz w:val="20"/>
          <w:szCs w:val="20"/>
          <w:color w:val="auto"/>
        </w:rPr>
      </w:pPr>
    </w:p>
    <w:p>
      <w:pPr>
        <w:ind w:left="660" w:right="60" w:hanging="652"/>
        <w:spacing w:after="0" w:line="255" w:lineRule="auto"/>
        <w:tabs>
          <w:tab w:leader="none" w:pos="67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April 3, 2005, previously filed with the Securities and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89" w:lineRule="exact"/>
        <w:rPr>
          <w:rFonts w:ascii="Arial" w:cs="Arial" w:eastAsia="Arial" w:hAnsi="Arial"/>
          <w:sz w:val="18"/>
          <w:szCs w:val="18"/>
          <w:color w:val="auto"/>
        </w:rPr>
      </w:pPr>
    </w:p>
    <w:p>
      <w:pPr>
        <w:ind w:left="660" w:right="60"/>
        <w:spacing w:after="0" w:line="277" w:lineRule="auto"/>
        <w:rPr>
          <w:rFonts w:ascii="Arial" w:cs="Arial" w:eastAsia="Arial" w:hAnsi="Arial"/>
          <w:sz w:val="18"/>
          <w:szCs w:val="18"/>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April 3, 2005 filed with the Commission on July 1, 2005.</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results of operations for the period ended September 30, 2005 are not necessarily indicative of the results that may be expected for the full year.</w:t>
      </w:r>
    </w:p>
    <w:p>
      <w:pPr>
        <w:spacing w:after="0" w:line="248" w:lineRule="exact"/>
        <w:rPr>
          <w:rFonts w:ascii="Arial" w:cs="Arial" w:eastAsia="Arial" w:hAnsi="Arial"/>
          <w:sz w:val="16"/>
          <w:szCs w:val="16"/>
          <w:color w:val="auto"/>
        </w:rPr>
      </w:pPr>
    </w:p>
    <w:p>
      <w:pPr>
        <w:ind w:left="660" w:right="500" w:hanging="652"/>
        <w:spacing w:after="0" w:line="277" w:lineRule="auto"/>
        <w:tabs>
          <w:tab w:leader="none" w:pos="67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$1,725,000 at September 30, 2005. Inventory consists principally of finished goods.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income and its components, net of tax, were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3,000,919</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2,406,084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5,750,405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5,335,388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Available-for-sale investments unrealized gain (loss)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62,672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104,818</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84,522</w:t>
            </w: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(76,110)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3,063,591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2,510,902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5,834,927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5,259,278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line="273" w:lineRule="auto"/>
        <w:tabs>
          <w:tab w:leader="none" w:pos="67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determined at September 30, 2005 that the intangible assets associated with the acquisition of Industrial Chemical and Equipment Company in 1993, an asset group within the Industrial segment, were impaired based on undiscounted cash flow calculations. The undiscounted cash flow calculations took into consideration the business outlook over the remaining useful life for this asset group. The sum of expected future cash flows was less than the carrying amount of the intangible assets. The impairment amount was $176,000, which also represented the net book value of the intangible assets at September 30, 2005. The amount of the impairment is included within Selling, General and Administrative expense in the Condensed Statements of Income for the three and six months ended September 30, 2005.</w:t>
      </w:r>
    </w:p>
    <w:p>
      <w:pPr>
        <w:spacing w:after="0" w:line="178" w:lineRule="exact"/>
        <w:rPr>
          <w:rFonts w:ascii="Arial" w:cs="Arial" w:eastAsia="Arial" w:hAnsi="Arial"/>
          <w:sz w:val="17"/>
          <w:szCs w:val="17"/>
          <w:color w:val="auto"/>
        </w:rPr>
      </w:pPr>
    </w:p>
    <w:p>
      <w:pPr>
        <w:ind w:left="660" w:right="40" w:hanging="652"/>
        <w:spacing w:after="0" w:line="255" w:lineRule="auto"/>
        <w:tabs>
          <w:tab w:leader="none" w:pos="673"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the fourth quarter of fiscal 2004, the Company paid $3.0 million to resolve a personal injury lawsuit encaptioned </w:t>
      </w:r>
      <w:r>
        <w:rPr>
          <w:rFonts w:ascii="Arial" w:cs="Arial" w:eastAsia="Arial" w:hAnsi="Arial"/>
          <w:sz w:val="18"/>
          <w:szCs w:val="18"/>
          <w:i w:val="1"/>
          <w:iCs w:val="1"/>
          <w:color w:val="auto"/>
        </w:rPr>
        <w:t>Chavarria et al v. Hawkins, Inc.,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Panorama Compounding Pharmacy, and Valley Drug and Compounding, et al </w:t>
      </w:r>
      <w:r>
        <w:rPr>
          <w:rFonts w:ascii="Arial" w:cs="Arial" w:eastAsia="Arial" w:hAnsi="Arial"/>
          <w:sz w:val="18"/>
          <w:szCs w:val="18"/>
          <w:color w:val="auto"/>
        </w:rPr>
        <w:t>that arose from the alleged mislabeling of certain inventory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purchased in connection with its acquisition of St. Mary’s Chemicals, Inc. (d/b/a Universal Chemicals) in May 2000. Pursuant to the terms of the settlement, the Company denied all liability and reserved its right to pursue indemnification and contribution from third parties. In July 2004, the Company filed suit in Hennepin County, Minnesota against the former principals of Universal Chemicals, seeking indemnification for the costs the Company incurred in defending and resolving the prior litigation.</w:t>
      </w:r>
    </w:p>
    <w:p>
      <w:pPr>
        <w:spacing w:after="0" w:line="193" w:lineRule="exact"/>
        <w:rPr>
          <w:rFonts w:ascii="Arial" w:cs="Arial" w:eastAsia="Arial" w:hAnsi="Arial"/>
          <w:sz w:val="18"/>
          <w:szCs w:val="18"/>
          <w:color w:val="auto"/>
        </w:rPr>
      </w:pPr>
    </w:p>
    <w:p>
      <w:pPr>
        <w:ind w:left="660" w:right="80"/>
        <w:spacing w:after="0" w:line="297" w:lineRule="auto"/>
        <w:rPr>
          <w:rFonts w:ascii="Arial" w:cs="Arial" w:eastAsia="Arial" w:hAnsi="Arial"/>
          <w:sz w:val="18"/>
          <w:szCs w:val="18"/>
          <w:color w:val="auto"/>
        </w:rPr>
      </w:pPr>
      <w:r>
        <w:rPr>
          <w:rFonts w:ascii="Arial" w:cs="Arial" w:eastAsia="Arial" w:hAnsi="Arial"/>
          <w:sz w:val="16"/>
          <w:szCs w:val="16"/>
          <w:color w:val="auto"/>
        </w:rPr>
        <w:t>On June 23, 2005, the Company and the former Universal Chemicals principals (the “defendants”) executed a settlement agreement in full and final resolution of the Company’s claims, as well as any claims the defendants may have or may have had against the Company. The settlement agreement required the defendants to surrender to the Company 75,358 shares of the Company’s common stock, which they received as consideration for the May 2000 acquisition. The agreement also terminated the non-competition provisions of the Company’s agreements with the defendants, relieving the Company of the obligation to pay $500,000 to the defendants over the next five years as consideration for these provisions.</w:t>
      </w:r>
    </w:p>
    <w:p>
      <w:pPr>
        <w:sectPr>
          <w:pgSz w:w="11900" w:h="16838" w:orient="portrait"/>
          <w:cols w:equalWidth="0" w:num="1">
            <w:col w:w="11420"/>
          </w:cols>
          <w:pgMar w:left="240" w:top="140" w:right="239" w:bottom="0" w:gutter="0" w:footer="0" w:header="0"/>
        </w:sectPr>
      </w:pPr>
    </w:p>
    <w:bookmarkStart w:id="4" w:name="page5"/>
    <w:bookmarkEnd w:id="4"/>
    <w:p>
      <w:pPr>
        <w:ind w:left="660" w:right="60"/>
        <w:spacing w:after="0" w:line="264" w:lineRule="auto"/>
        <w:rPr>
          <w:sz w:val="20"/>
          <w:szCs w:val="20"/>
          <w:color w:val="auto"/>
        </w:rPr>
      </w:pPr>
      <w:r>
        <w:rPr>
          <w:rFonts w:ascii="Arial" w:cs="Arial" w:eastAsia="Arial" w:hAnsi="Arial"/>
          <w:sz w:val="18"/>
          <w:szCs w:val="18"/>
          <w:color w:val="auto"/>
        </w:rPr>
        <w:t>The settlement agreement called for the parties to execute mutual releases and a stipulation of dismissal. Litigation settlement income of $1,015,826 was recorded in the Pharmaceutical segment during the quarter ended September 30, 2005 as the Company received the 75,358 shares and the executed final releases and stipulations.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The Company is involved in various legal actions arising from the normal course of business. Management is of the opinion that any judgment or settlement resulting from pending or threatened litigation would not have a material adverse effect on the financial position, results of operations or cash flows of the Company.</w:t>
      </w:r>
    </w:p>
    <w:p>
      <w:pPr>
        <w:spacing w:after="0" w:line="181" w:lineRule="exact"/>
        <w:rPr>
          <w:sz w:val="20"/>
          <w:szCs w:val="20"/>
          <w:color w:val="auto"/>
        </w:rPr>
      </w:pPr>
    </w:p>
    <w:p>
      <w:pPr>
        <w:ind w:left="660" w:right="100"/>
        <w:spacing w:after="0" w:line="288" w:lineRule="auto"/>
        <w:rPr>
          <w:sz w:val="20"/>
          <w:szCs w:val="20"/>
          <w:color w:val="auto"/>
        </w:rPr>
      </w:pPr>
      <w:r>
        <w:rPr>
          <w:rFonts w:ascii="Arial" w:cs="Arial" w:eastAsia="Arial" w:hAnsi="Arial"/>
          <w:sz w:val="16"/>
          <w:szCs w:val="16"/>
          <w:color w:val="auto"/>
        </w:rPr>
        <w:t>The Company leases land, and at the end of the lease term of two leases (currently 2018 if the leases are not renewed), the Company has a specified amount of time to remove the property and buildings. At the end of the specified amount of time, anything that remains on the land becomes the property of the lessor, and the lessor has the option to either maintain the property or remove the property at the Company’s expense. The Company has not been able to reasonably estimate the fair value of the asset retirement obligations, primarily due to the combination of the following factors: the leases do not expire in the near future; the Company has a history of extending the leases with the lessor and currently intends to do so at expiration of this lease period; the lessor does not have a history of terminating leases with its tenants; and because it is more likely than not that the buildings will have value at the end of the lease life and therefore, may not be removed by either the lessee or the lessor. Therefore, in accordance with SFAS 143, “Accounting for Asset Retirement Obligations,” the Company has not recorded an asset retirement obligation as of September 30, 2005. The Company will continue to monitor the factors surrounding the requirement to record an asset retirement obligation and will recognize the fair value of a liability in the period in which it is incurred and a reasonable estimate can be made.</w:t>
      </w:r>
    </w:p>
    <w:p>
      <w:pPr>
        <w:spacing w:after="0" w:line="169" w:lineRule="exact"/>
        <w:rPr>
          <w:sz w:val="20"/>
          <w:szCs w:val="20"/>
          <w:color w:val="auto"/>
        </w:rPr>
      </w:pPr>
    </w:p>
    <w:p>
      <w:pPr>
        <w:ind w:left="660" w:right="60" w:hanging="652"/>
        <w:spacing w:after="0" w:line="273" w:lineRule="auto"/>
        <w:tabs>
          <w:tab w:leader="none" w:pos="67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has three reportable segments: Industrial, Water Treatment and Pharmaceutical. Reportable segments are defined by product and type of customer. Each segment is responsible for the sales, marketing and development of its products and services. 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The segments do not have separate accounting, administration, customer service or purchasing functions.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Reportable Segments</w:t>
            </w:r>
          </w:p>
        </w:tc>
        <w:tc>
          <w:tcPr>
            <w:tcW w:w="28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Industrial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Water Treatment</w:t>
            </w:r>
          </w:p>
        </w:tc>
        <w:tc>
          <w:tcPr>
            <w:tcW w:w="180" w:type="dxa"/>
            <w:vAlign w:val="bottom"/>
          </w:tcPr>
          <w:p>
            <w:pPr>
              <w:spacing w:after="0"/>
              <w:rPr>
                <w:sz w:val="14"/>
                <w:szCs w:val="14"/>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Pharmaceutical</w:t>
            </w:r>
          </w:p>
        </w:tc>
        <w:tc>
          <w:tcPr>
            <w:tcW w:w="340" w:type="dxa"/>
            <w:vAlign w:val="bottom"/>
          </w:tcPr>
          <w:p>
            <w:pPr>
              <w:spacing w:after="0"/>
              <w:rPr>
                <w:sz w:val="14"/>
                <w:szCs w:val="14"/>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September 30, 2005:</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88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19,830,558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14,269,585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2,543,099</w:t>
            </w:r>
          </w:p>
        </w:tc>
        <w:tc>
          <w:tcPr>
            <w:tcW w:w="2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36,643,242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4,549,278</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725,644</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8,794,953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88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581,513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2,872,473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1,166,879</w:t>
            </w:r>
          </w:p>
        </w:tc>
        <w:tc>
          <w:tcPr>
            <w:tcW w:w="2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4,620,865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Three Months Ended September 30, 2004:</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14,444,978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11,930,397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2,256,226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28,631,601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88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3,238,148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4,281,482</w:t>
            </w: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797,994</w:t>
            </w: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8,317,624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663,777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2,758,938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170,261</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3,592,976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 September 30, 2005:</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88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39,686,880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27,745,092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5,065,797</w:t>
            </w:r>
          </w:p>
        </w:tc>
        <w:tc>
          <w:tcPr>
            <w:tcW w:w="2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72,497,769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7,981,908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9,200,265</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1,498,438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18,680,611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88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1,863,883</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5,642,710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1,101,534</w:t>
            </w:r>
          </w:p>
        </w:tc>
        <w:tc>
          <w:tcPr>
            <w:tcW w:w="2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8,608,127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Six Months Ended September 30, 2004:</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30,154,780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23,770,099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4,662,540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58,587,419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88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6,768,684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8,530,046</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1,604,370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16,903,100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1,997,462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5,534,684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441,461</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7,973,607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information contained in this Quarterly Report on Form 10-Q for the period ended September 30, 2005 contains statements that we believe to be “forward-looking statements” within the meaning of the Private Securities Litigation Reform Act of 1995.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below under “Risk Factors” and other factors disclosed throughout this Quarterly Report on Form 10-Q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factors that may affect actual results and should not consider the risk factors listed below to be a complete statement of all potential risks and uncertainties.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ectPr>
          <w:pgSz w:w="11900" w:h="16838" w:orient="portrait"/>
          <w:cols w:equalWidth="0" w:num="1">
            <w:col w:w="11440"/>
          </w:cols>
          <w:pgMar w:left="240" w:top="125" w:right="219" w:bottom="181" w:gutter="0" w:footer="0" w:header="0"/>
        </w:sectPr>
      </w:pPr>
    </w:p>
    <w:bookmarkStart w:id="5" w:name="page6"/>
    <w:bookmarkEnd w:id="5"/>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specific factors which may be described in connection with any of the Company’s forward-looking statements, factors which could cause actual results to differ materially include, but are not limited to, the following items.</w:t>
      </w:r>
    </w:p>
    <w:p>
      <w:pPr>
        <w:spacing w:after="0" w:line="197" w:lineRule="exact"/>
        <w:rPr>
          <w:sz w:val="20"/>
          <w:szCs w:val="20"/>
          <w:color w:val="auto"/>
        </w:rPr>
      </w:pPr>
    </w:p>
    <w:p>
      <w:pPr>
        <w:ind w:left="1300" w:right="160" w:hanging="320"/>
        <w:spacing w:after="0" w:line="284" w:lineRule="auto"/>
        <w:tabs>
          <w:tab w:leader="none" w:pos="1294" w:val="left"/>
        </w:tabs>
        <w:numPr>
          <w:ilvl w:val="0"/>
          <w:numId w:val="6"/>
        </w:numPr>
        <w:rPr>
          <w:rFonts w:ascii="Arial" w:cs="Arial" w:eastAsia="Arial" w:hAnsi="Arial"/>
          <w:sz w:val="19"/>
          <w:szCs w:val="19"/>
          <w:color w:val="auto"/>
        </w:rPr>
      </w:pPr>
      <w:r>
        <w:rPr>
          <w:rFonts w:ascii="Arial" w:cs="Arial" w:eastAsia="Arial" w:hAnsi="Arial"/>
          <w:sz w:val="16"/>
          <w:szCs w:val="16"/>
          <w:color w:val="auto"/>
        </w:rPr>
        <w:t>Reduced profit margins due to the cyclical nature of commodity chemical prices. The cyclicality of commodity chemical markets, such as caustic soda, primarily results from changes in the balance between supply and demand and the level of general economic activity. The Company cannot predict with any certainty whether the markets for its commodity chemicals will favorably impact the Company’s operations or whether the Company will experience losses due to excess production resulting in oversupply and lower prices.</w:t>
      </w:r>
    </w:p>
    <w:p>
      <w:pPr>
        <w:spacing w:after="0" w:line="195" w:lineRule="exact"/>
        <w:rPr>
          <w:rFonts w:ascii="Arial" w:cs="Arial" w:eastAsia="Arial" w:hAnsi="Arial"/>
          <w:sz w:val="19"/>
          <w:szCs w:val="19"/>
          <w:color w:val="auto"/>
        </w:rPr>
      </w:pPr>
    </w:p>
    <w:p>
      <w:pPr>
        <w:ind w:left="1300" w:right="40" w:hanging="320"/>
        <w:spacing w:after="0" w:line="297" w:lineRule="auto"/>
        <w:tabs>
          <w:tab w:leader="none" w:pos="1294" w:val="left"/>
        </w:tabs>
        <w:numPr>
          <w:ilvl w:val="0"/>
          <w:numId w:val="6"/>
        </w:numPr>
        <w:rPr>
          <w:rFonts w:ascii="Arial" w:cs="Arial" w:eastAsia="Arial" w:hAnsi="Arial"/>
          <w:sz w:val="19"/>
          <w:szCs w:val="19"/>
          <w:color w:val="auto"/>
        </w:rPr>
      </w:pPr>
      <w:r>
        <w:rPr>
          <w:rFonts w:ascii="Arial" w:cs="Arial" w:eastAsia="Arial" w:hAnsi="Arial"/>
          <w:sz w:val="16"/>
          <w:szCs w:val="16"/>
          <w:color w:val="auto"/>
        </w:rPr>
        <w:t>Unforeseen liabilities arising from litigation, particularly liabilities that may arise from claims under environmental laws which may impose liability for the release of hazardous materials whether or not the Company had knowledge of or was responsible for such release.</w:t>
      </w:r>
    </w:p>
    <w:p>
      <w:pPr>
        <w:spacing w:after="0" w:line="177" w:lineRule="exact"/>
        <w:rPr>
          <w:rFonts w:ascii="Arial" w:cs="Arial" w:eastAsia="Arial" w:hAnsi="Arial"/>
          <w:sz w:val="19"/>
          <w:szCs w:val="19"/>
          <w:color w:val="auto"/>
        </w:rPr>
      </w:pPr>
    </w:p>
    <w:p>
      <w:pPr>
        <w:ind w:left="1300" w:right="640" w:hanging="320"/>
        <w:spacing w:after="0" w:line="232" w:lineRule="auto"/>
        <w:tabs>
          <w:tab w:leader="none" w:pos="1294"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governmental and regulatory policies that affect the Company which may entail significant cost increases relating to the handling, storage, transportation, treatment or disposal of hazardous materials.</w:t>
      </w:r>
    </w:p>
    <w:p>
      <w:pPr>
        <w:spacing w:after="0" w:line="208"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Increased competition which could affect our ability to raise prices or successfully enter certain markets.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customer demand which may significantly reduce revenues and income.</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product costs or operating expenses which may reduce our operating margins.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Unforeseen problems in our ability to develop, introduce and gain market acceptance for new products.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financial condition of our customers and their ability to purchase our products at comparable prices.</w:t>
      </w:r>
    </w:p>
    <w:p>
      <w:pPr>
        <w:spacing w:after="0" w:line="228" w:lineRule="exact"/>
        <w:rPr>
          <w:rFonts w:ascii="Arial" w:cs="Arial" w:eastAsia="Arial" w:hAnsi="Arial"/>
          <w:sz w:val="22"/>
          <w:szCs w:val="22"/>
          <w:color w:val="auto"/>
        </w:rPr>
      </w:pPr>
    </w:p>
    <w:p>
      <w:pPr>
        <w:ind w:left="1300" w:right="180" w:hanging="320"/>
        <w:spacing w:after="0" w:line="232" w:lineRule="auto"/>
        <w:tabs>
          <w:tab w:leader="none" w:pos="1294" w:val="left"/>
        </w:tabs>
        <w:numPr>
          <w:ilvl w:val="0"/>
          <w:numId w:val="6"/>
        </w:numPr>
        <w:rPr>
          <w:rFonts w:ascii="Arial" w:cs="Arial" w:eastAsia="Arial" w:hAnsi="Arial"/>
          <w:sz w:val="22"/>
          <w:szCs w:val="22"/>
          <w:color w:val="auto"/>
        </w:rPr>
      </w:pPr>
      <w:r>
        <w:rPr>
          <w:rFonts w:ascii="Arial" w:cs="Arial" w:eastAsia="Arial" w:hAnsi="Arial"/>
          <w:sz w:val="18"/>
          <w:szCs w:val="18"/>
          <w:color w:val="auto"/>
        </w:rPr>
        <w:t>Significant changes in our business strategies, including acquisition, divestiture and restructuring activities which may affect our ability to focus on operating activities or increase costs.</w:t>
      </w:r>
    </w:p>
    <w:p>
      <w:pPr>
        <w:spacing w:after="0" w:line="230" w:lineRule="exact"/>
        <w:rPr>
          <w:rFonts w:ascii="Arial" w:cs="Arial" w:eastAsia="Arial" w:hAnsi="Arial"/>
          <w:sz w:val="22"/>
          <w:szCs w:val="22"/>
          <w:color w:val="auto"/>
        </w:rPr>
      </w:pPr>
    </w:p>
    <w:p>
      <w:pPr>
        <w:ind w:left="1300" w:right="780" w:hanging="320"/>
        <w:spacing w:after="0" w:line="232" w:lineRule="auto"/>
        <w:tabs>
          <w:tab w:leader="none" w:pos="1294" w:val="left"/>
        </w:tabs>
        <w:numPr>
          <w:ilvl w:val="0"/>
          <w:numId w:val="6"/>
        </w:numPr>
        <w:rPr>
          <w:rFonts w:ascii="Arial" w:cs="Arial" w:eastAsia="Arial" w:hAnsi="Arial"/>
          <w:sz w:val="22"/>
          <w:szCs w:val="22"/>
          <w:color w:val="auto"/>
        </w:rPr>
      </w:pPr>
      <w:r>
        <w:rPr>
          <w:rFonts w:ascii="Arial" w:cs="Arial" w:eastAsia="Arial" w:hAnsi="Arial"/>
          <w:sz w:val="18"/>
          <w:szCs w:val="18"/>
          <w:color w:val="auto"/>
        </w:rPr>
        <w:t>General economic and political conditions, such as political instability or the rate of economic growth in the Company’s principal geographic or product markets.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00" w:right="360" w:hanging="320"/>
        <w:spacing w:after="0" w:line="232" w:lineRule="auto"/>
        <w:tabs>
          <w:tab w:leader="none" w:pos="1294" w:val="left"/>
        </w:tabs>
        <w:numPr>
          <w:ilvl w:val="0"/>
          <w:numId w:val="7"/>
        </w:numPr>
        <w:rPr>
          <w:rFonts w:ascii="Arial" w:cs="Arial" w:eastAsia="Arial" w:hAnsi="Arial"/>
          <w:sz w:val="22"/>
          <w:szCs w:val="22"/>
          <w:color w:val="auto"/>
        </w:rPr>
      </w:pPr>
      <w:r>
        <w:rPr>
          <w:rFonts w:ascii="Arial" w:cs="Arial" w:eastAsia="Arial" w:hAnsi="Arial"/>
          <w:sz w:val="18"/>
          <w:szCs w:val="18"/>
          <w:color w:val="auto"/>
        </w:rPr>
        <w:t>Changes in operating factors, such as our ability to make continued improvements in distribution efficiencies and inventory risks due to shifts in market demand.</w:t>
      </w:r>
    </w:p>
    <w:p>
      <w:pPr>
        <w:spacing w:after="0" w:line="230" w:lineRule="exact"/>
        <w:rPr>
          <w:rFonts w:ascii="Arial" w:cs="Arial" w:eastAsia="Arial" w:hAnsi="Arial"/>
          <w:sz w:val="22"/>
          <w:szCs w:val="22"/>
          <w:color w:val="auto"/>
        </w:rPr>
      </w:pPr>
    </w:p>
    <w:p>
      <w:pPr>
        <w:ind w:left="1300" w:hanging="320"/>
        <w:spacing w:after="0" w:line="263" w:lineRule="auto"/>
        <w:tabs>
          <w:tab w:leader="none" w:pos="1294" w:val="left"/>
        </w:tabs>
        <w:numPr>
          <w:ilvl w:val="0"/>
          <w:numId w:val="7"/>
        </w:numPr>
        <w:rPr>
          <w:rFonts w:ascii="Arial" w:cs="Arial" w:eastAsia="Arial" w:hAnsi="Arial"/>
          <w:sz w:val="21"/>
          <w:szCs w:val="21"/>
          <w:color w:val="auto"/>
        </w:rPr>
      </w:pPr>
      <w:r>
        <w:rPr>
          <w:rFonts w:ascii="Arial" w:cs="Arial" w:eastAsia="Arial" w:hAnsi="Arial"/>
          <w:sz w:val="17"/>
          <w:szCs w:val="17"/>
          <w:color w:val="auto"/>
        </w:rPr>
        <w:t>Unforeseen or recurring operational problems or natural disasters at any of our facilities causing significant lost production and/or increased costs. Since 1963, flooding of the Mississippi River has required the Company’s terminal operations to be temporarily shifted out of its buildings four times, the most recent being in the spring of 2001. This had a negative impact on earnings in the third quarter of fiscal 2001 of approximately $200,000. No assurance can be given that flooding will not recur or that there will not be material damage or interruption to the Company’s operations in the future from flooding. In September 2001, a 1.5 million-gallon caustic soda storage tank was completed at the Red Rock facility, allowing it to serve as an additional terminal for bulk chemicals. Historically, the property on which the Red Rock facility is located has not been subject to flooding when Terminals 1 and 2, located on opposite sides of the Mississippi River in St. Paul, Minnesota, were not usable due to high water, and the facility was not affected by the most recent flooding in 2001. The Company believes the impact of future flooding, if any, will be reduced as the Red Rock facility is expected to allow the Company to continue normal shipping to customers during periods of high water levels.</w:t>
      </w:r>
    </w:p>
    <w:p>
      <w:pPr>
        <w:spacing w:after="0" w:line="211" w:lineRule="exact"/>
        <w:rPr>
          <w:rFonts w:ascii="Arial" w:cs="Arial" w:eastAsia="Arial" w:hAnsi="Arial"/>
          <w:sz w:val="21"/>
          <w:szCs w:val="21"/>
          <w:color w:val="auto"/>
        </w:rPr>
      </w:pPr>
    </w:p>
    <w:p>
      <w:pPr>
        <w:ind w:left="1300" w:right="100" w:hanging="320"/>
        <w:spacing w:after="0" w:line="232" w:lineRule="auto"/>
        <w:tabs>
          <w:tab w:leader="none" w:pos="1294" w:val="left"/>
        </w:tabs>
        <w:numPr>
          <w:ilvl w:val="0"/>
          <w:numId w:val="7"/>
        </w:numPr>
        <w:rPr>
          <w:rFonts w:ascii="Arial" w:cs="Arial" w:eastAsia="Arial" w:hAnsi="Arial"/>
          <w:sz w:val="22"/>
          <w:szCs w:val="22"/>
          <w:color w:val="auto"/>
        </w:rPr>
      </w:pPr>
      <w:r>
        <w:rPr>
          <w:rFonts w:ascii="Arial" w:cs="Arial" w:eastAsia="Arial" w:hAnsi="Arial"/>
          <w:sz w:val="18"/>
          <w:szCs w:val="18"/>
          <w:color w:val="auto"/>
        </w:rPr>
        <w:t>Technology risks, such as the failure to successfully implement new technology that will allow us to make process improvements to reduce costs or to analyze the business.</w:t>
      </w:r>
    </w:p>
    <w:p>
      <w:pPr>
        <w:spacing w:after="0" w:line="208"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Loss of senior management or other key personnel and the Company’s ability to hire suitable replacements in a timely manner.</w:t>
      </w:r>
    </w:p>
    <w:p>
      <w:pPr>
        <w:spacing w:after="0" w:line="228" w:lineRule="exact"/>
        <w:rPr>
          <w:rFonts w:ascii="Arial" w:cs="Arial" w:eastAsia="Arial" w:hAnsi="Arial"/>
          <w:sz w:val="22"/>
          <w:szCs w:val="22"/>
          <w:color w:val="auto"/>
        </w:rPr>
      </w:pPr>
    </w:p>
    <w:p>
      <w:pPr>
        <w:ind w:left="1300" w:right="40" w:hanging="320"/>
        <w:spacing w:after="0" w:line="262" w:lineRule="auto"/>
        <w:tabs>
          <w:tab w:leader="none" w:pos="1294" w:val="left"/>
        </w:tabs>
        <w:numPr>
          <w:ilvl w:val="0"/>
          <w:numId w:val="7"/>
        </w:numPr>
        <w:rPr>
          <w:rFonts w:ascii="Arial" w:cs="Arial" w:eastAsia="Arial" w:hAnsi="Arial"/>
          <w:sz w:val="21"/>
          <w:szCs w:val="21"/>
          <w:color w:val="auto"/>
        </w:rPr>
      </w:pPr>
      <w:r>
        <w:rPr>
          <w:rFonts w:ascii="Arial" w:cs="Arial" w:eastAsia="Arial" w:hAnsi="Arial"/>
          <w:sz w:val="17"/>
          <w:szCs w:val="17"/>
          <w:color w:val="auto"/>
        </w:rPr>
        <w:t>During the third quarter of fiscal 2005, the Company made the determination to continue to use its current operating system through the end of fiscal 2005 and until the implementation of the Company’s Enterprise Resource Planning (“ERP”) system is complete. Management’s assessment of the effectiveness of the Company’s internal controls as of April 3, 2005 that was included in the Annual Report on Form 10-K for the fiscal year ended April 3, 2005 was made on the current operating system and concluded that the internal control system was not operating effectively as of April 3, 2005. The Company is currently in the process of remediating the material weaknesses that led to this conclusion. Effective internal controls are important to the production of reliable financial reports and in helping to prevent financial fraud. If, in the future, as a result of ineffective internal controls, the Company is unable to provide reliable financial reports or prevent fraud, its business and operating results could be harmed, investors could lose confidence in its reported financial information, and the trading price of the Company’s stock could drop significantly.</w:t>
      </w:r>
    </w:p>
    <w:p>
      <w:pPr>
        <w:spacing w:after="0" w:line="19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These factors are not exhaustive and new factors may emerge or existing factors may change in a manner that impacts our business. We assume no obligation and disclaim any duty to update the forward-looking statements in this Quarterly Report on Form 10-Q or any other public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 (in thousands, except percentages):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2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80" w:type="dxa"/>
            <w:vAlign w:val="bottom"/>
            <w:gridSpan w:val="3"/>
          </w:tcPr>
          <w:p>
            <w:pPr>
              <w:ind w:left="44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center"/>
              <w:ind w:left="99"/>
              <w:spacing w:after="0"/>
              <w:rPr>
                <w:sz w:val="20"/>
                <w:szCs w:val="20"/>
                <w:color w:val="auto"/>
              </w:rPr>
            </w:pPr>
            <w:r>
              <w:rPr>
                <w:rFonts w:ascii="Arial" w:cs="Arial" w:eastAsia="Arial" w:hAnsi="Arial"/>
                <w:sz w:val="14"/>
                <w:szCs w:val="14"/>
                <w:b w:val="1"/>
                <w:bCs w:val="1"/>
                <w:color w:val="auto"/>
                <w:w w:val="97"/>
              </w:rPr>
              <w:t>SEPTEMBER 30, 2005</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SEPTEMBER 30, 2005</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36,643</w:t>
            </w:r>
          </w:p>
        </w:tc>
        <w:tc>
          <w:tcPr>
            <w:tcW w:w="9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100.0% $</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72,498</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Cost of sales</w:t>
            </w:r>
          </w:p>
        </w:tc>
        <w:tc>
          <w:tcPr>
            <w:tcW w:w="4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27,848</w:t>
            </w:r>
          </w:p>
        </w:tc>
        <w:tc>
          <w:tcPr>
            <w:tcW w:w="9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76.0</w:t>
            </w:r>
          </w:p>
        </w:tc>
        <w:tc>
          <w:tcPr>
            <w:tcW w:w="5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53,817</w:t>
            </w:r>
          </w:p>
        </w:tc>
        <w:tc>
          <w:tcPr>
            <w:tcW w:w="9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42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auto"/>
            </w:tcBorders>
            <w:shd w:val="clear" w:color="auto" w:fill="CCEEFF"/>
          </w:tcPr>
          <w:p>
            <w:pPr>
              <w:spacing w:after="0"/>
              <w:rPr>
                <w:sz w:val="3"/>
                <w:szCs w:val="3"/>
                <w:color w:val="auto"/>
              </w:rPr>
            </w:pPr>
          </w:p>
        </w:tc>
        <w:tc>
          <w:tcPr>
            <w:tcW w:w="1140" w:type="dxa"/>
            <w:vAlign w:val="bottom"/>
            <w:tcBorders>
              <w:top w:val="single" w:sz="8" w:color="auto"/>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auto"/>
            </w:tcBorders>
            <w:shd w:val="clear" w:color="auto" w:fill="CCEEFF"/>
          </w:tcPr>
          <w:p>
            <w:pPr>
              <w:spacing w:after="0"/>
              <w:rPr>
                <w:sz w:val="3"/>
                <w:szCs w:val="3"/>
                <w:color w:val="auto"/>
              </w:rPr>
            </w:pPr>
          </w:p>
        </w:tc>
        <w:tc>
          <w:tcPr>
            <w:tcW w:w="6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auto"/>
            </w:tcBorders>
            <w:shd w:val="clear" w:color="auto" w:fill="CCEEFF"/>
          </w:tcPr>
          <w:p>
            <w:pPr>
              <w:spacing w:after="0"/>
              <w:rPr>
                <w:sz w:val="3"/>
                <w:szCs w:val="3"/>
                <w:color w:val="auto"/>
              </w:rPr>
            </w:pPr>
          </w:p>
        </w:tc>
        <w:tc>
          <w:tcPr>
            <w:tcW w:w="1040" w:type="dxa"/>
            <w:vAlign w:val="bottom"/>
            <w:tcBorders>
              <w:top w:val="single" w:sz="8" w:color="auto"/>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auto"/>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8,795</w:t>
            </w: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24.0</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18,681</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5,190</w:t>
            </w:r>
          </w:p>
        </w:tc>
        <w:tc>
          <w:tcPr>
            <w:tcW w:w="96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14.2</w:t>
            </w:r>
          </w:p>
        </w:tc>
        <w:tc>
          <w:tcPr>
            <w:tcW w:w="5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11,088</w:t>
            </w:r>
          </w:p>
        </w:tc>
        <w:tc>
          <w:tcPr>
            <w:tcW w:w="9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(1,016)</w:t>
            </w: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(1,016)</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4,621</w:t>
            </w: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8,608</w:t>
            </w: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4,690</w:t>
            </w: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8,985</w:t>
            </w: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w:t>
            </w: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3,235</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22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gridSpan w:val="3"/>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gridSpan w:val="3"/>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gridSpan w:val="3"/>
          </w:tcPr>
          <w:p>
            <w:pPr>
              <w:jc w:val="center"/>
              <w:ind w:left="72"/>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gridSpan w:val="3"/>
          </w:tcPr>
          <w:p>
            <w:pPr>
              <w:ind w:left="44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center"/>
              <w:ind w:left="92"/>
              <w:spacing w:after="0"/>
              <w:rPr>
                <w:sz w:val="20"/>
                <w:szCs w:val="20"/>
                <w:color w:val="auto"/>
              </w:rPr>
            </w:pPr>
            <w:r>
              <w:rPr>
                <w:rFonts w:ascii="Arial" w:cs="Arial" w:eastAsia="Arial" w:hAnsi="Arial"/>
                <w:sz w:val="14"/>
                <w:szCs w:val="14"/>
                <w:b w:val="1"/>
                <w:bCs w:val="1"/>
                <w:color w:val="auto"/>
                <w:w w:val="97"/>
              </w:rPr>
              <w:t>SEPTEMBER 30, 2004</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SEPTEMBER 30, 2004</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28,632</w:t>
            </w:r>
          </w:p>
        </w:tc>
        <w:tc>
          <w:tcPr>
            <w:tcW w:w="9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100.0% $</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58,587</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Cost of sales</w:t>
            </w:r>
          </w:p>
        </w:tc>
        <w:tc>
          <w:tcPr>
            <w:tcW w:w="4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20,314</w:t>
            </w:r>
          </w:p>
        </w:tc>
        <w:tc>
          <w:tcPr>
            <w:tcW w:w="96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70.9</w:t>
            </w:r>
          </w:p>
        </w:tc>
        <w:tc>
          <w:tcPr>
            <w:tcW w:w="5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41,684</w:t>
            </w:r>
          </w:p>
        </w:tc>
        <w:tc>
          <w:tcPr>
            <w:tcW w:w="9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4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8,318</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16,903</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4,725</w:t>
            </w:r>
          </w:p>
        </w:tc>
        <w:tc>
          <w:tcPr>
            <w:tcW w:w="96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16.5</w:t>
            </w:r>
          </w:p>
        </w:tc>
        <w:tc>
          <w:tcPr>
            <w:tcW w:w="5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8,929</w:t>
            </w:r>
          </w:p>
        </w:tc>
        <w:tc>
          <w:tcPr>
            <w:tcW w:w="9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Investment income</w:t>
            </w:r>
          </w:p>
        </w:tc>
        <w:tc>
          <w:tcPr>
            <w:tcW w:w="4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96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0.5</w:t>
            </w:r>
          </w:p>
        </w:tc>
        <w:tc>
          <w:tcPr>
            <w:tcW w:w="5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9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1,328</w:t>
            </w:r>
          </w:p>
        </w:tc>
        <w:tc>
          <w:tcPr>
            <w:tcW w:w="96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2,975</w:t>
            </w:r>
          </w:p>
        </w:tc>
        <w:tc>
          <w:tcPr>
            <w:tcW w:w="9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-1984375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-1984375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Sales increased $8,011,641, or 28.0%, in the three months ended September 30, 2005, and increased $13,910,350, or 23.7%, in the six months ended September 30, 2005 as compared to the same periods a year ago. Sales of bulk chemicals, including caustic soda, were approximately 38.0% and 36.5% of sales for the three and six months ended September 30, 2005, respectively, compared to 35.6% and 34.0% in the comparable periods a year ago. The change was partially attributable to an increase in the selling price and cost of caustic soda and to a lesser extent an increase in the volumes sold. Industrial segment sales increased by $5,385,580 in the three months ended September 30, 2005 and increased by $9,532,100 in the six-month period ended September 30, 2005 as compared to the same respective periods in 2004. The Industrial segment’s sales increase was related to increased sales within existing product lines combined with the increase in selling price and cost of caustic soda compared to the prior year. Water Treatment segment sales increased by $2,339,188 in the three months ended September 30, 2005 and increased $3,974,993 in the six-month period ended September 30, 2005, as compared to the same periods in 2004. These increases were primarily attributable to selling price increases associated with increases in material costs, the expansion of products sold to existing customers, and cooler summer conditions during the three months ended September 30, 2004 as compared to the three months ended September 30, 2005. Pharmaceutical sales increased by 12.7% to $2,543,099 for the three months ended September 30, 2005 and increased by 8.6% to $5,065,797 for the six months ended September 30, 2005 as compared to the same periods in 2004 due to an increase in volumes along several existing product lines.</w:t>
      </w:r>
    </w:p>
    <w:p>
      <w:pPr>
        <w:spacing w:after="0" w:line="16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Gross margin, as a percentage of sales, for the three and six months ended September 30, 2005 was 24.0% and 25.8%, respectively, compared to 29.1% and 28.9%, respectively, for the comparable periods of 2004. For the Industrial segment, gross margin, as a percentage of sales, was 17.8% and 22.4% for the three months ended September 30, 2005 and September 30, 2004, respectively, and 20.1% for the six months ended September 30, 2005 compared to 22.4% for the comparable period in 2004. These fluctuations relate to changes in the cost and selling price of caustic soda during fiscal 2005 and 2006 and a highly competitive market environment. Changes in product mix in several product lines also contributed to the fluctuations in gross margin. The Company attempts to maintain relatively constant dollar margins as the cost of caustic soda increases or decreases. The cost of this product is normally subject to fluctuations, which are expected to continue in future periods. </w:t>
      </w:r>
      <w:r>
        <w:rPr>
          <w:rFonts w:ascii="Arial" w:cs="Arial" w:eastAsia="Arial" w:hAnsi="Arial"/>
          <w:sz w:val="15"/>
          <w:szCs w:val="15"/>
          <w:color w:val="auto"/>
        </w:rPr>
        <w:t>By maintaining relatively stable dollar margins, the gross margin percentage will decrease when</w:t>
      </w:r>
      <w:r>
        <w:rPr>
          <w:rFonts w:ascii="Arial" w:cs="Arial" w:eastAsia="Arial" w:hAnsi="Arial"/>
          <w:sz w:val="16"/>
          <w:szCs w:val="16"/>
          <w:color w:val="auto"/>
        </w:rPr>
        <w:t xml:space="preserve"> </w:t>
      </w:r>
      <w:r>
        <w:rPr>
          <w:rFonts w:ascii="Arial" w:cs="Arial" w:eastAsia="Arial" w:hAnsi="Arial"/>
          <w:sz w:val="15"/>
          <w:szCs w:val="15"/>
          <w:color w:val="auto"/>
        </w:rPr>
        <w:t xml:space="preserve">the cost of the product is increasing and will increase when the cost of the product is decreasing. </w:t>
      </w:r>
      <w:r>
        <w:rPr>
          <w:rFonts w:ascii="Arial" w:cs="Arial" w:eastAsia="Arial" w:hAnsi="Arial"/>
          <w:sz w:val="16"/>
          <w:szCs w:val="16"/>
          <w:color w:val="auto"/>
        </w:rPr>
        <w:t>Gross margin, as a percentage of sales, for the Water</w:t>
      </w:r>
      <w:r>
        <w:rPr>
          <w:rFonts w:ascii="Arial" w:cs="Arial" w:eastAsia="Arial" w:hAnsi="Arial"/>
          <w:sz w:val="15"/>
          <w:szCs w:val="15"/>
          <w:color w:val="auto"/>
        </w:rPr>
        <w:t xml:space="preserve"> </w:t>
      </w:r>
      <w:r>
        <w:rPr>
          <w:rFonts w:ascii="Arial" w:cs="Arial" w:eastAsia="Arial" w:hAnsi="Arial"/>
          <w:sz w:val="16"/>
          <w:szCs w:val="16"/>
          <w:color w:val="auto"/>
        </w:rPr>
        <w:t>Treatment segment was 31.9% for the three months ended September 30, 2005 compared to 35.9% in the comparable period of 2004 and 33.2% for the six-month period ended September 30, 2005 compared to 35.9% for the comparable period of 2004. The decrease was primarily attributable to rising product costs and competitive pressures, which limit the ability to pass on the product cost increases. Gross margin, as a percentage of sales, for the Pharmaceutical segment was 28.5% for the three months ended September 30, 2005 compared to 35.4% in the comparable period of fiscal 2005 and was 29.6% for the six months ended September 30, 2005 compared to 34.4% for the same period a year ago. The decreases are primarily related to competitive pressures and an increase in operating costs for staffing increases to facilitate future growth.</w:t>
      </w:r>
    </w:p>
    <w:p>
      <w:pPr>
        <w:spacing w:after="0" w:line="17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Selling, general and administrative expenses, as a percentage of sales, for the three and six months ended September 30, 2005 were 14.2% and 15.3%, respectively, compared to 16.5% and 15.2% for the comparable periods a year ago. The Company will continue to incur expenses associated with the Company’s efforts to comply with the requirements of the Sarbanes-Oxley Act and for the Company’s investment in an Enterprise Resource Planning system, including expenses for additional staffing and outside professional services. In addition, to these expenses, the Company increased its sales staff, which also contributed to the increase in selling, general, and administrative expenses. Employee compensation and benefits comprise the majority of the selling, general and administrative expenditures.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Investment income increased by $40,097 for the six months ended September 30, 2005, compared to the same period one year ago. The increase was primarily due to a higher rate of return on the Company’s cash equivalents and marketable securities that was partially offset by a $211,859 loss recognized during the quarter ended September 30, 2005 due to a decline in the market value of an investment which was deemed other than temporary.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effective income tax rate was 36.0% for the three and six months ended September 30, 2005 compared to 35.6% and 35.8% for the three and six months ended September 30, 2004, respectively.</w:t>
      </w:r>
    </w:p>
    <w:p>
      <w:pPr>
        <w:sectPr>
          <w:pgSz w:w="11900" w:h="16838" w:orient="portrait"/>
          <w:cols w:equalWidth="0" w:num="1">
            <w:col w:w="11440"/>
          </w:cols>
          <w:pgMar w:left="240" w:top="140" w:right="21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the six-month period ended September 30, 2005, cash provided by operations was $2,966,692 compared to $7,725,939 for the same period one year ago. An increase in inventory associated with increased product costs and an increase in accounts receivable related primarily to increased sales were principally responsible for the decrease in cash provided by operating activities. Cash used in investing activities decreased by $708,449 primarily due to the maturity and sale of investments exceeding the reinvestment of cash as additional cash was used to fund operations. Capital expenditures during the six months ended September 30, 2005 consisted primarily of ERP-related additions, the purchase of a water treatment truck and various general maintenance projects. The Company also had expenditures related to various construction-in-process (CIP) projects. Capital expenditures for the remainder of fiscal 2006 are anticipated to be approximately $3.0 million, and are expected to be primarily related to additional warehousing facilities, implementation of the ERP system, new route sales trucks and general maintenance projects.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Cash, cash equivalents and investments (excluding Held-to-Maturity investments of $370,042 at September 30, 2005 and $515,000 at April 3, 2005)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decreased by $2,240,448 from April 3, 2005 to $24,566,937 as of September 30, 2005 due primarily to capital expenditures of $3,504,076 and dividends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$1,846,321 during the six-month period ended September 30, 2005. Cash equivalents consist of money market accounts and certificates of deposit with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original maturity of three months or less. Investments available-for-sale consists of investment contracts with high-rated, stable insurance companies;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marketable securities consisting of corporate and municipal bonds; U.S. Government agency securities and a mutual fund carried at fair value.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Company’s investment objectives in order of importance are the preservation of principal, maintenance of liquidity and rate of return. The fixed income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portfolio consists primarily of investment grade securities to minimize credit risk, and they generally mature within 10 years. The Company invests in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mutual fund with characteristics similar to its fixed income portfolio to enhance its investment portfolio diversification. The Company monitors the maturities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its investments to ensure that funding is available for anticipated cash needs. At September 30, 2005 and April 3, 2005, respectively, $7,089,499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$15,570,074 of available-for-sale investments were classified as non-current assets as they were determined to be temporarily impaired and have maturity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dates of one year or longer. These investments were not determined to be other-than-temporarily impaired as the Company has the intent and ability to hold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these investments for a period of time sufficient to allow a recovery of fair value. Expected future cash flows from operations, cash equivalents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investments included within current assets are expected to fund the Company’s short-term working capital needs.</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September 30, 2005, the Company had an investment portfolio of fixed income securities valued at $10,507,430 and a mutual fund valued at $7,565,432, excluding $6,864,117 of those classified as cash and cash equivalents and variable rate securities.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 that the Company is invested in, like all mutual funds, may increase or decrease due to market volatility. The mutual fund held by the Company as of September 30, 2005 is a short-term bond fund that invests primarily in investment grade securities. During the quarter ended September 30, 2005 a loss of $211,859 was recognized due to a decline in market value which was deemed other than temporary.</w:t>
      </w:r>
    </w:p>
    <w:p>
      <w:pPr>
        <w:spacing w:after="0" w:line="17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additional capital does arise, however, management is confident that the Company’s total debt to capital ratio at September 30, 2005 puts it in a position to obtain debt financing on favorable terms.</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Management regularly reviews opportunities to enhance the value of the Company through strategic acquisitions, other capital investments and strategic divestitures; and at this time, no material commitments for such investments or divestitures exist. Until appropriate investment opportunities are identified, the Company will invest excess cash in conservative investments.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will continue to incur significant expenditures in fiscal 2006 associated with the implementation of its ERP system and to continue meeting the requirements of the Sarbanes-Oxley Act. Fiscal 2006 expenses in these areas, including additional staffing and outside professional services, are expected to be relatively consistent with the additional fiscal 2005 expense of approximately $1.7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significant accounting policies followed by the Company are set forth in Note 1 to the Company’s financial statements in the Company’s Annual Report on Form 10-K for the fiscal year ended April 3, 2005. The accounting policies used in preparing the Company’s interim fiscal 2006 financial statements are the same as those described in the Company’s Annual Report.</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preparing the financial statements, the Company follows accounting principles generally accepted in the United States. The preparation of these 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considers the following policies to involve the most judgment in the preparation of the Company’s financial statements.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the product has been shipped to the customer if there is evidence that the customer has agreed</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 the products, the price and terms of sale are fixed, and collection of the receivable is reasonably assured.</w:t>
      </w:r>
    </w:p>
    <w:p>
      <w:pPr>
        <w:spacing w:after="0" w:line="17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 Statement of Financial Accounting Standards (SFAS) No. 115, “Accounting for Certain Investments in Debt and Equity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Exchange Commission (SEC) Staff Accounting Bulletin (SAB) 59, “Accounting for Noncurrent Marketable Equity Securities,” provide guidance on determining when an investment is other-than-temporarily impaired. Investments are reviewed quarterly for indicators of other-than-temporary impairment. This determination requires significant judgment. In making this judgment, we evaluate, among other factors, the duration and extent to which the fair value of an investment is less than its cost; the general market conditions, including factors such as industry and sector performance, rating agency actions, and our intent and ability to hold the investment. Investments with an indicator are further evaluated to determine the likelihood of a significant</w:t>
      </w:r>
    </w:p>
    <w:p>
      <w:pPr>
        <w:sectPr>
          <w:pgSz w:w="11900" w:h="16838" w:orient="portrait"/>
          <w:cols w:equalWidth="0" w:num="1">
            <w:col w:w="11400"/>
          </w:cols>
          <w:pgMar w:left="240" w:top="125" w:right="259" w:bottom="0" w:gutter="0" w:footer="0" w:header="0"/>
        </w:sectPr>
      </w:pPr>
    </w:p>
    <w:bookmarkStart w:id="8" w:name="page9"/>
    <w:bookmarkEnd w:id="8"/>
    <w:p>
      <w:pPr>
        <w:spacing w:after="0" w:line="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adverse effect on the fair value and amount of the impairment as necessary. If market, industry and/or investee conditions deteriorate, we may incur future impairments.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Accounts receivable are reduced by an allowance for amounts that may become uncollectible in the future.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allowance for doubtful accounts on a quarterly basis.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On a quarterly basis, management assesses the inventory quantities on hand to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future usage and sales and, if necessary, writes down the value of inventory deemed obsolete or excess to market.</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i w:val="1"/>
          <w:iCs w:val="1"/>
          <w:color w:val="auto"/>
        </w:rPr>
        <w:t xml:space="preserve">LIFO Reserve – </w:t>
      </w:r>
      <w:r>
        <w:rPr>
          <w:rFonts w:ascii="Arial" w:cs="Arial" w:eastAsia="Arial" w:hAnsi="Arial"/>
          <w:sz w:val="17"/>
          <w:szCs w:val="17"/>
          <w:color w:val="auto"/>
        </w:rPr>
        <w:t>Inventories are primarily valued with cost being determined using the last-in, first-out (LIFO) method. We may incur significant fluctuations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our gross margins due primarily to changes in the cost of a single, large-volume component of inventory. The price of this inventory component may vary depending on the balance between supply and demand. Management reviews the LIFO reserve on a quarterly basis.</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Impairment of Long-Lived Assets – </w:t>
      </w:r>
      <w:r>
        <w:rPr>
          <w:rFonts w:ascii="Arial" w:cs="Arial" w:eastAsia="Arial" w:hAnsi="Arial"/>
          <w:sz w:val="18"/>
          <w:szCs w:val="18"/>
          <w:color w:val="auto"/>
        </w:rPr>
        <w:t>We evaluate the carrying value of long-lived assets, including intangible assets subject to amortization and property, plant,</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 when events and changes in circumstances warrant such a review. The carrying value of long-lived assets is considered impaired when the projected future undiscounted cash flows from such assets are less than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their carrying value. In that event, a loss is recognized equal to the amount by which the carrying value exceeds the fair value of the long-lived assets. We periodically review the appropriateness of the estimated useful lives of our long-lived assets.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 the preparation of the Company’s financial statements, management calculates income taxes. This includes estimating current tax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assessing temporary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The Company routinely monitors the potential impact of such situations and believes that it is properly reserved. Valuations related to amounts owed and tax rates could be impacted by changes to tax codes, changes in statutory tax rates, the Company’s future taxable income levels and the results of tax audits.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At September 30, 2005, the Company had an investment portfolio of fixed income securities of $10,507,430, a mutual fund of $7,565,432, investment contracts of $3,398,332 and cash and cash equivalents of $3,465,785.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during the holding period. The value of the mutual fund, like all mutual funds, may increase or decrease due to market volatility. The mutual fund consists primarily of U.S. Government securities. The investment contracts are variable rate contracts with high-rated, stable insurance companies that reset on a quarterly basis. A hypothetical 1% change in rates would impact investment income by approximately $34,000, based upon the amount of variable rate investment contracts held at September 30, 2005. The Company adjusts the carrying value of its investments down if an impairment occurs that is other than temporary. During the quarter ended September 30, 2005 a loss of $211,859 was recognized on the mutual fund due to a decline in market value which was deemed other than temporary.</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is subject to the risk inherent in the cyclical nature of commodity chemical prices. However, the Company does not currently purchase forward contracts or otherwise engage in hedging activities with respect to the purchase of commodity chemicals.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conducted an evaluation, under the supervision and with the participation of the Company’s management, including the Chief Executive Officer and Chief Financial Officer, of the effectiveness of the design and operation of its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Due to the material weaknesses described in the Company’s Annual Report on Form 10-K for the fiscal year ended April 3, 2005, the Chief Executive Officer and Chief Financial Officer concluded that the Company’s disclosure controls and procedures were not effective as of the end of the period covered by this report in alerting them on a timely basis to material information relating to the Company required to be included in the Company’s reports filed or submitted under the Exchange Act. The Chief Executive Officer and Chief Financial Officer believe that the Company is currently in process of remediating these deficiencies.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Management, with oversight from the Audit Committee, has been aggressively addressing the material weaknesses disclosed in its Annual Report on</w:t>
      </w:r>
    </w:p>
    <w:p>
      <w:pPr>
        <w:spacing w:after="0" w:line="3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Form 10-K for the fiscal year ended April 3, 2005 and is committed to effectively remediating known weaknesses as expeditiously as possible. Although the Company’s remediation efforts are well underway, control weaknesses will not be considered remediated until new internal controls over financial reporting are implemented and operational for a period of time and are tested, and management and its independent registered public accounting firm conclude that these controls are operating effectively. Due to the timing of this process, there were no changes in the Company’s internal control over financial reporting</w:t>
      </w:r>
    </w:p>
    <w:p>
      <w:pPr>
        <w:sectPr>
          <w:pgSz w:w="11900" w:h="16843" w:orient="portrait"/>
          <w:cols w:equalWidth="0" w:num="1">
            <w:col w:w="11400"/>
          </w:cols>
          <w:pgMar w:left="240" w:top="125" w:right="259" w:bottom="0" w:gutter="0" w:footer="0" w:header="0"/>
        </w:sectPr>
      </w:pPr>
    </w:p>
    <w:bookmarkStart w:id="9" w:name="page10"/>
    <w:bookmarkEnd w:id="9"/>
    <w:p>
      <w:pPr>
        <w:ind w:right="440"/>
        <w:spacing w:after="0" w:line="277" w:lineRule="auto"/>
        <w:rPr>
          <w:sz w:val="20"/>
          <w:szCs w:val="20"/>
          <w:color w:val="auto"/>
        </w:rPr>
      </w:pPr>
      <w:r>
        <w:rPr>
          <w:rFonts w:ascii="Arial" w:cs="Arial" w:eastAsia="Arial" w:hAnsi="Arial"/>
          <w:sz w:val="18"/>
          <w:szCs w:val="18"/>
          <w:color w:val="auto"/>
        </w:rPr>
        <w:t>that occurred during the Company’s most recently completed fiscal quarter that has materially affected, or are reasonably likely to materially affect, the Company’s internal control over financial reporting.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annual meeting of the shareholders of the Company was held on August 4, 2005. Proxies for the annual meeting were solicited pursuant to Regulation 14A of the Exchange Act. There was no solicitation in opposition to the Board of Director nominees listed in the proxy statement and all of the nominees for director were elected with the following votes: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For</w:t>
            </w:r>
          </w:p>
        </w:tc>
        <w:tc>
          <w:tcPr>
            <w:tcW w:w="13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Withheld</w:t>
            </w:r>
          </w:p>
        </w:tc>
        <w:tc>
          <w:tcPr>
            <w:tcW w:w="11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Abstain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0"/>
              </w:rPr>
              <w:t>Non-votes</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1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144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7"/>
              </w:rPr>
              <w:t>7,938,259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676,616</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Howard M. Hawkins</w:t>
            </w:r>
          </w:p>
        </w:tc>
        <w:tc>
          <w:tcPr>
            <w:tcW w:w="1660" w:type="dxa"/>
            <w:vAlign w:val="bottom"/>
            <w:gridSpan w:val="2"/>
          </w:tcPr>
          <w:p>
            <w:pPr>
              <w:ind w:left="720"/>
              <w:spacing w:after="0"/>
              <w:rPr>
                <w:sz w:val="20"/>
                <w:szCs w:val="20"/>
                <w:color w:val="auto"/>
              </w:rPr>
            </w:pPr>
            <w:r>
              <w:rPr>
                <w:rFonts w:ascii="Arial" w:cs="Arial" w:eastAsia="Arial" w:hAnsi="Arial"/>
                <w:sz w:val="18"/>
                <w:szCs w:val="18"/>
                <w:color w:val="auto"/>
              </w:rPr>
              <w:t>7,844,130</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770,745</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Dean L. Hahn</w:t>
            </w:r>
          </w:p>
        </w:tc>
        <w:tc>
          <w:tcPr>
            <w:tcW w:w="1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7,771,471</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843,405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Donald L. Shipp</w:t>
            </w:r>
          </w:p>
        </w:tc>
        <w:tc>
          <w:tcPr>
            <w:tcW w:w="1660" w:type="dxa"/>
            <w:vAlign w:val="bottom"/>
            <w:gridSpan w:val="2"/>
          </w:tcPr>
          <w:p>
            <w:pPr>
              <w:ind w:left="720"/>
              <w:spacing w:after="0"/>
              <w:rPr>
                <w:sz w:val="20"/>
                <w:szCs w:val="20"/>
                <w:color w:val="auto"/>
              </w:rPr>
            </w:pPr>
            <w:r>
              <w:rPr>
                <w:rFonts w:ascii="Arial" w:cs="Arial" w:eastAsia="Arial" w:hAnsi="Arial"/>
                <w:sz w:val="18"/>
                <w:szCs w:val="18"/>
                <w:color w:val="auto"/>
              </w:rPr>
              <w:t>7,848,000</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766,875</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S. McKeon</w:t>
            </w:r>
          </w:p>
        </w:tc>
        <w:tc>
          <w:tcPr>
            <w:tcW w:w="1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8,542,919</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71,956</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Duane M. Jergenson</w:t>
            </w:r>
          </w:p>
        </w:tc>
        <w:tc>
          <w:tcPr>
            <w:tcW w:w="1660" w:type="dxa"/>
            <w:vAlign w:val="bottom"/>
            <w:gridSpan w:val="2"/>
          </w:tcPr>
          <w:p>
            <w:pPr>
              <w:ind w:left="720"/>
              <w:spacing w:after="0"/>
              <w:rPr>
                <w:sz w:val="20"/>
                <w:szCs w:val="20"/>
                <w:color w:val="auto"/>
              </w:rPr>
            </w:pPr>
            <w:r>
              <w:rPr>
                <w:rFonts w:ascii="Arial" w:cs="Arial" w:eastAsia="Arial" w:hAnsi="Arial"/>
                <w:sz w:val="18"/>
                <w:szCs w:val="18"/>
                <w:color w:val="auto"/>
              </w:rPr>
              <w:t>8,585,821</w:t>
            </w: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29,054</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 Robert Gey</w:t>
            </w:r>
          </w:p>
        </w:tc>
        <w:tc>
          <w:tcPr>
            <w:tcW w:w="1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8,544,848</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70,027</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Daryl I. Skaar</w:t>
            </w:r>
          </w:p>
        </w:tc>
        <w:tc>
          <w:tcPr>
            <w:tcW w:w="1660" w:type="dxa"/>
            <w:vAlign w:val="bottom"/>
            <w:gridSpan w:val="2"/>
          </w:tcPr>
          <w:p>
            <w:pPr>
              <w:ind w:left="720"/>
              <w:spacing w:after="0"/>
              <w:rPr>
                <w:sz w:val="20"/>
                <w:szCs w:val="20"/>
                <w:color w:val="auto"/>
              </w:rPr>
            </w:pPr>
            <w:r>
              <w:rPr>
                <w:rFonts w:ascii="Arial" w:cs="Arial" w:eastAsia="Arial" w:hAnsi="Arial"/>
                <w:sz w:val="18"/>
                <w:szCs w:val="18"/>
                <w:color w:val="auto"/>
              </w:rPr>
              <w:t>8,587,621</w:t>
            </w:r>
          </w:p>
        </w:tc>
        <w:tc>
          <w:tcPr>
            <w:tcW w:w="2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27,254</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84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320" w:type="dxa"/>
            <w:vAlign w:val="bottom"/>
            <w:gridSpan w:val="5"/>
          </w:tcPr>
          <w:p>
            <w:pPr>
              <w:ind w:left="1380"/>
              <w:spacing w:after="0"/>
              <w:rPr>
                <w:sz w:val="20"/>
                <w:szCs w:val="20"/>
                <w:color w:val="auto"/>
              </w:rPr>
            </w:pPr>
            <w:r>
              <w:rPr>
                <w:rFonts w:ascii="Arial" w:cs="Arial" w:eastAsia="Arial" w:hAnsi="Arial"/>
                <w:sz w:val="18"/>
                <w:szCs w:val="18"/>
                <w:color w:val="auto"/>
              </w:rPr>
              <w:t>Exhibit Index</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540" w:type="dxa"/>
            <w:vAlign w:val="bottom"/>
            <w:gridSpan w:val="3"/>
          </w:tcPr>
          <w:p>
            <w:pPr>
              <w:ind w:left="660"/>
              <w:spacing w:after="0"/>
              <w:rPr>
                <w:sz w:val="20"/>
                <w:szCs w:val="20"/>
                <w:color w:val="auto"/>
              </w:rPr>
            </w:pPr>
            <w:r>
              <w:rPr>
                <w:rFonts w:ascii="Arial" w:cs="Arial" w:eastAsia="Arial" w:hAnsi="Arial"/>
                <w:sz w:val="14"/>
                <w:szCs w:val="14"/>
                <w:b w:val="1"/>
                <w:bCs w:val="1"/>
                <w:color w:val="auto"/>
              </w:rPr>
              <w:t>Exhibit</w:t>
            </w:r>
          </w:p>
        </w:tc>
        <w:tc>
          <w:tcPr>
            <w:tcW w:w="2300" w:type="dxa"/>
            <w:vAlign w:val="bottom"/>
          </w:tcPr>
          <w:p>
            <w:pPr>
              <w:spacing w:after="0"/>
              <w:rPr>
                <w:sz w:val="24"/>
                <w:szCs w:val="24"/>
                <w:color w:val="auto"/>
              </w:rPr>
            </w:pPr>
          </w:p>
        </w:tc>
        <w:tc>
          <w:tcPr>
            <w:tcW w:w="1940" w:type="dxa"/>
            <w:vAlign w:val="bottom"/>
            <w:gridSpan w:val="3"/>
          </w:tcPr>
          <w:p>
            <w:pPr>
              <w:ind w:left="620"/>
              <w:spacing w:after="0"/>
              <w:rPr>
                <w:sz w:val="20"/>
                <w:szCs w:val="20"/>
                <w:color w:val="auto"/>
              </w:rPr>
            </w:pPr>
            <w:r>
              <w:rPr>
                <w:rFonts w:ascii="Arial" w:cs="Arial" w:eastAsia="Arial" w:hAnsi="Arial"/>
                <w:sz w:val="14"/>
                <w:szCs w:val="14"/>
                <w:b w:val="1"/>
                <w:bCs w:val="1"/>
                <w:color w:val="auto"/>
              </w:rPr>
              <w:t>Description</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6"/>
              </w:rPr>
              <w:t>Method of Filing</w:t>
            </w: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6560" w:type="dxa"/>
            <w:vAlign w:val="bottom"/>
            <w:tcBorders>
              <w:top w:val="single" w:sz="8" w:color="auto"/>
            </w:tcBorders>
            <w:gridSpan w:val="7"/>
          </w:tcPr>
          <w:p>
            <w:pPr>
              <w:spacing w:after="0" w:line="195" w:lineRule="exact"/>
              <w:rPr>
                <w:sz w:val="20"/>
                <w:szCs w:val="20"/>
                <w:color w:val="auto"/>
              </w:rPr>
            </w:pPr>
            <w:r>
              <w:rPr>
                <w:rFonts w:ascii="Arial" w:cs="Arial" w:eastAsia="Arial" w:hAnsi="Arial"/>
                <w:sz w:val="18"/>
                <w:szCs w:val="18"/>
                <w:color w:val="auto"/>
                <w:w w:val="90"/>
              </w:rPr>
              <w:t>Amended and Second Restated Articles of Incorporation as amended through February 27,</w:t>
            </w: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2001. (1)</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16"/>
        </w:trPr>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3.2</w:t>
            </w:r>
          </w:p>
        </w:tc>
        <w:tc>
          <w:tcPr>
            <w:tcW w:w="6780" w:type="dxa"/>
            <w:vAlign w:val="bottom"/>
            <w:gridSpan w:val="8"/>
          </w:tcPr>
          <w:p>
            <w:pPr>
              <w:spacing w:after="0"/>
              <w:rPr>
                <w:sz w:val="20"/>
                <w:szCs w:val="20"/>
                <w:color w:val="auto"/>
              </w:rPr>
            </w:pPr>
            <w:r>
              <w:rPr>
                <w:rFonts w:ascii="Arial" w:cs="Arial" w:eastAsia="Arial" w:hAnsi="Arial"/>
                <w:sz w:val="18"/>
                <w:szCs w:val="18"/>
                <w:color w:val="auto"/>
                <w:w w:val="94"/>
              </w:rPr>
              <w:t>Second Amended and Superseding By-Laws as amended through February 15, 1995. (2)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16"/>
        </w:trPr>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10.1</w:t>
            </w:r>
          </w:p>
        </w:tc>
        <w:tc>
          <w:tcPr>
            <w:tcW w:w="4240" w:type="dxa"/>
            <w:vAlign w:val="bottom"/>
            <w:gridSpan w:val="4"/>
          </w:tcPr>
          <w:p>
            <w:pPr>
              <w:spacing w:after="0"/>
              <w:rPr>
                <w:sz w:val="20"/>
                <w:szCs w:val="20"/>
                <w:color w:val="auto"/>
              </w:rPr>
            </w:pPr>
            <w:r>
              <w:rPr>
                <w:rFonts w:ascii="Arial" w:cs="Arial" w:eastAsia="Arial" w:hAnsi="Arial"/>
                <w:sz w:val="18"/>
                <w:szCs w:val="18"/>
                <w:color w:val="auto"/>
                <w:w w:val="94"/>
              </w:rPr>
              <w:t>Description of Director Compensation arrangements. (3)</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16"/>
        </w:trPr>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10.2</w:t>
            </w:r>
          </w:p>
        </w:tc>
        <w:tc>
          <w:tcPr>
            <w:tcW w:w="5620" w:type="dxa"/>
            <w:vAlign w:val="bottom"/>
            <w:gridSpan w:val="6"/>
          </w:tcPr>
          <w:p>
            <w:pPr>
              <w:spacing w:after="0"/>
              <w:rPr>
                <w:sz w:val="20"/>
                <w:szCs w:val="20"/>
                <w:color w:val="auto"/>
              </w:rPr>
            </w:pPr>
            <w:r>
              <w:rPr>
                <w:rFonts w:ascii="Arial" w:cs="Arial" w:eastAsia="Arial" w:hAnsi="Arial"/>
                <w:sz w:val="18"/>
                <w:szCs w:val="18"/>
                <w:color w:val="auto"/>
              </w:rPr>
              <w:t>Description of consulting arrangement with John S. McKeon. (3)</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16"/>
        </w:trPr>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31.1</w:t>
            </w:r>
          </w:p>
        </w:tc>
        <w:tc>
          <w:tcPr>
            <w:tcW w:w="6780" w:type="dxa"/>
            <w:vAlign w:val="bottom"/>
            <w:gridSpan w:val="8"/>
          </w:tcPr>
          <w:p>
            <w:pPr>
              <w:spacing w:after="0"/>
              <w:rPr>
                <w:sz w:val="20"/>
                <w:szCs w:val="20"/>
                <w:color w:val="auto"/>
              </w:rPr>
            </w:pPr>
            <w:r>
              <w:rPr>
                <w:rFonts w:ascii="Arial" w:cs="Arial" w:eastAsia="Arial" w:hAnsi="Arial"/>
                <w:sz w:val="18"/>
                <w:szCs w:val="18"/>
                <w:color w:val="auto"/>
                <w:w w:val="98"/>
              </w:rPr>
              <w:t>Certification by Chief Executive Officer pursuant to Section 302 of the Sarbanes-Oxley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Act.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3"/>
          </w:tcPr>
          <w:p>
            <w:pPr>
              <w:jc w:val="center"/>
              <w:ind w:right="500"/>
              <w:spacing w:after="0"/>
              <w:rPr>
                <w:sz w:val="20"/>
                <w:szCs w:val="20"/>
                <w:color w:val="auto"/>
              </w:rPr>
            </w:pPr>
            <w:r>
              <w:rPr>
                <w:rFonts w:ascii="Arial" w:cs="Arial" w:eastAsia="Arial" w:hAnsi="Arial"/>
                <w:sz w:val="18"/>
                <w:szCs w:val="18"/>
                <w:color w:val="auto"/>
                <w:w w:val="95"/>
              </w:rPr>
              <w:t>Filed Electronically</w:t>
            </w:r>
          </w:p>
        </w:tc>
        <w:tc>
          <w:tcPr>
            <w:tcW w:w="0" w:type="dxa"/>
            <w:vAlign w:val="bottom"/>
          </w:tcPr>
          <w:p>
            <w:pPr>
              <w:spacing w:after="0"/>
              <w:rPr>
                <w:sz w:val="1"/>
                <w:szCs w:val="1"/>
                <w:color w:val="auto"/>
              </w:rPr>
            </w:pPr>
          </w:p>
        </w:tc>
      </w:tr>
      <w:tr>
        <w:trPr>
          <w:trHeight w:val="216"/>
        </w:trPr>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31.2</w:t>
            </w:r>
          </w:p>
        </w:tc>
        <w:tc>
          <w:tcPr>
            <w:tcW w:w="6780" w:type="dxa"/>
            <w:vAlign w:val="bottom"/>
            <w:gridSpan w:val="8"/>
          </w:tcPr>
          <w:p>
            <w:pPr>
              <w:spacing w:after="0"/>
              <w:rPr>
                <w:sz w:val="20"/>
                <w:szCs w:val="20"/>
                <w:color w:val="auto"/>
              </w:rPr>
            </w:pPr>
            <w:r>
              <w:rPr>
                <w:rFonts w:ascii="Arial" w:cs="Arial" w:eastAsia="Arial" w:hAnsi="Arial"/>
                <w:sz w:val="18"/>
                <w:szCs w:val="18"/>
                <w:color w:val="auto"/>
                <w:w w:val="99"/>
              </w:rPr>
              <w:t>Certification by Chief Financial Officer pursuant to Section 302 of the Sarbanes-Oxley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Act.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3"/>
          </w:tcPr>
          <w:p>
            <w:pPr>
              <w:jc w:val="center"/>
              <w:ind w:right="500"/>
              <w:spacing w:after="0"/>
              <w:rPr>
                <w:sz w:val="20"/>
                <w:szCs w:val="20"/>
                <w:color w:val="auto"/>
              </w:rPr>
            </w:pPr>
            <w:r>
              <w:rPr>
                <w:rFonts w:ascii="Arial" w:cs="Arial" w:eastAsia="Arial" w:hAnsi="Arial"/>
                <w:sz w:val="18"/>
                <w:szCs w:val="18"/>
                <w:color w:val="auto"/>
                <w:w w:val="95"/>
              </w:rPr>
              <w:t>Filed Electronically</w:t>
            </w:r>
          </w:p>
        </w:tc>
        <w:tc>
          <w:tcPr>
            <w:tcW w:w="0" w:type="dxa"/>
            <w:vAlign w:val="bottom"/>
          </w:tcPr>
          <w:p>
            <w:pPr>
              <w:spacing w:after="0"/>
              <w:rPr>
                <w:sz w:val="1"/>
                <w:szCs w:val="1"/>
                <w:color w:val="auto"/>
              </w:rPr>
            </w:pPr>
          </w:p>
        </w:tc>
      </w:tr>
      <w:tr>
        <w:trPr>
          <w:trHeight w:val="216"/>
        </w:trPr>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32.1</w:t>
            </w:r>
          </w:p>
        </w:tc>
        <w:tc>
          <w:tcPr>
            <w:tcW w:w="4240" w:type="dxa"/>
            <w:vAlign w:val="bottom"/>
            <w:gridSpan w:val="4"/>
          </w:tcPr>
          <w:p>
            <w:pPr>
              <w:spacing w:after="0"/>
              <w:rPr>
                <w:sz w:val="20"/>
                <w:szCs w:val="20"/>
                <w:color w:val="auto"/>
              </w:rPr>
            </w:pPr>
            <w:r>
              <w:rPr>
                <w:rFonts w:ascii="Arial" w:cs="Arial" w:eastAsia="Arial" w:hAnsi="Arial"/>
                <w:sz w:val="18"/>
                <w:szCs w:val="18"/>
                <w:color w:val="auto"/>
                <w:w w:val="99"/>
              </w:rPr>
              <w:t>Section 1350 Certification by Chief Executive Officer.</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3"/>
          </w:tcPr>
          <w:p>
            <w:pPr>
              <w:jc w:val="center"/>
              <w:ind w:right="500"/>
              <w:spacing w:after="0"/>
              <w:rPr>
                <w:sz w:val="20"/>
                <w:szCs w:val="20"/>
                <w:color w:val="auto"/>
              </w:rPr>
            </w:pPr>
            <w:r>
              <w:rPr>
                <w:rFonts w:ascii="Arial" w:cs="Arial" w:eastAsia="Arial" w:hAnsi="Arial"/>
                <w:sz w:val="18"/>
                <w:szCs w:val="18"/>
                <w:color w:val="auto"/>
                <w:w w:val="95"/>
              </w:rPr>
              <w:t>Filed Electronically</w:t>
            </w:r>
          </w:p>
        </w:tc>
        <w:tc>
          <w:tcPr>
            <w:tcW w:w="0" w:type="dxa"/>
            <w:vAlign w:val="bottom"/>
          </w:tcPr>
          <w:p>
            <w:pPr>
              <w:spacing w:after="0"/>
              <w:rPr>
                <w:sz w:val="1"/>
                <w:szCs w:val="1"/>
                <w:color w:val="auto"/>
              </w:rPr>
            </w:pPr>
          </w:p>
        </w:tc>
      </w:tr>
      <w:tr>
        <w:trPr>
          <w:trHeight w:val="230"/>
        </w:trPr>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32.2</w:t>
            </w:r>
          </w:p>
        </w:tc>
        <w:tc>
          <w:tcPr>
            <w:tcW w:w="4240" w:type="dxa"/>
            <w:vAlign w:val="bottom"/>
            <w:gridSpan w:val="4"/>
          </w:tcPr>
          <w:p>
            <w:pPr>
              <w:spacing w:after="0"/>
              <w:rPr>
                <w:sz w:val="20"/>
                <w:szCs w:val="20"/>
                <w:color w:val="auto"/>
              </w:rPr>
            </w:pPr>
            <w:r>
              <w:rPr>
                <w:rFonts w:ascii="Arial" w:cs="Arial" w:eastAsia="Arial" w:hAnsi="Arial"/>
                <w:sz w:val="18"/>
                <w:szCs w:val="18"/>
                <w:color w:val="auto"/>
              </w:rPr>
              <w:t>Section 1350 Certification by Chief Financial Officer.</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3"/>
          </w:tcPr>
          <w:p>
            <w:pPr>
              <w:jc w:val="center"/>
              <w:ind w:right="500"/>
              <w:spacing w:after="0"/>
              <w:rPr>
                <w:sz w:val="20"/>
                <w:szCs w:val="20"/>
                <w:color w:val="auto"/>
              </w:rPr>
            </w:pPr>
            <w:r>
              <w:rPr>
                <w:rFonts w:ascii="Arial" w:cs="Arial" w:eastAsia="Arial" w:hAnsi="Arial"/>
                <w:sz w:val="18"/>
                <w:szCs w:val="18"/>
                <w:color w:val="auto"/>
                <w:w w:val="95"/>
              </w:rPr>
              <w:t>Filed Electronically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1120" w:hanging="53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3" w:lineRule="exact"/>
        <w:rPr>
          <w:rFonts w:ascii="Arial" w:cs="Arial" w:eastAsia="Arial" w:hAnsi="Arial"/>
          <w:sz w:val="18"/>
          <w:szCs w:val="18"/>
          <w:color w:val="auto"/>
        </w:rPr>
      </w:pPr>
    </w:p>
    <w:p>
      <w:pPr>
        <w:ind w:left="1120" w:hanging="53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9" w:lineRule="exact"/>
        <w:rPr>
          <w:rFonts w:ascii="Arial" w:cs="Arial" w:eastAsia="Arial" w:hAnsi="Arial"/>
          <w:sz w:val="18"/>
          <w:szCs w:val="18"/>
          <w:color w:val="auto"/>
        </w:rPr>
      </w:pPr>
    </w:p>
    <w:p>
      <w:pPr>
        <w:ind w:left="1120" w:right="1400" w:hanging="538"/>
        <w:spacing w:after="0" w:line="261"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Item 1.01 of the Company’s Current Report on Form 8-K dated September 21, 2005 and filed September 26, 2005.</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ind w:left="47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14605</wp:posOffset>
            </wp:positionV>
            <wp:extent cx="38931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205"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Marvin E. Dee</w:t>
      </w:r>
    </w:p>
    <w:p>
      <w:pPr>
        <w:spacing w:after="0" w:line="225"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Vice President, Chief Financial Officer, Secretary and Treasurer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2005</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ind w:left="660"/>
        <w:spacing w:after="0"/>
        <w:tabs>
          <w:tab w:leader="none" w:pos="4460" w:val="left"/>
          <w:tab w:leader="none" w:pos="930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3"/>
          <w:szCs w:val="13"/>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67665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66560" cy="8890"/>
                    </a:xfrm>
                    <a:prstGeom prst="rect">
                      <a:avLst/>
                    </a:prstGeom>
                    <a:noFill/>
                  </pic:spPr>
                </pic:pic>
              </a:graphicData>
            </a:graphic>
          </wp:anchor>
        </w:drawing>
      </w:r>
    </w:p>
    <w:p>
      <w:pPr>
        <w:sectPr>
          <w:pgSz w:w="11900" w:h="16838" w:orient="portrait"/>
          <w:cols w:equalWidth="0" w:num="1">
            <w:col w:w="11340"/>
          </w:cols>
          <w:pgMar w:left="240" w:top="125" w:right="319" w:bottom="0" w:gutter="0" w:footer="0" w:header="0"/>
        </w:sectPr>
      </w:pPr>
    </w:p>
    <w:p>
      <w:pPr>
        <w:spacing w:after="0" w:line="25" w:lineRule="exact"/>
        <w:rPr>
          <w:sz w:val="20"/>
          <w:szCs w:val="20"/>
          <w:color w:val="auto"/>
        </w:rPr>
      </w:pPr>
    </w:p>
    <w:p>
      <w:pPr>
        <w:ind w:left="1080"/>
        <w:spacing w:after="0"/>
        <w:tabs>
          <w:tab w:leader="none" w:pos="15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Second Restated Articles of Incorporation as amended through February 27,</w:t>
      </w:r>
    </w:p>
    <w:p>
      <w:pPr>
        <w:spacing w:after="0" w:line="8" w:lineRule="exact"/>
        <w:rPr>
          <w:sz w:val="20"/>
          <w:szCs w:val="20"/>
          <w:color w:val="auto"/>
        </w:rPr>
      </w:pPr>
    </w:p>
    <w:p>
      <w:pPr>
        <w:ind w:left="1540"/>
        <w:spacing w:after="0"/>
        <w:tabs>
          <w:tab w:leader="none" w:pos="8840" w:val="left"/>
        </w:tabs>
        <w:rPr>
          <w:sz w:val="20"/>
          <w:szCs w:val="20"/>
          <w:color w:val="auto"/>
        </w:rPr>
      </w:pPr>
      <w:r>
        <w:rPr>
          <w:rFonts w:ascii="Arial" w:cs="Arial" w:eastAsia="Arial" w:hAnsi="Arial"/>
          <w:sz w:val="18"/>
          <w:szCs w:val="18"/>
          <w:color w:val="auto"/>
        </w:rPr>
        <w:t>2001. (1)</w:t>
      </w:r>
      <w:r>
        <w:rPr>
          <w:sz w:val="20"/>
          <w:szCs w:val="20"/>
          <w:color w:val="auto"/>
        </w:rPr>
        <w:tab/>
      </w:r>
      <w:r>
        <w:rPr>
          <w:rFonts w:ascii="Arial" w:cs="Arial" w:eastAsia="Arial" w:hAnsi="Arial"/>
          <w:sz w:val="16"/>
          <w:szCs w:val="16"/>
          <w:color w:val="auto"/>
        </w:rPr>
        <w:t>Incorporated by Reference</w:t>
      </w:r>
    </w:p>
    <w:p>
      <w:pPr>
        <w:sectPr>
          <w:pgSz w:w="11900" w:h="16838" w:orient="portrait"/>
          <w:cols w:equalWidth="0" w:num="1">
            <w:col w:w="11340"/>
          </w:cols>
          <w:pgMar w:left="240" w:top="125" w:right="319" w:bottom="0" w:gutter="0" w:footer="0" w:header="0"/>
          <w:type w:val="continuous"/>
        </w:sectPr>
      </w:pPr>
    </w:p>
    <w:bookmarkStart w:id="10" w:name="page11"/>
    <w:bookmarkEnd w:id="10"/>
    <w:tbl>
      <w:tblPr>
        <w:tblLayout w:type="fixed"/>
        <w:tblInd w:w="371" w:type="dxa"/>
        <w:tblCellMar>
          <w:top w:w="0" w:type="dxa"/>
          <w:left w:w="0" w:type="dxa"/>
          <w:bottom w:w="0" w:type="dxa"/>
          <w:right w:w="0" w:type="dxa"/>
        </w:tblCellMar>
      </w:tblPr>
      <w:tr>
        <w:trPr>
          <w:trHeight w:val="216"/>
        </w:trPr>
        <w:tc>
          <w:tcPr>
            <w:tcW w:w="4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6980" w:type="dxa"/>
            <w:vAlign w:val="bottom"/>
            <w:gridSpan w:val="2"/>
          </w:tcPr>
          <w:p>
            <w:pPr>
              <w:ind w:left="120"/>
              <w:spacing w:after="0"/>
              <w:rPr>
                <w:sz w:val="20"/>
                <w:szCs w:val="20"/>
                <w:color w:val="auto"/>
              </w:rPr>
            </w:pPr>
            <w:r>
              <w:rPr>
                <w:rFonts w:ascii="Arial" w:cs="Arial" w:eastAsia="Arial" w:hAnsi="Arial"/>
                <w:sz w:val="18"/>
                <w:szCs w:val="18"/>
                <w:color w:val="auto"/>
                <w:w w:val="96"/>
              </w:rPr>
              <w:t>Second Amended and Superseding By-Laws as amended through February 15, 1995. (2)</w:t>
            </w:r>
          </w:p>
        </w:tc>
        <w:tc>
          <w:tcPr>
            <w:tcW w:w="2380" w:type="dxa"/>
            <w:vAlign w:val="bottom"/>
          </w:tcPr>
          <w:p>
            <w:pPr>
              <w:jc w:val="center"/>
              <w:ind w:left="370"/>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10.1</w:t>
            </w:r>
          </w:p>
        </w:tc>
        <w:tc>
          <w:tcPr>
            <w:tcW w:w="6980" w:type="dxa"/>
            <w:vAlign w:val="bottom"/>
            <w:gridSpan w:val="2"/>
          </w:tcPr>
          <w:p>
            <w:pPr>
              <w:ind w:left="120"/>
              <w:spacing w:after="0"/>
              <w:rPr>
                <w:sz w:val="20"/>
                <w:szCs w:val="20"/>
                <w:color w:val="auto"/>
              </w:rPr>
            </w:pPr>
            <w:r>
              <w:rPr>
                <w:rFonts w:ascii="Arial" w:cs="Arial" w:eastAsia="Arial" w:hAnsi="Arial"/>
                <w:sz w:val="18"/>
                <w:szCs w:val="18"/>
                <w:color w:val="auto"/>
              </w:rPr>
              <w:t>Description of Director Compensation arrangements. (3)</w:t>
            </w:r>
          </w:p>
        </w:tc>
        <w:tc>
          <w:tcPr>
            <w:tcW w:w="2380" w:type="dxa"/>
            <w:vAlign w:val="bottom"/>
          </w:tcPr>
          <w:p>
            <w:pPr>
              <w:jc w:val="center"/>
              <w:ind w:left="370"/>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10.2</w:t>
            </w:r>
          </w:p>
        </w:tc>
        <w:tc>
          <w:tcPr>
            <w:tcW w:w="6980" w:type="dxa"/>
            <w:vAlign w:val="bottom"/>
            <w:gridSpan w:val="2"/>
          </w:tcPr>
          <w:p>
            <w:pPr>
              <w:ind w:left="120"/>
              <w:spacing w:after="0"/>
              <w:rPr>
                <w:sz w:val="20"/>
                <w:szCs w:val="20"/>
                <w:color w:val="auto"/>
              </w:rPr>
            </w:pPr>
            <w:r>
              <w:rPr>
                <w:rFonts w:ascii="Arial" w:cs="Arial" w:eastAsia="Arial" w:hAnsi="Arial"/>
                <w:sz w:val="18"/>
                <w:szCs w:val="18"/>
                <w:color w:val="auto"/>
              </w:rPr>
              <w:t>Description of consulting arrangement with John S. McKeon. (3)</w:t>
            </w:r>
          </w:p>
        </w:tc>
        <w:tc>
          <w:tcPr>
            <w:tcW w:w="2380" w:type="dxa"/>
            <w:vAlign w:val="bottom"/>
          </w:tcPr>
          <w:p>
            <w:pPr>
              <w:jc w:val="center"/>
              <w:ind w:left="370"/>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31.1</w:t>
            </w:r>
          </w:p>
        </w:tc>
        <w:tc>
          <w:tcPr>
            <w:tcW w:w="6980" w:type="dxa"/>
            <w:vAlign w:val="bottom"/>
            <w:gridSpan w:val="2"/>
          </w:tcPr>
          <w:p>
            <w:pPr>
              <w:ind w:left="120"/>
              <w:spacing w:after="0"/>
              <w:rPr>
                <w:sz w:val="20"/>
                <w:szCs w:val="20"/>
                <w:color w:val="auto"/>
              </w:rPr>
            </w:pPr>
            <w:r>
              <w:rPr>
                <w:rFonts w:ascii="Arial" w:cs="Arial" w:eastAsia="Arial" w:hAnsi="Arial"/>
                <w:sz w:val="18"/>
                <w:szCs w:val="18"/>
                <w:color w:val="auto"/>
                <w:w w:val="99"/>
              </w:rPr>
              <w:t>Certification by Chief Executive Officer pursuant to Section 302 of the Sarbanes-Oxley</w:t>
            </w:r>
          </w:p>
        </w:tc>
        <w:tc>
          <w:tcPr>
            <w:tcW w:w="23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rPr>
              <w:t>Act.</w:t>
            </w:r>
          </w:p>
        </w:tc>
        <w:tc>
          <w:tcPr>
            <w:tcW w:w="5880" w:type="dxa"/>
            <w:vAlign w:val="bottom"/>
          </w:tcPr>
          <w:p>
            <w:pPr>
              <w:spacing w:after="0"/>
              <w:rPr>
                <w:sz w:val="18"/>
                <w:szCs w:val="18"/>
                <w:color w:val="auto"/>
              </w:rPr>
            </w:pPr>
          </w:p>
        </w:tc>
        <w:tc>
          <w:tcPr>
            <w:tcW w:w="2380" w:type="dxa"/>
            <w:vAlign w:val="bottom"/>
          </w:tcPr>
          <w:p>
            <w:pPr>
              <w:jc w:val="center"/>
              <w:ind w:left="390"/>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31.2</w:t>
            </w:r>
          </w:p>
        </w:tc>
        <w:tc>
          <w:tcPr>
            <w:tcW w:w="6980" w:type="dxa"/>
            <w:vAlign w:val="bottom"/>
            <w:gridSpan w:val="2"/>
          </w:tcPr>
          <w:p>
            <w:pPr>
              <w:ind w:left="120"/>
              <w:spacing w:after="0"/>
              <w:rPr>
                <w:sz w:val="20"/>
                <w:szCs w:val="20"/>
                <w:color w:val="auto"/>
              </w:rPr>
            </w:pPr>
            <w:r>
              <w:rPr>
                <w:rFonts w:ascii="Arial" w:cs="Arial" w:eastAsia="Arial" w:hAnsi="Arial"/>
                <w:sz w:val="18"/>
                <w:szCs w:val="18"/>
                <w:color w:val="auto"/>
              </w:rPr>
              <w:t>Certification by Chief Financial Officer pursuant to Section 302 of the Sarbanes-Oxley</w:t>
            </w:r>
          </w:p>
        </w:tc>
        <w:tc>
          <w:tcPr>
            <w:tcW w:w="23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rPr>
              <w:t>Act.</w:t>
            </w:r>
          </w:p>
        </w:tc>
        <w:tc>
          <w:tcPr>
            <w:tcW w:w="5880" w:type="dxa"/>
            <w:vAlign w:val="bottom"/>
          </w:tcPr>
          <w:p>
            <w:pPr>
              <w:spacing w:after="0"/>
              <w:rPr>
                <w:sz w:val="18"/>
                <w:szCs w:val="18"/>
                <w:color w:val="auto"/>
              </w:rPr>
            </w:pPr>
          </w:p>
        </w:tc>
        <w:tc>
          <w:tcPr>
            <w:tcW w:w="2380" w:type="dxa"/>
            <w:vAlign w:val="bottom"/>
          </w:tcPr>
          <w:p>
            <w:pPr>
              <w:jc w:val="center"/>
              <w:ind w:left="390"/>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32.1</w:t>
            </w:r>
          </w:p>
        </w:tc>
        <w:tc>
          <w:tcPr>
            <w:tcW w:w="1100" w:type="dxa"/>
            <w:vAlign w:val="bottom"/>
          </w:tcPr>
          <w:p>
            <w:pPr>
              <w:ind w:left="120"/>
              <w:spacing w:after="0"/>
              <w:rPr>
                <w:sz w:val="20"/>
                <w:szCs w:val="20"/>
                <w:color w:val="auto"/>
              </w:rPr>
            </w:pPr>
            <w:r>
              <w:rPr>
                <w:rFonts w:ascii="Arial" w:cs="Arial" w:eastAsia="Arial" w:hAnsi="Arial"/>
                <w:sz w:val="18"/>
                <w:szCs w:val="18"/>
                <w:color w:val="auto"/>
                <w:w w:val="91"/>
              </w:rPr>
              <w:t>Section 1350</w:t>
            </w:r>
          </w:p>
        </w:tc>
        <w:tc>
          <w:tcPr>
            <w:tcW w:w="5880" w:type="dxa"/>
            <w:vAlign w:val="bottom"/>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380" w:type="dxa"/>
            <w:vAlign w:val="bottom"/>
          </w:tcPr>
          <w:p>
            <w:pPr>
              <w:jc w:val="center"/>
              <w:ind w:left="390"/>
              <w:spacing w:after="0"/>
              <w:rPr>
                <w:sz w:val="20"/>
                <w:szCs w:val="20"/>
                <w:color w:val="auto"/>
              </w:rPr>
            </w:pPr>
            <w:r>
              <w:rPr>
                <w:rFonts w:ascii="Arial" w:cs="Arial" w:eastAsia="Arial" w:hAnsi="Arial"/>
                <w:sz w:val="18"/>
                <w:szCs w:val="18"/>
                <w:color w:val="auto"/>
                <w:w w:val="94"/>
              </w:rPr>
              <w:t>Filed Electronically</w:t>
            </w:r>
          </w:p>
        </w:tc>
      </w:tr>
      <w:tr>
        <w:trPr>
          <w:trHeight w:val="230"/>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32.2</w:t>
            </w:r>
          </w:p>
        </w:tc>
        <w:tc>
          <w:tcPr>
            <w:tcW w:w="1100" w:type="dxa"/>
            <w:vAlign w:val="bottom"/>
          </w:tcPr>
          <w:p>
            <w:pPr>
              <w:ind w:left="120"/>
              <w:spacing w:after="0"/>
              <w:rPr>
                <w:sz w:val="20"/>
                <w:szCs w:val="20"/>
                <w:color w:val="auto"/>
              </w:rPr>
            </w:pPr>
            <w:r>
              <w:rPr>
                <w:rFonts w:ascii="Arial" w:cs="Arial" w:eastAsia="Arial" w:hAnsi="Arial"/>
                <w:sz w:val="18"/>
                <w:szCs w:val="18"/>
                <w:color w:val="auto"/>
                <w:w w:val="91"/>
              </w:rPr>
              <w:t>Section 1350</w:t>
            </w:r>
          </w:p>
        </w:tc>
        <w:tc>
          <w:tcPr>
            <w:tcW w:w="5880" w:type="dxa"/>
            <w:vAlign w:val="bottom"/>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380" w:type="dxa"/>
            <w:vAlign w:val="bottom"/>
          </w:tcPr>
          <w:p>
            <w:pPr>
              <w:jc w:val="center"/>
              <w:ind w:left="390"/>
              <w:spacing w:after="0"/>
              <w:rPr>
                <w:sz w:val="20"/>
                <w:szCs w:val="20"/>
                <w:color w:val="auto"/>
              </w:rPr>
            </w:pPr>
            <w:r>
              <w:rPr>
                <w:rFonts w:ascii="Arial" w:cs="Arial" w:eastAsia="Arial" w:hAnsi="Arial"/>
                <w:sz w:val="18"/>
                <w:szCs w:val="18"/>
                <w:color w:val="auto"/>
                <w:w w:val="94"/>
              </w:rPr>
              <w:t>Filed Electronically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197485</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511" w:hanging="511"/>
        <w:spacing w:after="0"/>
        <w:tabs>
          <w:tab w:leader="none" w:pos="511"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Annual Report on Form 10-K for the year ended September 30, 2001.</w:t>
      </w:r>
    </w:p>
    <w:p>
      <w:pPr>
        <w:spacing w:after="0" w:line="34" w:lineRule="exact"/>
        <w:rPr>
          <w:rFonts w:ascii="Arial" w:cs="Arial" w:eastAsia="Arial" w:hAnsi="Arial"/>
          <w:sz w:val="17"/>
          <w:szCs w:val="17"/>
          <w:color w:val="auto"/>
        </w:rPr>
      </w:pPr>
    </w:p>
    <w:p>
      <w:pPr>
        <w:ind w:left="511" w:hanging="511"/>
        <w:spacing w:after="0"/>
        <w:tabs>
          <w:tab w:leader="none" w:pos="511"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Exhibit 3.2 to the Company’s Annual Report on Form 10-K for the year ended October 1, 1995.</w:t>
      </w:r>
    </w:p>
    <w:p>
      <w:pPr>
        <w:spacing w:after="0" w:line="20" w:lineRule="exact"/>
        <w:rPr>
          <w:rFonts w:ascii="Arial" w:cs="Arial" w:eastAsia="Arial" w:hAnsi="Arial"/>
          <w:sz w:val="17"/>
          <w:szCs w:val="17"/>
          <w:color w:val="auto"/>
        </w:rPr>
      </w:pPr>
    </w:p>
    <w:p>
      <w:pPr>
        <w:ind w:left="511" w:right="840" w:hanging="511"/>
        <w:spacing w:after="0" w:line="261" w:lineRule="auto"/>
        <w:tabs>
          <w:tab w:leader="none" w:pos="511"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Item 1.01 of the Company’s Current Report on Form 8-K dated September 21, 2005 and filed September 26, 2005.</w:t>
      </w:r>
    </w:p>
    <w:p>
      <w:pPr>
        <w:spacing w:after="0" w:line="184" w:lineRule="exact"/>
        <w:rPr>
          <w:sz w:val="20"/>
          <w:szCs w:val="20"/>
          <w:color w:val="auto"/>
        </w:rPr>
      </w:pPr>
    </w:p>
    <w:p>
      <w:pPr>
        <w:jc w:val="center"/>
        <w:ind w:right="-3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64135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171"/>
          </w:cols>
          <w:pgMar w:left="849" w:top="125" w:right="87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25" w:lineRule="exact"/>
        <w:rPr>
          <w:sz w:val="20"/>
          <w:szCs w:val="20"/>
          <w:color w:val="auto"/>
        </w:rPr>
      </w:pPr>
    </w:p>
    <w:p>
      <w:pPr>
        <w:ind w:left="1000" w:hanging="344"/>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left="980" w:right="40" w:hanging="324"/>
        <w:spacing w:after="0" w:line="264" w:lineRule="auto"/>
        <w:tabs>
          <w:tab w:leader="none" w:pos="9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right="180" w:hanging="324"/>
        <w:spacing w:after="0" w:line="308" w:lineRule="auto"/>
        <w:tabs>
          <w:tab w:leader="none" w:pos="993"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140" w:hanging="324"/>
        <w:spacing w:after="0" w:line="264" w:lineRule="auto"/>
        <w:tabs>
          <w:tab w:leader="none" w:pos="9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81" w:lineRule="exact"/>
        <w:rPr>
          <w:rFonts w:ascii="Arial" w:cs="Arial" w:eastAsia="Arial" w:hAnsi="Arial"/>
          <w:sz w:val="18"/>
          <w:szCs w:val="18"/>
          <w:color w:val="auto"/>
        </w:rPr>
      </w:pPr>
    </w:p>
    <w:p>
      <w:pPr>
        <w:ind w:left="1300" w:right="120" w:hanging="320"/>
        <w:spacing w:after="0" w:line="264" w:lineRule="auto"/>
        <w:tabs>
          <w:tab w:leader="none" w:pos="13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00" w:hanging="320"/>
        <w:spacing w:after="0" w:line="264" w:lineRule="auto"/>
        <w:tabs>
          <w:tab w:leader="none" w:pos="130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5"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980" w:right="100" w:hanging="324"/>
        <w:spacing w:after="0" w:line="342" w:lineRule="auto"/>
        <w:tabs>
          <w:tab w:leader="none" w:pos="99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680"/>
        <w:spacing w:after="0" w:line="342" w:lineRule="auto"/>
        <w:tabs>
          <w:tab w:leader="none" w:pos="1309"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360"/>
        <w:spacing w:after="0" w:line="277" w:lineRule="auto"/>
        <w:tabs>
          <w:tab w:leader="none" w:pos="13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2005</w:t>
      </w:r>
    </w:p>
    <w:p>
      <w:pPr>
        <w:spacing w:after="0" w:line="22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14605</wp:posOffset>
            </wp:positionV>
            <wp:extent cx="31470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1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25" w:lineRule="exact"/>
        <w:rPr>
          <w:sz w:val="20"/>
          <w:szCs w:val="20"/>
          <w:color w:val="auto"/>
        </w:rPr>
      </w:pPr>
    </w:p>
    <w:p>
      <w:pPr>
        <w:ind w:left="1000" w:hanging="344"/>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left="980" w:right="40" w:hanging="324"/>
        <w:spacing w:after="0" w:line="264" w:lineRule="auto"/>
        <w:tabs>
          <w:tab w:leader="none" w:pos="9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right="180" w:hanging="324"/>
        <w:spacing w:after="0" w:line="308" w:lineRule="auto"/>
        <w:tabs>
          <w:tab w:leader="none" w:pos="993"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140" w:hanging="324"/>
        <w:spacing w:after="0" w:line="264" w:lineRule="auto"/>
        <w:tabs>
          <w:tab w:leader="none" w:pos="9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81" w:lineRule="exact"/>
        <w:rPr>
          <w:rFonts w:ascii="Arial" w:cs="Arial" w:eastAsia="Arial" w:hAnsi="Arial"/>
          <w:sz w:val="18"/>
          <w:szCs w:val="18"/>
          <w:color w:val="auto"/>
        </w:rPr>
      </w:pPr>
    </w:p>
    <w:p>
      <w:pPr>
        <w:ind w:left="1300" w:right="120" w:hanging="320"/>
        <w:spacing w:after="0" w:line="264" w:lineRule="auto"/>
        <w:tabs>
          <w:tab w:leader="none" w:pos="13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00" w:hanging="320"/>
        <w:spacing w:after="0" w:line="264" w:lineRule="auto"/>
        <w:tabs>
          <w:tab w:leader="none" w:pos="130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5"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980" w:right="100" w:hanging="324"/>
        <w:spacing w:after="0" w:line="342" w:lineRule="auto"/>
        <w:tabs>
          <w:tab w:leader="none" w:pos="99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680"/>
        <w:spacing w:after="0" w:line="342" w:lineRule="auto"/>
        <w:tabs>
          <w:tab w:leader="none" w:pos="1309"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360"/>
        <w:spacing w:after="0" w:line="277" w:lineRule="auto"/>
        <w:tabs>
          <w:tab w:leader="none" w:pos="13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2005</w:t>
      </w:r>
    </w:p>
    <w:p>
      <w:pPr>
        <w:spacing w:after="0" w:line="22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14605</wp:posOffset>
            </wp:positionV>
            <wp:extent cx="31470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1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2005 as filed with the Securities and Exchange Commission on the date hereof (the “Report”), I, John R. Hawkins, Chief Executive Officer of the Company, certify, pursuant to 18 U.S.C. § 1350, as adopted pursuant to § 906 of the Sarbanes-Oxley Act of 2002, that:</w:t>
      </w:r>
    </w:p>
    <w:p>
      <w:pPr>
        <w:spacing w:after="0" w:line="181"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2005 as filed with the Securities and Exchange Commission on the date hereof (the “Report”), I, Marvin E. Dee, Chief Financial Officer of the Company, certify, pursuant to 18 U.S.C. § 1350, as adopted pursuant to § 906 of the Sarbanes-Oxley Act of 2002, that:</w:t>
      </w:r>
    </w:p>
    <w:p>
      <w:pPr>
        <w:spacing w:after="0" w:line="181" w:lineRule="exact"/>
        <w:rPr>
          <w:sz w:val="20"/>
          <w:szCs w:val="20"/>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5"/>
    </w:lvl>
  </w:abstractNum>
  <w:abstractNum w:abstractNumId="4">
    <w:nsid w:val="5BD062C2"/>
    <w:multiLevelType w:val="hybridMultilevel"/>
    <w:lvl w:ilvl="0">
      <w:lvlJc w:val="left"/>
      <w:lvlText w:val="%1."/>
      <w:numFmt w:val="decimal"/>
      <w:start w:val="7"/>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2019-12-13T01:50:46Z</dcterms:created>
  <dcterms:modified xsi:type="dcterms:W3CDTF">2019-12-13T01:50:46Z</dcterms:modified>
</cp:coreProperties>
</file>