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Calibri;sans-serif" w:hAnsi="Calibri;sans-serif"/>
          <w:b/>
          <w:color w:val="000000"/>
          <w:sz w:val="28"/>
        </w:rPr>
      </w:pPr>
      <w:r>
        <w:rPr>
          <w:rFonts w:ascii="Calibri;sans-serif" w:hAnsi="Calibri;sans-serif"/>
          <w:b/>
          <w:color w:val="000000"/>
          <w:sz w:val="28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Calibri;sans-serif" w:hAnsi="Calibri;sans-serif"/>
          <w:b/>
          <w:color w:val="000000"/>
          <w:sz w:val="28"/>
        </w:rPr>
      </w:pPr>
      <w:r>
        <w:rPr>
          <w:rFonts w:ascii="Calibri;sans-serif" w:hAnsi="Calibri;sans-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Calibri;sans-serif" w:hAnsi="Calibri;sans-serif"/>
          <w:b/>
          <w:color w:val="000000"/>
          <w:sz w:val="24"/>
        </w:rPr>
      </w:pPr>
      <w:r>
        <w:rPr>
          <w:rFonts w:ascii="Calibri;sans-serif" w:hAnsi="Calibri;sans-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lineRule="auto" w:line="288" w:before="80" w:after="283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100" w:after="283"/>
        <w:jc w:val="center"/>
        <w:rPr>
          <w:rFonts w:ascii="Calibri;sans-serif" w:hAnsi="Calibri;sans-serif"/>
          <w:b/>
          <w:color w:val="000000"/>
          <w:sz w:val="36"/>
        </w:rPr>
      </w:pPr>
      <w:r>
        <w:rPr>
          <w:rFonts w:ascii="Calibri;sans-serif" w:hAnsi="Calibri;sans-serif"/>
          <w:b/>
          <w:color w:val="000000"/>
          <w:sz w:val="36"/>
        </w:rPr>
        <w:t>SCHEDULE 14A INFORMATION</w:t>
      </w:r>
    </w:p>
    <w:p>
      <w:pPr>
        <w:pStyle w:val="TextBody"/>
        <w:bidi w:val="0"/>
        <w:spacing w:lineRule="auto" w:line="288" w:before="180" w:after="283"/>
        <w:jc w:val="center"/>
        <w:rPr>
          <w:rFonts w:ascii="Calibri;sans-serif" w:hAnsi="Calibri;sans-serif"/>
          <w:b/>
          <w:color w:val="000000"/>
          <w:sz w:val="24"/>
        </w:rPr>
      </w:pPr>
      <w:r>
        <w:rPr>
          <w:rFonts w:ascii="Calibri;sans-serif" w:hAnsi="Calibri;sans-serif"/>
          <w:b/>
          <w:color w:val="000000"/>
          <w:sz w:val="24"/>
        </w:rPr>
        <w:t>Proxy Statement Pursuant to Section 14(a) of the Securities</w:t>
      </w:r>
    </w:p>
    <w:p>
      <w:pPr>
        <w:pStyle w:val="TextBody"/>
        <w:bidi w:val="0"/>
        <w:spacing w:lineRule="auto" w:line="288" w:before="0" w:after="0"/>
        <w:jc w:val="center"/>
        <w:rPr>
          <w:rFonts w:ascii="Calibri;sans-serif" w:hAnsi="Calibri;sans-serif"/>
          <w:b/>
          <w:color w:val="000000"/>
          <w:sz w:val="24"/>
        </w:rPr>
      </w:pPr>
      <w:r>
        <w:rPr>
          <w:rFonts w:ascii="Calibri;sans-serif" w:hAnsi="Calibri;sans-serif"/>
          <w:b/>
          <w:color w:val="000000"/>
          <w:sz w:val="24"/>
        </w:rPr>
        <w:t>Exchange Act of 1934</w:t>
      </w:r>
    </w:p>
    <w:p>
      <w:pPr>
        <w:pStyle w:val="TextBody"/>
        <w:bidi w:val="0"/>
        <w:spacing w:lineRule="auto" w:line="288" w:before="100" w:after="283"/>
        <w:jc w:val="left"/>
        <w:rPr/>
      </w:pPr>
      <w:r>
        <w:rPr>
          <w:rFonts w:ascii="Calibri;sans-serif" w:hAnsi="Calibri;sans-serif"/>
          <w:b w:val="false"/>
          <w:color w:val="000000"/>
          <w:sz w:val="24"/>
        </w:rPr>
        <w:t>Filed by the registrant</w:t>
      </w:r>
      <w:r>
        <w:rPr>
          <w:color w:val="000000"/>
        </w:rPr>
        <w:t xml:space="preserve"> ☑</w:t>
      </w:r>
    </w:p>
    <w:p>
      <w:pPr>
        <w:pStyle w:val="TextBody"/>
        <w:bidi w:val="0"/>
        <w:spacing w:lineRule="auto" w:line="288" w:before="100" w:after="283"/>
        <w:jc w:val="left"/>
        <w:rPr/>
      </w:pPr>
      <w:r>
        <w:rPr>
          <w:rFonts w:ascii="Calibri;sans-serif" w:hAnsi="Calibri;sans-serif"/>
          <w:b w:val="false"/>
          <w:color w:val="000000"/>
          <w:sz w:val="24"/>
        </w:rPr>
        <w:t>Filed by a party other than the registrant</w:t>
      </w:r>
      <w:r>
        <w:rPr>
          <w:color w:val="000000"/>
        </w:rPr>
        <w:t xml:space="preserve"> ☐</w:t>
      </w:r>
    </w:p>
    <w:p>
      <w:pPr>
        <w:pStyle w:val="TextBody"/>
        <w:bidi w:val="0"/>
        <w:spacing w:before="100" w:after="283"/>
        <w:jc w:val="left"/>
        <w:rPr/>
      </w:pPr>
      <w:r>
        <w:rPr/>
      </w:r>
    </w:p>
    <w:p>
      <w:pPr>
        <w:pStyle w:val="TextBody"/>
        <w:bidi w:val="0"/>
        <w:spacing w:lineRule="auto" w:line="288" w:before="100" w:after="283"/>
        <w:jc w:val="left"/>
        <w:rPr>
          <w:rFonts w:ascii="Calibri;sans-serif" w:hAnsi="Calibri;sans-serif"/>
          <w:b w:val="false"/>
          <w:color w:val="000000"/>
          <w:sz w:val="24"/>
        </w:rPr>
      </w:pPr>
      <w:r>
        <w:rPr>
          <w:rFonts w:ascii="Calibri;sans-serif" w:hAnsi="Calibri;sans-serif"/>
          <w:b w:val="false"/>
          <w:color w:val="000000"/>
          <w:sz w:val="24"/>
        </w:rPr>
        <w:t>Check the appropriate box:</w:t>
      </w:r>
    </w:p>
    <w:tbl>
      <w:tblPr>
        <w:tblW w:w="67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878"/>
        <w:gridCol w:w="1878"/>
        <w:gridCol w:w="266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4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0000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0000"/>
                <w:sz w:val="20"/>
              </w:rPr>
              <w:t>Preliminary proxy statement.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4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0000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4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0000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0000"/>
                <w:sz w:val="20"/>
              </w:rPr>
              <w:t>Definitive proxy statement.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64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0000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0000"/>
                <w:sz w:val="20"/>
              </w:rPr>
              <w:t>Definitive additional materials.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42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0000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0000"/>
                <w:sz w:val="20"/>
              </w:rPr>
              <w:t>Soliciting material under § 240.14a-12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180" w:after="283"/>
        <w:ind w:left="0" w:right="0" w:firstLine="720"/>
        <w:jc w:val="center"/>
        <w:rPr>
          <w:rFonts w:ascii="Calibri;sans-serif" w:hAnsi="Calibri;sans-serif"/>
          <w:b/>
          <w:color w:val="000000"/>
          <w:sz w:val="32"/>
          <w:u w:val="single"/>
        </w:rPr>
      </w:pPr>
      <w:r>
        <w:rPr>
          <w:rFonts w:ascii="Calibri;sans-serif" w:hAnsi="Calibri;sans-serif"/>
          <w:b/>
          <w:color w:val="000000"/>
          <w:sz w:val="32"/>
          <w:u w:val="single"/>
        </w:rPr>
        <w:t>HAWKINS, INC.</w:t>
      </w:r>
    </w:p>
    <w:p>
      <w:pPr>
        <w:pStyle w:val="TextBody"/>
        <w:bidi w:val="0"/>
        <w:spacing w:lineRule="auto" w:line="288" w:before="0" w:after="0"/>
        <w:jc w:val="center"/>
        <w:rPr>
          <w:rFonts w:ascii="Calibri;sans-serif" w:hAnsi="Calibri;sans-serif"/>
          <w:b w:val="false"/>
          <w:color w:val="000000"/>
          <w:sz w:val="24"/>
        </w:rPr>
      </w:pPr>
      <w:r>
        <w:rPr>
          <w:rFonts w:ascii="Calibri;sans-serif" w:hAnsi="Calibri;sans-serif"/>
          <w:b w:val="false"/>
          <w:color w:val="000000"/>
          <w:sz w:val="24"/>
        </w:rPr>
        <w:t>(Name of Registrant as Specified in its Charter)</w:t>
      </w:r>
    </w:p>
    <w:p>
      <w:pPr>
        <w:pStyle w:val="TextBody"/>
        <w:bidi w:val="0"/>
        <w:spacing w:lineRule="auto" w:line="288" w:before="100" w:after="283"/>
        <w:jc w:val="center"/>
        <w:rPr>
          <w:rFonts w:ascii="Calibri;sans-serif" w:hAnsi="Calibri;sans-serif"/>
          <w:b w:val="false"/>
          <w:color w:val="000000"/>
          <w:sz w:val="24"/>
        </w:rPr>
      </w:pPr>
      <w:r>
        <w:rPr>
          <w:rFonts w:ascii="Calibri;sans-serif" w:hAnsi="Calibri;sans-serif"/>
          <w:b w:val="false"/>
          <w:color w:val="000000"/>
          <w:sz w:val="24"/>
        </w:rPr>
        <w:t>__________________________________________________________</w:t>
      </w:r>
    </w:p>
    <w:p>
      <w:pPr>
        <w:pStyle w:val="TextBody"/>
        <w:bidi w:val="0"/>
        <w:spacing w:lineRule="auto" w:line="288" w:before="0" w:after="0"/>
        <w:jc w:val="center"/>
        <w:rPr>
          <w:rFonts w:ascii="Calibri;sans-serif" w:hAnsi="Calibri;sans-serif"/>
          <w:b w:val="false"/>
          <w:color w:val="000000"/>
          <w:sz w:val="24"/>
        </w:rPr>
      </w:pPr>
      <w:r>
        <w:rPr>
          <w:rFonts w:ascii="Calibri;sans-serif" w:hAnsi="Calibri;sans-serif"/>
          <w:b w:val="false"/>
          <w:color w:val="000000"/>
          <w:sz w:val="24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100" w:after="283"/>
        <w:jc w:val="left"/>
        <w:rPr>
          <w:rFonts w:ascii="Calibri;sans-serif" w:hAnsi="Calibri;sans-serif"/>
          <w:b w:val="false"/>
          <w:color w:val="000000"/>
          <w:sz w:val="24"/>
        </w:rPr>
      </w:pPr>
      <w:r>
        <w:rPr>
          <w:rFonts w:ascii="Calibri;sans-serif" w:hAnsi="Calibri;sans-serif"/>
          <w:b w:val="false"/>
          <w:color w:val="000000"/>
          <w:sz w:val="24"/>
        </w:rPr>
        <w:t>Payment of filing fee (check all boxes that apply):</w:t>
      </w:r>
    </w:p>
    <w:tbl>
      <w:tblPr>
        <w:tblW w:w="88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275"/>
        <w:gridCol w:w="1275"/>
        <w:gridCol w:w="1275"/>
        <w:gridCol w:w="1275"/>
        <w:gridCol w:w="1275"/>
        <w:gridCol w:w="181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6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0000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6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0000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6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0000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0000"/>
                <w:sz w:val="20"/>
              </w:rPr>
              <w:t>Fee computed on table in exhibit required by item 25(b) per Exchange Act Rules 14a-6(i) (1)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1020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17"/>
        <w:gridCol w:w="117"/>
        <w:gridCol w:w="117"/>
        <w:gridCol w:w="117"/>
        <w:gridCol w:w="117"/>
        <w:gridCol w:w="117"/>
        <w:gridCol w:w="119"/>
        <w:gridCol w:w="119"/>
        <w:gridCol w:w="119"/>
        <w:gridCol w:w="119"/>
        <w:gridCol w:w="119"/>
        <w:gridCol w:w="119"/>
        <w:gridCol w:w="119"/>
        <w:gridCol w:w="119"/>
        <w:gridCol w:w="119"/>
        <w:gridCol w:w="136"/>
        <w:gridCol w:w="136"/>
        <w:gridCol w:w="136"/>
        <w:gridCol w:w="134"/>
        <w:gridCol w:w="134"/>
        <w:gridCol w:w="134"/>
        <w:gridCol w:w="134"/>
        <w:gridCol w:w="134"/>
        <w:gridCol w:w="134"/>
        <w:gridCol w:w="134"/>
        <w:gridCol w:w="134"/>
        <w:gridCol w:w="134"/>
        <w:gridCol w:w="134"/>
        <w:gridCol w:w="134"/>
        <w:gridCol w:w="134"/>
        <w:gridCol w:w="134"/>
        <w:gridCol w:w="134"/>
        <w:gridCol w:w="134"/>
        <w:gridCol w:w="134"/>
        <w:gridCol w:w="134"/>
        <w:gridCol w:w="134"/>
        <w:gridCol w:w="117"/>
        <w:gridCol w:w="117"/>
        <w:gridCol w:w="117"/>
        <w:gridCol w:w="117"/>
        <w:gridCol w:w="117"/>
        <w:gridCol w:w="117"/>
        <w:gridCol w:w="117"/>
        <w:gridCol w:w="117"/>
        <w:gridCol w:w="117"/>
        <w:gridCol w:w="126"/>
        <w:gridCol w:w="126"/>
        <w:gridCol w:w="126"/>
        <w:gridCol w:w="126"/>
        <w:gridCol w:w="126"/>
        <w:gridCol w:w="126"/>
        <w:gridCol w:w="126"/>
        <w:gridCol w:w="126"/>
        <w:gridCol w:w="126"/>
        <w:gridCol w:w="126"/>
        <w:gridCol w:w="126"/>
        <w:gridCol w:w="126"/>
        <w:gridCol w:w="126"/>
        <w:gridCol w:w="126"/>
        <w:gridCol w:w="126"/>
        <w:gridCol w:w="378"/>
        <w:gridCol w:w="378"/>
        <w:gridCol w:w="378"/>
        <w:gridCol w:w="378"/>
        <w:gridCol w:w="378"/>
        <w:gridCol w:w="437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0" w:type="dxa"/>
            <w:gridSpan w:val="30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/>
            </w:pPr>
            <w:r>
              <w:rPr>
                <w:rFonts w:ascii="Calibri;sans-serif" w:hAnsi="Calibri;sans-serif"/>
                <w:b w:val="false"/>
                <w:color w:val="00527C"/>
                <w:sz w:val="48"/>
              </w:rPr>
              <w:t xml:space="preserve">Your </w:t>
            </w:r>
            <w:r>
              <w:rPr>
                <w:rFonts w:ascii="Calibri;sans-serif" w:hAnsi="Calibri;sans-serif"/>
                <w:b/>
                <w:color w:val="00527C"/>
                <w:sz w:val="48"/>
              </w:rPr>
              <w:t>Vote</w:t>
            </w:r>
            <w:r>
              <w:rPr>
                <w:color w:val="00527C"/>
              </w:rPr>
              <w:t xml:space="preserve"> </w:t>
            </w:r>
            <w:r>
              <w:rPr>
                <w:rFonts w:ascii="Calibri;sans-serif" w:hAnsi="Calibri;sans-serif"/>
                <w:b w:val="false"/>
                <w:color w:val="00527C"/>
                <w:sz w:val="48"/>
              </w:rPr>
              <w:t>Counts!</w:t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0" w:type="dxa"/>
            <w:gridSpan w:val="30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90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/>
                <w:color w:val="00527C"/>
                <w:sz w:val="20"/>
              </w:rPr>
            </w:pPr>
            <w:r>
              <w:rPr>
                <w:rFonts w:ascii="Calibri;sans-serif" w:hAnsi="Calibri;sans-serif"/>
                <w:b/>
                <w:color w:val="00527C"/>
                <w:sz w:val="20"/>
              </w:rPr>
              <w:t>HAWKINS, INC.</w:t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6" w:type="dxa"/>
            <w:gridSpan w:val="21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2023 Annual Meeting</w:t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9" w:type="dxa"/>
            <w:gridSpan w:val="1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14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14"/>
              </w:rPr>
              <w:t>HAWKINS, INC.</w:t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0" w:type="dxa"/>
            <w:gridSpan w:val="30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16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16"/>
              </w:rPr>
              <w:t xml:space="preserve">Vote by August 1, 2023 11:59 PM ET. For shares held in a </w:t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9" w:type="dxa"/>
            <w:gridSpan w:val="1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14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14"/>
              </w:rPr>
              <w:t xml:space="preserve">2381 ROSEGATE </w:t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4" w:type="dxa"/>
            <w:gridSpan w:val="24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527C"/>
              </w:rPr>
            </w:pPr>
            <w:r>
              <w:rPr>
                <w:color w:val="00527C"/>
              </w:rPr>
              <w:t>   </w:t>
            </w:r>
            <w:r>
              <w:rPr>
                <w:rFonts w:ascii="Calibri;sans-serif" w:hAnsi="Calibri;sans-serif"/>
                <w:b w:val="false"/>
                <w:color w:val="00527C"/>
                <w:sz w:val="16"/>
              </w:rPr>
              <w:t>Plan, vote by July 29, 2023 11:59 PM ET.</w:t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9" w:type="dxa"/>
            <w:gridSpan w:val="1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14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14"/>
              </w:rPr>
              <w:t>ROSEVILLE, MN 55113</w:t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2" w:type="dxa"/>
            <w:gridSpan w:val="18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Calibri;sans-serif" w:hAnsi="Calibri;sans-serif"/>
                <w:b w:val="false"/>
                <w:color w:val="000000"/>
                <w:sz w:val="16"/>
              </w:rPr>
            </w:pPr>
            <w:r>
              <w:rPr>
                <w:rFonts w:ascii="Calibri;sans-serif" w:hAnsi="Calibri;sans-serif"/>
                <w:b w:val="false"/>
                <w:color w:val="000000"/>
                <w:sz w:val="16"/>
              </w:rPr>
              <w:t>V19260-P927728</w:t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63" w:type="dxa"/>
            <w:gridSpan w:val="78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/>
                <w:color w:val="00527C"/>
                <w:sz w:val="30"/>
              </w:rPr>
            </w:pPr>
            <w:r>
              <w:rPr>
                <w:rFonts w:ascii="Calibri;sans-serif" w:hAnsi="Calibri;sans-serif"/>
                <w:b/>
                <w:color w:val="00527C"/>
                <w:sz w:val="30"/>
              </w:rPr>
              <w:t>You invested in HAWKINS, INC. and it’s time to vote!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63" w:type="dxa"/>
            <w:gridSpan w:val="78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/>
            </w:pPr>
            <w:r>
              <w:rPr>
                <w:rFonts w:ascii="Calibri;sans-serif" w:hAnsi="Calibri;sans-serif"/>
                <w:b w:val="false"/>
                <w:color w:val="00527C"/>
                <w:sz w:val="18"/>
              </w:rPr>
              <w:t xml:space="preserve">You have the right to vote on proposals being presented at the Annual Meeting. </w:t>
            </w:r>
            <w:r>
              <w:rPr>
                <w:rFonts w:ascii="Calibri;sans-serif" w:hAnsi="Calibri;sans-serif"/>
                <w:b/>
                <w:color w:val="00527C"/>
                <w:sz w:val="18"/>
              </w:rPr>
              <w:t>This is an important notice regarding the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63" w:type="dxa"/>
            <w:gridSpan w:val="78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/>
                <w:color w:val="00527C"/>
                <w:sz w:val="18"/>
              </w:rPr>
            </w:pPr>
            <w:r>
              <w:rPr>
                <w:rFonts w:ascii="Calibri;sans-serif" w:hAnsi="Calibri;sans-serif"/>
                <w:b/>
                <w:color w:val="00527C"/>
                <w:sz w:val="18"/>
              </w:rPr>
              <w:t>availability of proxy material for the shareholder meeting to be held on August 2, 2023.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63" w:type="dxa"/>
            <w:gridSpan w:val="78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/>
                <w:color w:val="00527C"/>
                <w:sz w:val="30"/>
              </w:rPr>
            </w:pPr>
            <w:r>
              <w:rPr>
                <w:rFonts w:ascii="Calibri;sans-serif" w:hAnsi="Calibri;sans-serif"/>
                <w:b/>
                <w:color w:val="00527C"/>
                <w:sz w:val="30"/>
              </w:rPr>
              <w:t>Get informed before you vote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63" w:type="dxa"/>
            <w:gridSpan w:val="78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18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18"/>
              </w:rPr>
              <w:t>View the Notice and Proxy Statement and Annual Report online OR you can receive a free paper or email copy of the material(s) by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63" w:type="dxa"/>
            <w:gridSpan w:val="78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18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18"/>
              </w:rPr>
              <w:t xml:space="preserve">requesting prior to July 19, 2023. If you would like to request a copy of the material(s) for this and/or future shareholder meetings, </w:t>
              <w:br/>
              <w:t>you may (1) visit www.ProxyVote.com, (2) call 1-800-579-1639 or (3) send an email to sendmaterial@proxyvote.com. If sending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63" w:type="dxa"/>
            <w:gridSpan w:val="78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18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18"/>
              </w:rPr>
              <w:t>an email, please include your control number (indicated below) in the subject line. Unless requested, you will not otherwise receive a paper or email copy.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20" w:type="dxa"/>
            <w:gridSpan w:val="21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Calibri;sans-serif" w:hAnsi="Calibri;sans-serif"/>
                <w:b/>
                <w:color w:val="00527C"/>
                <w:sz w:val="20"/>
              </w:rPr>
            </w:pPr>
            <w:r>
              <w:rPr>
                <w:rFonts w:ascii="Calibri;sans-serif" w:hAnsi="Calibri;sans-serif"/>
                <w:b/>
                <w:color w:val="00527C"/>
                <w:sz w:val="20"/>
              </w:rPr>
              <w:t>Smartphone users</w:t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83" w:type="dxa"/>
            <w:gridSpan w:val="24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/>
                <w:color w:val="00527C"/>
                <w:sz w:val="24"/>
              </w:rPr>
            </w:pPr>
            <w:r>
              <w:rPr>
                <w:rFonts w:ascii="Calibri;sans-serif" w:hAnsi="Calibri;sans-serif"/>
                <w:b/>
                <w:color w:val="00527C"/>
                <w:sz w:val="24"/>
              </w:rPr>
              <w:t>Vote Virtually at the Meeting*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20" w:type="dxa"/>
            <w:gridSpan w:val="21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/>
            </w:pPr>
            <w:r>
              <w:rPr>
                <w:rFonts w:ascii="Calibri;sans-serif" w:hAnsi="Calibri;sans-serif"/>
                <w:b w:val="false"/>
                <w:sz w:val="18"/>
              </w:rPr>
              <w:br/>
            </w:r>
            <w:r>
              <w:rPr>
                <w:rFonts w:ascii="Calibri;sans-serif" w:hAnsi="Calibri;sans-serif"/>
                <w:b w:val="false"/>
                <w:color w:val="00527C"/>
                <w:sz w:val="18"/>
              </w:rPr>
              <w:t xml:space="preserve">Point your camera here and vote without entering a </w:t>
              <w:br/>
              <w:t>control number</w:t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4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18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18"/>
              </w:rPr>
              <w:t>August 2, 2023</w:t>
              <w:br/>
              <w:t>8:00 am CDT</w:t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20" w:type="dxa"/>
            <w:gridSpan w:val="21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4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18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18"/>
              </w:rPr>
              <w:t>Virtually at:</w:t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20" w:type="dxa"/>
            <w:gridSpan w:val="21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0" w:type="dxa"/>
            <w:gridSpan w:val="30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18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18"/>
              </w:rPr>
              <w:t>www.virtualshareholdermeeting.com/HWKN2023</w:t>
            </w:r>
          </w:p>
        </w:tc>
        <w:tc>
          <w:tcPr>
            <w:tcW w:w="43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60" w:after="283"/>
        <w:ind w:left="0" w:right="0" w:firstLine="720"/>
        <w:jc w:val="left"/>
        <w:rPr>
          <w:rFonts w:ascii="Calibri;sans-serif" w:hAnsi="Calibri;sans-serif"/>
          <w:b w:val="false"/>
          <w:color w:val="00527C"/>
          <w:sz w:val="16"/>
        </w:rPr>
      </w:pPr>
      <w:r>
        <w:rPr>
          <w:rFonts w:ascii="Calibri;sans-serif" w:hAnsi="Calibri;sans-serif"/>
          <w:b w:val="false"/>
          <w:color w:val="00527C"/>
          <w:sz w:val="16"/>
        </w:rPr>
        <w:t>*Please check the meeting materials for any special requirements for meeting attendance.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uto" w:line="268" w:before="60" w:after="283"/>
        <w:jc w:val="left"/>
        <w:rPr>
          <w:rFonts w:ascii="Calibri;sans-serif" w:hAnsi="Calibri;sans-serif"/>
          <w:b/>
          <w:color w:val="007FB7"/>
          <w:sz w:val="30"/>
        </w:rPr>
      </w:pPr>
      <w:r>
        <w:rPr>
          <w:rFonts w:ascii="Calibri;sans-serif" w:hAnsi="Calibri;sans-serif"/>
          <w:b/>
          <w:color w:val="007FB7"/>
          <w:sz w:val="30"/>
        </w:rPr>
        <w:t>Vote at www.ProxyVote.com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16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6" w:after="283"/>
        <w:ind w:left="0" w:right="0" w:hanging="360"/>
        <w:jc w:val="left"/>
        <w:rPr/>
      </w:pPr>
      <w:r>
        <w:rPr/>
      </w:r>
    </w:p>
    <w:p>
      <w:pPr>
        <w:pStyle w:val="TextBody"/>
        <w:bidi w:val="0"/>
        <w:spacing w:lineRule="auto" w:line="249" w:before="0" w:after="0"/>
        <w:jc w:val="left"/>
        <w:rPr>
          <w:rFonts w:ascii="Calibri;sans-serif" w:hAnsi="Calibri;sans-serif"/>
          <w:b/>
          <w:color w:val="00527C"/>
          <w:sz w:val="32"/>
        </w:rPr>
      </w:pPr>
      <w:r>
        <w:rPr>
          <w:rFonts w:ascii="Calibri;sans-serif" w:hAnsi="Calibri;sans-serif"/>
          <w:b/>
          <w:color w:val="00527C"/>
          <w:sz w:val="32"/>
        </w:rPr>
        <w:t>THIS IS NOT A VOTABLE BALLOT</w:t>
      </w:r>
    </w:p>
    <w:p>
      <w:pPr>
        <w:pStyle w:val="TextBody"/>
        <w:bidi w:val="0"/>
        <w:spacing w:before="8" w:after="283"/>
        <w:jc w:val="left"/>
        <w:rPr/>
      </w:pPr>
      <w:r>
        <w:rPr/>
      </w:r>
    </w:p>
    <w:p>
      <w:pPr>
        <w:pStyle w:val="TextBody"/>
        <w:bidi w:val="0"/>
        <w:spacing w:lineRule="auto" w:line="285" w:before="0" w:after="0"/>
        <w:jc w:val="left"/>
        <w:rPr>
          <w:rFonts w:ascii="Calibri;sans-serif" w:hAnsi="Calibri;sans-serif"/>
          <w:b w:val="false"/>
          <w:color w:val="00527C"/>
          <w:sz w:val="20"/>
        </w:rPr>
      </w:pPr>
      <w:r>
        <w:rPr>
          <w:rFonts w:ascii="Calibri;sans-serif" w:hAnsi="Calibri;sans-serif"/>
          <w:b w:val="false"/>
          <w:color w:val="00527C"/>
          <w:sz w:val="20"/>
        </w:rPr>
        <w:t>This is an overview of the proposals being presented at the upcoming shareholder meeting. Please follow the instructions on the reverse side to vote these important matters.</w:t>
      </w:r>
    </w:p>
    <w:p>
      <w:pPr>
        <w:pStyle w:val="TextBody"/>
        <w:bidi w:val="0"/>
        <w:spacing w:before="7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20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4"/>
        <w:gridCol w:w="338"/>
        <w:gridCol w:w="342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338"/>
        <w:gridCol w:w="338"/>
        <w:gridCol w:w="480"/>
      </w:tblGrid>
      <w:tr>
        <w:trPr/>
        <w:tc>
          <w:tcPr>
            <w:tcW w:w="3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527C"/>
              </w:rPr>
            </w:pPr>
            <w:r>
              <w:rPr>
                <w:color w:val="00527C"/>
              </w:rPr>
              <w:t>   </w:t>
            </w:r>
            <w:r>
              <w:rPr>
                <w:rFonts w:ascii="Calibri;sans-serif" w:hAnsi="Calibri;sans-serif"/>
                <w:b/>
                <w:color w:val="00527C"/>
                <w:sz w:val="18"/>
              </w:rPr>
              <w:t xml:space="preserve">Board </w:t>
            </w:r>
          </w:p>
        </w:tc>
      </w:tr>
      <w:tr>
        <w:trPr/>
        <w:tc>
          <w:tcPr>
            <w:tcW w:w="10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/>
                <w:color w:val="00527C"/>
                <w:sz w:val="18"/>
              </w:rPr>
            </w:pPr>
            <w:r>
              <w:rPr>
                <w:rFonts w:ascii="Calibri;sans-serif" w:hAnsi="Calibri;sans-serif"/>
                <w:b/>
                <w:color w:val="00527C"/>
                <w:sz w:val="18"/>
              </w:rPr>
              <w:t>Voting Items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Calibri;sans-serif" w:hAnsi="Calibri;sans-serif"/>
                <w:b/>
                <w:color w:val="00527C"/>
                <w:sz w:val="18"/>
              </w:rPr>
            </w:pPr>
            <w:r>
              <w:rPr>
                <w:rFonts w:ascii="Calibri;sans-serif" w:hAnsi="Calibri;sans-serif"/>
                <w:b/>
                <w:color w:val="00527C"/>
                <w:sz w:val="18"/>
              </w:rPr>
              <w:t>Recommends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493"/>
        <w:gridCol w:w="1428"/>
        <w:gridCol w:w="1391"/>
        <w:gridCol w:w="1368"/>
        <w:gridCol w:w="1262"/>
        <w:gridCol w:w="1265"/>
        <w:gridCol w:w="225"/>
        <w:gridCol w:w="225"/>
        <w:gridCol w:w="225"/>
        <w:gridCol w:w="125"/>
        <w:gridCol w:w="125"/>
        <w:gridCol w:w="126"/>
        <w:gridCol w:w="174"/>
        <w:gridCol w:w="174"/>
        <w:gridCol w:w="257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1.</w:t>
            </w:r>
          </w:p>
        </w:tc>
        <w:tc>
          <w:tcPr>
            <w:tcW w:w="431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56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Election of Directors</w:t>
            </w:r>
          </w:p>
        </w:tc>
        <w:tc>
          <w:tcPr>
            <w:tcW w:w="389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gridSpan w:val="3"/>
            <w:tcBorders>
              <w:left w:val="single" w:sz="8" w:space="0" w:color="0052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/>
                <w:color w:val="00527C"/>
                <w:sz w:val="20"/>
              </w:rPr>
            </w:pPr>
            <w:r>
              <w:rPr>
                <w:rFonts w:ascii="Calibri;sans-serif" w:hAnsi="Calibri;sans-serif"/>
                <w:b/>
                <w:color w:val="00527C"/>
                <w:sz w:val="20"/>
              </w:rPr>
              <w:t>Nominees:</w:t>
            </w:r>
          </w:p>
        </w:tc>
        <w:tc>
          <w:tcPr>
            <w:tcW w:w="389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gridSpan w:val="3"/>
            <w:tcBorders>
              <w:left w:val="single" w:sz="8" w:space="0" w:color="0052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01) James A. Faulconbridge</w:t>
            </w:r>
          </w:p>
        </w:tc>
        <w:tc>
          <w:tcPr>
            <w:tcW w:w="389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05) Daniel J. Stauber</w:t>
            </w:r>
          </w:p>
        </w:tc>
        <w:tc>
          <w:tcPr>
            <w:tcW w:w="6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gridSpan w:val="3"/>
            <w:tcBorders>
              <w:left w:val="single" w:sz="8" w:space="0" w:color="0052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02) Patrick H. Hawkins</w:t>
            </w:r>
          </w:p>
        </w:tc>
        <w:tc>
          <w:tcPr>
            <w:tcW w:w="389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06) James T. Thompson</w:t>
            </w:r>
          </w:p>
        </w:tc>
        <w:tc>
          <w:tcPr>
            <w:tcW w:w="6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gridSpan w:val="3"/>
            <w:vMerge w:val="restart"/>
            <w:tcBorders>
              <w:left w:val="single" w:sz="8" w:space="0" w:color="0052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Wingdings 2;sans-serif" w:hAnsi="Wingdings 2;sans-serif"/>
                <w:b/>
                <w:color w:val="00527C"/>
                <w:sz w:val="36"/>
              </w:rPr>
            </w:pPr>
            <w:r>
              <w:rPr>
                <w:rFonts w:ascii="Wingdings 2;sans-serif" w:hAnsi="Wingdings 2;sans-serif"/>
                <w:b/>
                <w:color w:val="00527C"/>
                <w:sz w:val="36"/>
              </w:rPr>
              <w:t>R</w:t>
            </w:r>
          </w:p>
        </w:tc>
        <w:tc>
          <w:tcPr>
            <w:tcW w:w="605" w:type="dxa"/>
            <w:gridSpan w:val="3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/>
                <w:color w:val="00527C"/>
                <w:sz w:val="24"/>
              </w:rPr>
            </w:pPr>
            <w:r>
              <w:rPr>
                <w:rFonts w:ascii="Calibri;sans-serif" w:hAnsi="Calibri;sans-serif"/>
                <w:b/>
                <w:color w:val="00527C"/>
                <w:sz w:val="24"/>
              </w:rPr>
              <w:t>For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03) Yi “Faith” Tang</w:t>
            </w:r>
          </w:p>
        </w:tc>
        <w:tc>
          <w:tcPr>
            <w:tcW w:w="389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07) Jeffrey L. Wright</w:t>
            </w:r>
          </w:p>
        </w:tc>
        <w:tc>
          <w:tcPr>
            <w:tcW w:w="675" w:type="dxa"/>
            <w:gridSpan w:val="3"/>
            <w:tcBorders>
              <w:right w:val="single" w:sz="8" w:space="0" w:color="0052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gridSpan w:val="3"/>
            <w:vMerge w:val="continue"/>
            <w:tcBorders>
              <w:left w:val="single" w:sz="8" w:space="0" w:color="0052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gridSpan w:val="3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04) Mary J. Schumacher</w:t>
            </w:r>
          </w:p>
        </w:tc>
        <w:tc>
          <w:tcPr>
            <w:tcW w:w="3895" w:type="dxa"/>
            <w:gridSpan w:val="3"/>
            <w:tcBorders>
              <w:bottom w:val="single" w:sz="8" w:space="0" w:color="00527C"/>
            </w:tcBorders>
            <w:tcMar>
              <w:top w:w="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08) Jeffrey E. Spethmann</w:t>
            </w:r>
          </w:p>
        </w:tc>
        <w:tc>
          <w:tcPr>
            <w:tcW w:w="675" w:type="dxa"/>
            <w:gridSpan w:val="3"/>
            <w:tcBorders>
              <w:bottom w:val="single" w:sz="8" w:space="0" w:color="00527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gridSpan w:val="3"/>
            <w:tcBorders>
              <w:left w:val="single" w:sz="8" w:space="0" w:color="0052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top w:val="single" w:sz="8" w:space="0" w:color="00527C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2.</w:t>
            </w:r>
          </w:p>
        </w:tc>
        <w:tc>
          <w:tcPr>
            <w:tcW w:w="8882" w:type="dxa"/>
            <w:gridSpan w:val="9"/>
            <w:tcBorders>
              <w:top w:val="single" w:sz="8" w:space="0" w:color="00527C"/>
              <w:bottom w:val="single" w:sz="8" w:space="0" w:color="00527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Ratification of the appointment of Grant Thornton LLP to serve as our independent registered public accounting firm for the fiscal year ending March 31, 2024.</w:t>
            </w:r>
          </w:p>
        </w:tc>
        <w:tc>
          <w:tcPr>
            <w:tcW w:w="376" w:type="dxa"/>
            <w:gridSpan w:val="3"/>
            <w:tcBorders>
              <w:top w:val="single" w:sz="8" w:space="0" w:color="00527C"/>
              <w:left w:val="single" w:sz="8" w:space="0" w:color="00527C"/>
            </w:tcBorders>
            <w:tcMar>
              <w:top w:w="3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Wingdings 2;sans-serif" w:hAnsi="Wingdings 2;sans-serif"/>
                <w:b/>
                <w:color w:val="00527C"/>
                <w:sz w:val="36"/>
              </w:rPr>
            </w:pPr>
            <w:r>
              <w:rPr>
                <w:rFonts w:ascii="Wingdings 2;sans-serif" w:hAnsi="Wingdings 2;sans-serif"/>
                <w:b/>
                <w:color w:val="00527C"/>
                <w:sz w:val="36"/>
              </w:rPr>
              <w:t>R</w:t>
            </w:r>
          </w:p>
        </w:tc>
        <w:tc>
          <w:tcPr>
            <w:tcW w:w="605" w:type="dxa"/>
            <w:gridSpan w:val="3"/>
            <w:tcBorders>
              <w:top w:val="single" w:sz="8" w:space="0" w:color="00527C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/>
                <w:color w:val="00527C"/>
                <w:sz w:val="24"/>
              </w:rPr>
            </w:pPr>
            <w:r>
              <w:rPr>
                <w:rFonts w:ascii="Calibri;sans-serif" w:hAnsi="Calibri;sans-serif"/>
                <w:b/>
                <w:color w:val="00527C"/>
                <w:sz w:val="24"/>
              </w:rPr>
              <w:t>For</w:t>
            </w:r>
          </w:p>
        </w:tc>
      </w:tr>
      <w:tr>
        <w:trPr/>
        <w:tc>
          <w:tcPr>
            <w:tcW w:w="342" w:type="dxa"/>
            <w:gridSpan w:val="3"/>
            <w:tcBorders>
              <w:top w:val="single" w:sz="8" w:space="0" w:color="00527C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3.</w:t>
            </w:r>
          </w:p>
        </w:tc>
        <w:tc>
          <w:tcPr>
            <w:tcW w:w="8882" w:type="dxa"/>
            <w:gridSpan w:val="9"/>
            <w:tcBorders>
              <w:top w:val="single" w:sz="8" w:space="0" w:color="00527C"/>
              <w:bottom w:val="single" w:sz="8" w:space="0" w:color="00527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Non-binding advisory vote to approve executive compensation (“say-on-pay”).</w:t>
            </w:r>
          </w:p>
        </w:tc>
        <w:tc>
          <w:tcPr>
            <w:tcW w:w="376" w:type="dxa"/>
            <w:gridSpan w:val="3"/>
            <w:tcBorders>
              <w:top w:val="single" w:sz="8" w:space="0" w:color="00527C"/>
              <w:left w:val="single" w:sz="8" w:space="0" w:color="00527C"/>
            </w:tcBorders>
            <w:tcMar>
              <w:top w:w="3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Wingdings 2;sans-serif" w:hAnsi="Wingdings 2;sans-serif"/>
                <w:b/>
                <w:color w:val="00527C"/>
                <w:sz w:val="36"/>
              </w:rPr>
            </w:pPr>
            <w:r>
              <w:rPr>
                <w:rFonts w:ascii="Wingdings 2;sans-serif" w:hAnsi="Wingdings 2;sans-serif"/>
                <w:b/>
                <w:color w:val="00527C"/>
                <w:sz w:val="36"/>
              </w:rPr>
              <w:t>R</w:t>
            </w:r>
          </w:p>
        </w:tc>
        <w:tc>
          <w:tcPr>
            <w:tcW w:w="605" w:type="dxa"/>
            <w:gridSpan w:val="3"/>
            <w:tcBorders>
              <w:top w:val="single" w:sz="8" w:space="0" w:color="00527C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/>
                <w:color w:val="00527C"/>
                <w:sz w:val="24"/>
              </w:rPr>
            </w:pPr>
            <w:r>
              <w:rPr>
                <w:rFonts w:ascii="Calibri;sans-serif" w:hAnsi="Calibri;sans-serif"/>
                <w:b/>
                <w:color w:val="00527C"/>
                <w:sz w:val="24"/>
              </w:rPr>
              <w:t>For</w:t>
            </w:r>
          </w:p>
        </w:tc>
      </w:tr>
      <w:tr>
        <w:trPr/>
        <w:tc>
          <w:tcPr>
            <w:tcW w:w="342" w:type="dxa"/>
            <w:gridSpan w:val="3"/>
            <w:tcBorders>
              <w:top w:val="single" w:sz="8" w:space="0" w:color="00527C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4.</w:t>
            </w:r>
          </w:p>
        </w:tc>
        <w:tc>
          <w:tcPr>
            <w:tcW w:w="8882" w:type="dxa"/>
            <w:gridSpan w:val="9"/>
            <w:tcBorders>
              <w:top w:val="single" w:sz="8" w:space="0" w:color="00527C"/>
              <w:bottom w:val="single" w:sz="8" w:space="0" w:color="00527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 w:val="false"/>
                <w:color w:val="00527C"/>
                <w:sz w:val="20"/>
              </w:rPr>
            </w:pP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Non-binding advisory vote to recommend the frequency of votes to approve executive compensation (“say-when-on-pay”).    </w:t>
            </w:r>
          </w:p>
        </w:tc>
        <w:tc>
          <w:tcPr>
            <w:tcW w:w="376" w:type="dxa"/>
            <w:gridSpan w:val="3"/>
            <w:tcBorders>
              <w:top w:val="single" w:sz="8" w:space="0" w:color="00527C"/>
              <w:left w:val="single" w:sz="8" w:space="0" w:color="00527C"/>
              <w:bottom w:val="single" w:sz="8" w:space="0" w:color="00527C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gridSpan w:val="3"/>
            <w:tcBorders>
              <w:top w:val="single" w:sz="8" w:space="0" w:color="00527C"/>
              <w:bottom w:val="single" w:sz="8" w:space="0" w:color="00527C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alibri;sans-serif" w:hAnsi="Calibri;sans-serif"/>
                <w:b/>
                <w:color w:val="00527C"/>
                <w:sz w:val="24"/>
              </w:rPr>
            </w:pPr>
            <w:r>
              <w:rPr>
                <w:rFonts w:ascii="Calibri;sans-serif" w:hAnsi="Calibri;sans-serif"/>
                <w:b/>
                <w:color w:val="00527C"/>
                <w:sz w:val="24"/>
              </w:rPr>
              <w:t>Year</w:t>
            </w:r>
          </w:p>
        </w:tc>
      </w:tr>
      <w:tr>
        <w:trPr/>
        <w:tc>
          <w:tcPr>
            <w:tcW w:w="10205" w:type="dxa"/>
            <w:gridSpan w:val="18"/>
            <w:tcBorders>
              <w:top w:val="single" w:sz="8" w:space="0" w:color="00527C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/>
            </w:pPr>
            <w:r>
              <w:rPr>
                <w:rFonts w:ascii="Calibri;sans-serif" w:hAnsi="Calibri;sans-serif"/>
                <w:b/>
                <w:color w:val="00527C"/>
                <w:sz w:val="20"/>
              </w:rPr>
              <w:t>NOTE</w:t>
            </w:r>
            <w:r>
              <w:rPr>
                <w:rFonts w:ascii="Calibri;sans-serif" w:hAnsi="Calibri;sans-serif"/>
                <w:b w:val="false"/>
                <w:color w:val="00527C"/>
                <w:sz w:val="20"/>
              </w:rPr>
              <w:t>: Such other business as may properly come before the meeting or any adjournment thereof.</w:t>
            </w:r>
          </w:p>
        </w:tc>
      </w:tr>
      <w:tr>
        <w:trPr/>
        <w:tc>
          <w:tcPr>
            <w:tcW w:w="342" w:type="dxa"/>
            <w:gridSpan w:val="3"/>
            <w:tcBorders>
              <w:top w:val="single" w:sz="8" w:space="0" w:color="00527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2" w:type="dxa"/>
            <w:gridSpan w:val="3"/>
            <w:tcBorders>
              <w:top w:val="single" w:sz="8" w:space="0" w:color="00527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95" w:type="dxa"/>
            <w:gridSpan w:val="3"/>
            <w:tcBorders>
              <w:top w:val="single" w:sz="8" w:space="0" w:color="00527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gridSpan w:val="3"/>
            <w:tcBorders>
              <w:top w:val="single" w:sz="8" w:space="0" w:color="00527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gridSpan w:val="3"/>
            <w:tcBorders>
              <w:top w:val="single" w:sz="8" w:space="0" w:color="00527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gridSpan w:val="3"/>
            <w:tcBorders>
              <w:top w:val="single" w:sz="8" w:space="0" w:color="00527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ind w:left="0" w:right="0" w:firstLine="54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96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86"/>
        <w:gridCol w:w="2712"/>
        <w:gridCol w:w="3847"/>
      </w:tblGrid>
      <w:tr>
        <w:trPr/>
        <w:tc>
          <w:tcPr>
            <w:tcW w:w="30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45" w:type="dxa"/>
            <w:gridSpan w:val="3"/>
            <w:tcBorders/>
            <w:shd w:fill="00527C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;sans-serif" w:hAnsi="Arial;sans-serif"/>
                <w:b w:val="false"/>
                <w:color w:val="FFFFFF"/>
                <w:sz w:val="20"/>
              </w:rPr>
            </w:pPr>
            <w:r>
              <w:rPr>
                <w:rFonts w:ascii="Arial;sans-serif" w:hAnsi="Arial;sans-serif"/>
                <w:b w:val="false"/>
                <w:color w:val="FFFFFF"/>
                <w:sz w:val="20"/>
              </w:rPr>
              <w:t>Prefer to receive an email instead? While voting on www.ProxyVote.com, be sure to click “Delivery Settings”.</w:t>
            </w:r>
          </w:p>
        </w:tc>
      </w:tr>
    </w:tbl>
    <w:p>
      <w:pPr>
        <w:pStyle w:val="TextBody"/>
        <w:bidi w:val="0"/>
        <w:spacing w:lineRule="auto" w:line="158" w:before="0" w:after="0"/>
        <w:ind w:left="0" w:right="0" w:hanging="900"/>
        <w:jc w:val="center"/>
        <w:rPr>
          <w:rFonts w:ascii="Calibri;sans-serif" w:hAnsi="Calibri;sans-serif"/>
          <w:b w:val="false"/>
          <w:color w:val="363435"/>
          <w:sz w:val="14"/>
        </w:rPr>
      </w:pPr>
      <w:r>
        <w:rPr>
          <w:rFonts w:ascii="Calibri;sans-serif" w:hAnsi="Calibri;sans-serif"/>
          <w:b w:val="false"/>
          <w:color w:val="363435"/>
          <w:sz w:val="14"/>
        </w:rPr>
        <w:t>V19261-P92728</w:t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ind w:left="0" w:right="0" w:firstLine="72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ind w:left="0" w:right="0" w:firstLine="72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alibri">
    <w:altName w:val="sans-serif"/>
    <w:charset w:val="01"/>
    <w:family w:val="auto"/>
    <w:pitch w:val="default"/>
  </w:font>
  <w:font w:name="Wingdings 2">
    <w:altName w:val="sans-serif"/>
    <w:charset w:val="01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518</Words>
  <Characters>2812</Characters>
  <CharactersWithSpaces>3261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