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8,623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28,537.932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11,812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583.932 shares acquired under the Issuer's employee stock purchase plan in July 2011 and January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2019-12-17T10:34:09Z</dcterms:created>
  <dcterms:modified xsi:type="dcterms:W3CDTF">2019-12-17T10:34:09Z</dcterms:modified>
</cp:coreProperties>
</file>