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Hawkins, Inc.</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$.05 per share</w:t>
      </w:r>
    </w:p>
    <w:p>
      <w:pPr>
        <w:jc w:val="center"/>
        <w:ind w:right="-99"/>
        <w:spacing w:after="0"/>
        <w:rPr>
          <w:sz w:val="20"/>
          <w:szCs w:val="20"/>
          <w:color w:val="auto"/>
        </w:rPr>
      </w:pPr>
      <w:r>
        <w:rPr>
          <w:rFonts w:ascii="Arial" w:cs="Arial" w:eastAsia="Arial" w:hAnsi="Arial"/>
          <w:sz w:val="11"/>
          <w:szCs w:val="11"/>
          <w:b w:val="1"/>
          <w:bCs w:val="1"/>
          <w:color w:val="auto"/>
        </w:rPr>
        <w:t>(Title of Class of Securities)</w:t>
      </w:r>
    </w:p>
    <w:p>
      <w:pPr>
        <w:spacing w:after="0" w:line="32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420261109</w:t>
      </w:r>
    </w:p>
    <w:p>
      <w:pPr>
        <w:jc w:val="center"/>
        <w:ind w:right="-99"/>
        <w:spacing w:after="0"/>
        <w:rPr>
          <w:sz w:val="20"/>
          <w:szCs w:val="20"/>
          <w:color w:val="auto"/>
        </w:rPr>
      </w:pPr>
      <w:r>
        <w:rPr>
          <w:rFonts w:ascii="Arial" w:cs="Arial" w:eastAsia="Arial" w:hAnsi="Arial"/>
          <w:sz w:val="11"/>
          <w:szCs w:val="11"/>
          <w:b w:val="1"/>
          <w:bCs w:val="1"/>
          <w:color w:val="auto"/>
        </w:rPr>
        <w:t>(CUSIP Number)</w:t>
      </w:r>
    </w:p>
    <w:p>
      <w:pPr>
        <w:spacing w:after="0" w:line="32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2011</w:t>
      </w:r>
    </w:p>
    <w:p>
      <w:pPr>
        <w:jc w:val="center"/>
        <w:ind w:right="-99"/>
        <w:spacing w:after="0"/>
        <w:rPr>
          <w:sz w:val="20"/>
          <w:szCs w:val="20"/>
          <w:color w:val="auto"/>
        </w:rPr>
      </w:pPr>
      <w:r>
        <w:rPr>
          <w:rFonts w:ascii="Arial" w:cs="Arial" w:eastAsia="Arial" w:hAnsi="Arial"/>
          <w:sz w:val="11"/>
          <w:szCs w:val="11"/>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 w:lineRule="exact"/>
        <w:rPr>
          <w:rFonts w:ascii="MS PGothic" w:cs="MS PGothic" w:eastAsia="MS PGothic" w:hAnsi="MS PGothic"/>
          <w:sz w:val="18"/>
          <w:szCs w:val="18"/>
          <w:color w:val="auto"/>
        </w:rPr>
      </w:pPr>
    </w:p>
    <w:p>
      <w:pPr>
        <w:ind w:left="220" w:hanging="216"/>
        <w:spacing w:after="0" w:line="252"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2"/>
        </w:trPr>
        <w:tc>
          <w:tcPr>
            <w:tcW w:w="5400" w:type="dxa"/>
            <w:vAlign w:val="bottom"/>
            <w:gridSpan w:val="6"/>
          </w:tcPr>
          <w:p>
            <w:pPr>
              <w:spacing w:after="0"/>
              <w:rPr>
                <w:sz w:val="20"/>
                <w:szCs w:val="20"/>
                <w:color w:val="auto"/>
              </w:rPr>
            </w:pPr>
            <w:r>
              <w:rPr>
                <w:rFonts w:ascii="Arial" w:cs="Arial" w:eastAsia="Arial" w:hAnsi="Arial"/>
                <w:sz w:val="18"/>
                <w:szCs w:val="18"/>
                <w:color w:val="auto"/>
              </w:rPr>
              <w:t>CUSIP No. 420261109</w:t>
            </w:r>
          </w:p>
        </w:tc>
        <w:tc>
          <w:tcPr>
            <w:tcW w:w="2800" w:type="dxa"/>
            <w:vAlign w:val="bottom"/>
          </w:tcPr>
          <w:p>
            <w:pPr>
              <w:ind w:left="240"/>
              <w:spacing w:after="0"/>
              <w:rPr>
                <w:sz w:val="20"/>
                <w:szCs w:val="20"/>
                <w:color w:val="auto"/>
              </w:rPr>
            </w:pPr>
            <w:r>
              <w:rPr>
                <w:rFonts w:ascii="Arial" w:cs="Arial" w:eastAsia="Arial" w:hAnsi="Arial"/>
                <w:sz w:val="18"/>
                <w:szCs w:val="18"/>
                <w:color w:val="auto"/>
              </w:rPr>
              <w:t>13G</w:t>
            </w:r>
          </w:p>
        </w:tc>
        <w:tc>
          <w:tcPr>
            <w:tcW w:w="3240" w:type="dxa"/>
            <w:vAlign w:val="bottom"/>
          </w:tcPr>
          <w:p>
            <w:pPr>
              <w:ind w:left="1980"/>
              <w:spacing w:after="0"/>
              <w:rPr>
                <w:sz w:val="20"/>
                <w:szCs w:val="20"/>
                <w:color w:val="auto"/>
              </w:rPr>
            </w:pPr>
            <w:r>
              <w:rPr>
                <w:rFonts w:ascii="Arial" w:cs="Arial" w:eastAsia="Arial" w:hAnsi="Arial"/>
                <w:sz w:val="18"/>
                <w:szCs w:val="18"/>
                <w:color w:val="auto"/>
                <w:w w:val="82"/>
              </w:rPr>
              <w:t>Page 2 of 6 Pages</w:t>
            </w:r>
          </w:p>
        </w:tc>
        <w:tc>
          <w:tcPr>
            <w:tcW w:w="0" w:type="dxa"/>
            <w:vAlign w:val="bottom"/>
          </w:tcPr>
          <w:p>
            <w:pPr>
              <w:spacing w:after="0"/>
              <w:rPr>
                <w:sz w:val="1"/>
                <w:szCs w:val="1"/>
                <w:color w:val="auto"/>
              </w:rPr>
            </w:pPr>
          </w:p>
        </w:tc>
      </w:tr>
      <w:tr>
        <w:trPr>
          <w:trHeight w:val="83"/>
        </w:trPr>
        <w:tc>
          <w:tcPr>
            <w:tcW w:w="4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920" w:type="dxa"/>
            <w:vAlign w:val="bottom"/>
            <w:tcBorders>
              <w:bottom w:val="single" w:sz="8" w:color="auto"/>
            </w:tcBorders>
            <w:gridSpan w:val="4"/>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3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440" w:type="dxa"/>
            <w:vAlign w:val="bottom"/>
            <w:tcBorders>
              <w:left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7"/>
                <w:szCs w:val="17"/>
                <w:color w:val="auto"/>
              </w:rPr>
            </w:pPr>
          </w:p>
        </w:tc>
        <w:tc>
          <w:tcPr>
            <w:tcW w:w="4920" w:type="dxa"/>
            <w:vAlign w:val="bottom"/>
            <w:gridSpan w:val="4"/>
          </w:tcPr>
          <w:p>
            <w:pPr>
              <w:ind w:left="80"/>
              <w:spacing w:after="0" w:line="201" w:lineRule="exact"/>
              <w:rPr>
                <w:sz w:val="20"/>
                <w:szCs w:val="20"/>
                <w:color w:val="auto"/>
              </w:rPr>
            </w:pPr>
            <w:r>
              <w:rPr>
                <w:rFonts w:ascii="Arial" w:cs="Arial" w:eastAsia="Arial" w:hAnsi="Arial"/>
                <w:sz w:val="18"/>
                <w:szCs w:val="18"/>
                <w:color w:val="auto"/>
              </w:rPr>
              <w:t>Names of reporting persons</w:t>
            </w:r>
          </w:p>
        </w:tc>
        <w:tc>
          <w:tcPr>
            <w:tcW w:w="2800" w:type="dxa"/>
            <w:vAlign w:val="bottom"/>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920" w:type="dxa"/>
            <w:vAlign w:val="bottom"/>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2800" w:type="dxa"/>
            <w:vAlign w:val="bottom"/>
          </w:tcPr>
          <w:p>
            <w:pPr>
              <w:spacing w:after="0"/>
              <w:rPr>
                <w:sz w:val="19"/>
                <w:szCs w:val="19"/>
                <w:color w:val="auto"/>
              </w:rPr>
            </w:pPr>
          </w:p>
        </w:tc>
        <w:tc>
          <w:tcPr>
            <w:tcW w:w="3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Hawkins, Inc. Employee Stock Ownership Plan and Trust (Tax ID: 41-0771293)</w:t>
            </w:r>
          </w:p>
        </w:tc>
        <w:tc>
          <w:tcPr>
            <w:tcW w:w="3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4920" w:type="dxa"/>
            <w:vAlign w:val="bottom"/>
            <w:gridSpan w:val="4"/>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w:t>
            </w:r>
          </w:p>
        </w:tc>
        <w:tc>
          <w:tcPr>
            <w:tcW w:w="2800" w:type="dxa"/>
            <w:vAlign w:val="bottom"/>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(b)</w:t>
            </w:r>
          </w:p>
        </w:tc>
        <w:tc>
          <w:tcPr>
            <w:tcW w:w="38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spacing w:after="0"/>
              <w:rPr>
                <w:sz w:val="23"/>
                <w:szCs w:val="23"/>
                <w:color w:val="auto"/>
              </w:rPr>
            </w:pPr>
          </w:p>
        </w:tc>
        <w:tc>
          <w:tcPr>
            <w:tcW w:w="3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gridSpan w:val="3"/>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38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4920" w:type="dxa"/>
            <w:vAlign w:val="bottom"/>
            <w:tcBorders>
              <w:bottom w:val="single" w:sz="8" w:color="auto"/>
            </w:tcBorders>
            <w:gridSpan w:val="4"/>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3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49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Minnesota</w:t>
            </w:r>
          </w:p>
        </w:tc>
        <w:tc>
          <w:tcPr>
            <w:tcW w:w="3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800" w:type="dxa"/>
            <w:vAlign w:val="bottom"/>
          </w:tcPr>
          <w:p>
            <w:pPr>
              <w:spacing w:after="0"/>
              <w:rPr>
                <w:sz w:val="19"/>
                <w:szCs w:val="19"/>
                <w:color w:val="auto"/>
              </w:rPr>
            </w:pPr>
          </w:p>
        </w:tc>
        <w:tc>
          <w:tcPr>
            <w:tcW w:w="3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800" w:type="dxa"/>
            <w:vAlign w:val="bottom"/>
            <w:tcBorders>
              <w:bottom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140" w:type="dxa"/>
            <w:vAlign w:val="bottom"/>
            <w:tcBorders>
              <w:left w:val="single" w:sz="8" w:color="auto"/>
              <w:right w:val="single" w:sz="8" w:color="auto"/>
            </w:tcBorders>
            <w:gridSpan w:val="3"/>
          </w:tcPr>
          <w:p>
            <w:pPr>
              <w:jc w:val="center"/>
              <w:ind w:left="12"/>
              <w:spacing w:after="0" w:line="201" w:lineRule="exact"/>
              <w:rPr>
                <w:sz w:val="20"/>
                <w:szCs w:val="20"/>
                <w:color w:val="auto"/>
              </w:rPr>
            </w:pPr>
            <w:r>
              <w:rPr>
                <w:rFonts w:ascii="Arial" w:cs="Arial" w:eastAsia="Arial" w:hAnsi="Arial"/>
                <w:sz w:val="18"/>
                <w:szCs w:val="18"/>
                <w:color w:val="auto"/>
                <w:w w:val="81"/>
              </w:rPr>
              <w:t>shares</w:t>
            </w:r>
          </w:p>
        </w:tc>
        <w:tc>
          <w:tcPr>
            <w:tcW w:w="3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c>
          <w:tcPr>
            <w:tcW w:w="3820" w:type="dxa"/>
            <w:vAlign w:val="bottom"/>
          </w:tcPr>
          <w:p>
            <w:pPr>
              <w:ind w:left="20"/>
              <w:spacing w:after="0" w:line="201" w:lineRule="exact"/>
              <w:rPr>
                <w:sz w:val="20"/>
                <w:szCs w:val="20"/>
                <w:color w:val="auto"/>
              </w:rPr>
            </w:pPr>
            <w:r>
              <w:rPr>
                <w:rFonts w:ascii="Arial" w:cs="Arial" w:eastAsia="Arial" w:hAnsi="Arial"/>
                <w:sz w:val="18"/>
                <w:szCs w:val="18"/>
                <w:color w:val="auto"/>
              </w:rPr>
              <w:t>Shared voting power</w:t>
            </w:r>
          </w:p>
        </w:tc>
        <w:tc>
          <w:tcPr>
            <w:tcW w:w="2800" w:type="dxa"/>
            <w:vAlign w:val="bottom"/>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20" w:type="dxa"/>
            <w:vAlign w:val="bottom"/>
            <w:vMerge w:val="restart"/>
          </w:tcPr>
          <w:p>
            <w:pPr>
              <w:ind w:left="20"/>
              <w:spacing w:after="0"/>
              <w:rPr>
                <w:sz w:val="20"/>
                <w:szCs w:val="20"/>
                <w:color w:val="auto"/>
              </w:rPr>
            </w:pPr>
            <w:r>
              <w:rPr>
                <w:rFonts w:ascii="Arial" w:cs="Arial" w:eastAsia="Arial" w:hAnsi="Arial"/>
                <w:sz w:val="18"/>
                <w:szCs w:val="18"/>
                <w:color w:val="auto"/>
              </w:rPr>
              <w:t>1,168,139</w:t>
            </w:r>
          </w:p>
        </w:tc>
        <w:tc>
          <w:tcPr>
            <w:tcW w:w="2800" w:type="dxa"/>
            <w:vAlign w:val="bottom"/>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3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vMerge w:val="continue"/>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1"/>
              <w:spacing w:after="0" w:line="190" w:lineRule="exact"/>
              <w:rPr>
                <w:sz w:val="20"/>
                <w:szCs w:val="20"/>
                <w:color w:val="auto"/>
              </w:rPr>
            </w:pPr>
            <w:r>
              <w:rPr>
                <w:rFonts w:ascii="Arial" w:cs="Arial" w:eastAsia="Arial" w:hAnsi="Arial"/>
                <w:sz w:val="18"/>
                <w:szCs w:val="18"/>
                <w:color w:val="auto"/>
                <w:w w:val="81"/>
              </w:rPr>
              <w:t>each</w:t>
            </w: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6"/>
                <w:szCs w:val="16"/>
                <w:color w:val="auto"/>
              </w:rPr>
            </w:pPr>
          </w:p>
        </w:tc>
        <w:tc>
          <w:tcPr>
            <w:tcW w:w="38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2800" w:type="dxa"/>
            <w:vAlign w:val="bottom"/>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3"/>
              </w:rPr>
              <w:t>person</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0</w:t>
            </w:r>
          </w:p>
        </w:tc>
        <w:tc>
          <w:tcPr>
            <w:tcW w:w="2800" w:type="dxa"/>
            <w:vAlign w:val="bottom"/>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tcBorders>
          </w:tcPr>
          <w:p>
            <w:pPr>
              <w:spacing w:after="0" w:line="20" w:lineRule="exact"/>
              <w:rPr>
                <w:sz w:val="1"/>
                <w:szCs w:val="1"/>
                <w:color w:val="auto"/>
              </w:rPr>
            </w:pPr>
          </w:p>
        </w:tc>
        <w:tc>
          <w:tcPr>
            <w:tcW w:w="700" w:type="dxa"/>
            <w:vAlign w:val="bottom"/>
            <w:tcBorders>
              <w:right w:val="single" w:sz="8" w:color="auto"/>
            </w:tcBorders>
            <w:gridSpan w:val="2"/>
            <w:vMerge w:val="restart"/>
          </w:tcPr>
          <w:p>
            <w:pPr>
              <w:jc w:val="center"/>
              <w:ind w:right="251"/>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gridSpan w:val="2"/>
            <w:vMerge w:val="continue"/>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800" w:type="dxa"/>
            <w:vAlign w:val="bottom"/>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1,168,139</w:t>
            </w:r>
          </w:p>
        </w:tc>
        <w:tc>
          <w:tcPr>
            <w:tcW w:w="2800" w:type="dxa"/>
            <w:vAlign w:val="bottom"/>
            <w:tcBorders>
              <w:bottom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4920" w:type="dxa"/>
            <w:vAlign w:val="bottom"/>
            <w:gridSpan w:val="4"/>
          </w:tcPr>
          <w:p>
            <w:pPr>
              <w:ind w:left="80"/>
              <w:spacing w:after="0"/>
              <w:rPr>
                <w:sz w:val="20"/>
                <w:szCs w:val="20"/>
                <w:color w:val="auto"/>
              </w:rPr>
            </w:pPr>
            <w:r>
              <w:rPr>
                <w:rFonts w:ascii="Arial" w:cs="Arial" w:eastAsia="Arial" w:hAnsi="Arial"/>
                <w:sz w:val="18"/>
                <w:szCs w:val="18"/>
                <w:color w:val="auto"/>
                <w:w w:val="95"/>
              </w:rPr>
              <w:t>Aggregate amount beneficially owned by each reporting person</w:t>
            </w:r>
          </w:p>
        </w:tc>
        <w:tc>
          <w:tcPr>
            <w:tcW w:w="2800" w:type="dxa"/>
            <w:vAlign w:val="bottom"/>
          </w:tcPr>
          <w:p>
            <w:pPr>
              <w:spacing w:after="0"/>
              <w:rPr>
                <w:sz w:val="19"/>
                <w:szCs w:val="19"/>
                <w:color w:val="auto"/>
              </w:rPr>
            </w:pPr>
          </w:p>
        </w:tc>
        <w:tc>
          <w:tcPr>
            <w:tcW w:w="3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1,168,139</w:t>
            </w:r>
          </w:p>
        </w:tc>
        <w:tc>
          <w:tcPr>
            <w:tcW w:w="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4920" w:type="dxa"/>
            <w:vAlign w:val="bottom"/>
            <w:gridSpan w:val="4"/>
          </w:tcPr>
          <w:p>
            <w:pPr>
              <w:ind w:left="80"/>
              <w:spacing w:after="0"/>
              <w:rPr>
                <w:sz w:val="20"/>
                <w:szCs w:val="20"/>
                <w:color w:val="auto"/>
              </w:rPr>
            </w:pPr>
            <w:r>
              <w:rPr>
                <w:rFonts w:ascii="Arial" w:cs="Arial" w:eastAsia="Arial" w:hAnsi="Arial"/>
                <w:sz w:val="18"/>
                <w:szCs w:val="18"/>
                <w:color w:val="auto"/>
                <w:w w:val="91"/>
              </w:rPr>
              <w:t>Check if the aggregate amount in Row (9) excludes certain shares</w:t>
            </w:r>
          </w:p>
        </w:tc>
        <w:tc>
          <w:tcPr>
            <w:tcW w:w="2800" w:type="dxa"/>
            <w:vAlign w:val="bottom"/>
          </w:tcPr>
          <w:p>
            <w:pPr>
              <w:spacing w:after="0"/>
              <w:rPr>
                <w:sz w:val="19"/>
                <w:szCs w:val="19"/>
                <w:color w:val="auto"/>
              </w:rPr>
            </w:pPr>
          </w:p>
        </w:tc>
        <w:tc>
          <w:tcPr>
            <w:tcW w:w="3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49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800" w:type="dxa"/>
            <w:vAlign w:val="bottom"/>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11.0%</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49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2800" w:type="dxa"/>
            <w:vAlign w:val="bottom"/>
          </w:tcPr>
          <w:p>
            <w:pPr>
              <w:spacing w:after="0"/>
              <w:rPr>
                <w:sz w:val="19"/>
                <w:szCs w:val="19"/>
                <w:color w:val="auto"/>
              </w:rPr>
            </w:pPr>
          </w:p>
        </w:tc>
        <w:tc>
          <w:tcPr>
            <w:tcW w:w="3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EP</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847"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Item1.  (a) Name of Issuer:</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Hawkins, Inc.</w:t>
      </w:r>
    </w:p>
    <w:p>
      <w:pPr>
        <w:spacing w:after="0" w:line="212" w:lineRule="exact"/>
        <w:rPr>
          <w:sz w:val="20"/>
          <w:szCs w:val="20"/>
          <w:color w:val="auto"/>
        </w:rPr>
      </w:pPr>
    </w:p>
    <w:p>
      <w:pPr>
        <w:ind w:left="900" w:right="7140" w:hanging="446"/>
        <w:spacing w:after="0" w:line="254" w:lineRule="auto"/>
        <w:tabs>
          <w:tab w:leader="none" w:pos="897"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East Hennepin Avenue</w:t>
      </w:r>
    </w:p>
    <w:p>
      <w:pPr>
        <w:ind w:left="900"/>
        <w:spacing w:after="0"/>
        <w:rPr>
          <w:rFonts w:ascii="Arial" w:cs="Arial" w:eastAsia="Arial" w:hAnsi="Arial"/>
          <w:sz w:val="18"/>
          <w:szCs w:val="18"/>
          <w:color w:val="auto"/>
        </w:rPr>
      </w:pPr>
      <w:r>
        <w:rPr>
          <w:rFonts w:ascii="Arial" w:cs="Arial" w:eastAsia="Arial" w:hAnsi="Arial"/>
          <w:sz w:val="18"/>
          <w:szCs w:val="18"/>
          <w:color w:val="auto"/>
        </w:rPr>
        <w:t>Minneapolis, MN 55413</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 xml:space="preserve">Name of Person Filing: </w:t>
      </w:r>
      <w:r>
        <w:rPr>
          <w:rFonts w:ascii="Arial" w:cs="Arial" w:eastAsia="Arial" w:hAnsi="Arial"/>
          <w:sz w:val="10"/>
          <w:szCs w:val="10"/>
          <w:b w:val="1"/>
          <w:bCs w:val="1"/>
          <w:color w:val="auto"/>
        </w:rPr>
        <w:t>1</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Hawkins, Inc. Employee Stock Ownership Plan and Trust</w:t>
      </w:r>
    </w:p>
    <w:p>
      <w:pPr>
        <w:spacing w:after="0" w:line="90" w:lineRule="exact"/>
        <w:rPr>
          <w:sz w:val="20"/>
          <w:szCs w:val="20"/>
          <w:color w:val="auto"/>
        </w:rPr>
      </w:pPr>
    </w:p>
    <w:p>
      <w:pPr>
        <w:ind w:left="900" w:right="6300" w:hanging="446"/>
        <w:spacing w:after="0" w:line="254" w:lineRule="auto"/>
        <w:tabs>
          <w:tab w:leader="none" w:pos="897"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Residence</w:t>
      </w:r>
    </w:p>
    <w:p>
      <w:pPr>
        <w:ind w:left="900"/>
        <w:spacing w:after="0"/>
        <w:rPr>
          <w:rFonts w:ascii="Arial" w:cs="Arial" w:eastAsia="Arial" w:hAnsi="Arial"/>
          <w:sz w:val="18"/>
          <w:szCs w:val="18"/>
          <w:color w:val="auto"/>
        </w:rPr>
      </w:pPr>
      <w:r>
        <w:rPr>
          <w:rFonts w:ascii="Arial" w:cs="Arial" w:eastAsia="Arial" w:hAnsi="Arial"/>
          <w:sz w:val="18"/>
          <w:szCs w:val="18"/>
          <w:color w:val="auto"/>
        </w:rPr>
        <w:t>c/o Hawkins, Inc.</w:t>
      </w:r>
    </w:p>
    <w:p>
      <w:pPr>
        <w:spacing w:after="0" w:line="9" w:lineRule="exact"/>
        <w:rPr>
          <w:rFonts w:ascii="Arial" w:cs="Arial" w:eastAsia="Arial" w:hAnsi="Arial"/>
          <w:sz w:val="18"/>
          <w:szCs w:val="18"/>
          <w:color w:val="auto"/>
        </w:rPr>
      </w:pPr>
    </w:p>
    <w:p>
      <w:pPr>
        <w:ind w:left="900" w:right="8520"/>
        <w:spacing w:after="0" w:line="352" w:lineRule="auto"/>
        <w:rPr>
          <w:rFonts w:ascii="Arial" w:cs="Arial" w:eastAsia="Arial" w:hAnsi="Arial"/>
          <w:sz w:val="18"/>
          <w:szCs w:val="18"/>
          <w:color w:val="auto"/>
        </w:rPr>
      </w:pPr>
      <w:r>
        <w:rPr>
          <w:rFonts w:ascii="Arial" w:cs="Arial" w:eastAsia="Arial" w:hAnsi="Arial"/>
          <w:sz w:val="15"/>
          <w:szCs w:val="15"/>
          <w:color w:val="auto"/>
        </w:rPr>
        <w:t>3100 East Hennepin Avenue Minneapolis, MN 55413</w:t>
      </w: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Minnesota</w:t>
      </w:r>
    </w:p>
    <w:p>
      <w:pPr>
        <w:spacing w:after="0" w:line="8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Common Stock, Par Value $.05 per share</w:t>
      </w:r>
    </w:p>
    <w:p>
      <w:pPr>
        <w:spacing w:after="0" w:line="83" w:lineRule="exact"/>
        <w:rPr>
          <w:rFonts w:ascii="Arial" w:cs="Arial" w:eastAsia="Arial" w:hAnsi="Arial"/>
          <w:sz w:val="18"/>
          <w:szCs w:val="18"/>
          <w:color w:val="auto"/>
        </w:rPr>
      </w:pPr>
    </w:p>
    <w:p>
      <w:pPr>
        <w:ind w:left="900" w:right="9360" w:hanging="446"/>
        <w:spacing w:after="0" w:line="332" w:lineRule="auto"/>
        <w:tabs>
          <w:tab w:leader="none" w:pos="897"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 240.13d-1(b) or 240.13d-2(b) or (c), check whether the person filing is a:</w:t>
      </w:r>
    </w:p>
    <w:p>
      <w:pPr>
        <w:spacing w:after="0" w:line="185" w:lineRule="exact"/>
        <w:rPr>
          <w:sz w:val="20"/>
          <w:szCs w:val="20"/>
          <w:color w:val="auto"/>
        </w:rPr>
      </w:pPr>
    </w:p>
    <w:p>
      <w:pPr>
        <w:ind w:left="320" w:hanging="312"/>
        <w:spacing w:after="0" w:line="207" w:lineRule="exact"/>
        <w:tabs>
          <w:tab w:leader="none" w:pos="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96" w:lineRule="exact"/>
        <w:rPr>
          <w:sz w:val="20"/>
          <w:szCs w:val="20"/>
          <w:color w:val="auto"/>
        </w:rPr>
      </w:pPr>
    </w:p>
    <w:p>
      <w:pPr>
        <w:ind w:left="1140" w:hanging="237"/>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beneficially owned: 1,168,139.</w:t>
      </w:r>
    </w:p>
    <w:p>
      <w:pPr>
        <w:spacing w:after="0" w:line="217" w:lineRule="exact"/>
        <w:rPr>
          <w:rFonts w:ascii="Arial" w:cs="Arial" w:eastAsia="Arial" w:hAnsi="Arial"/>
          <w:sz w:val="18"/>
          <w:szCs w:val="18"/>
          <w:color w:val="auto"/>
        </w:rPr>
      </w:pPr>
    </w:p>
    <w:p>
      <w:pPr>
        <w:ind w:left="460" w:hanging="446"/>
        <w:spacing w:after="0" w:line="290" w:lineRule="auto"/>
        <w:rPr>
          <w:rFonts w:ascii="Arial" w:cs="Arial" w:eastAsia="Arial" w:hAnsi="Arial"/>
          <w:sz w:val="18"/>
          <w:szCs w:val="18"/>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The Trustee of the Hawkins, Inc. Employee Stock Ownership Plan and Trust (the “ESOP”) is Charles Schwab Trust Company.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-995045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Percent of class: 11.0%.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1,168,139.</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1,168,139.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96" w:lineRule="exact"/>
        <w:rPr>
          <w:sz w:val="20"/>
          <w:szCs w:val="20"/>
          <w:color w:val="auto"/>
        </w:rPr>
      </w:pPr>
    </w:p>
    <w:p>
      <w:pPr>
        <w:ind w:right="180" w:firstLine="673"/>
        <w:spacing w:after="0" w:line="268"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20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4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 Certification</w:t>
      </w:r>
    </w:p>
    <w:p>
      <w:pPr>
        <w:spacing w:after="0" w:line="21"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00" w:type="dxa"/>
            <w:vAlign w:val="bottom"/>
          </w:tcPr>
          <w:p>
            <w:pPr>
              <w:spacing w:after="0"/>
              <w:rPr>
                <w:sz w:val="19"/>
                <w:szCs w:val="19"/>
                <w:color w:val="auto"/>
              </w:rPr>
            </w:pPr>
          </w:p>
        </w:tc>
        <w:tc>
          <w:tcPr>
            <w:tcW w:w="7720" w:type="dxa"/>
            <w:vAlign w:val="bottom"/>
            <w:gridSpan w:val="2"/>
          </w:tcPr>
          <w:p>
            <w:pPr>
              <w:ind w:left="2220"/>
              <w:spacing w:after="0"/>
              <w:rPr>
                <w:sz w:val="20"/>
                <w:szCs w:val="20"/>
                <w:color w:val="auto"/>
              </w:rPr>
            </w:pPr>
            <w:r>
              <w:rPr>
                <w:rFonts w:ascii="Arial" w:cs="Arial" w:eastAsia="Arial" w:hAnsi="Arial"/>
                <w:sz w:val="18"/>
                <w:szCs w:val="18"/>
                <w:b w:val="1"/>
                <w:bCs w:val="1"/>
                <w:color w:val="auto"/>
              </w:rPr>
              <w:t>HAWKINS, INC. EMPLOYEE STOCK OWNERSHIP TRUST</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February 13, 2012</w:t>
            </w: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HAWKINS, INC., AS ADMINISTRATOR</w:t>
            </w:r>
          </w:p>
        </w:tc>
      </w:tr>
      <w:tr>
        <w:trPr>
          <w:trHeight w:val="433"/>
        </w:trPr>
        <w:tc>
          <w:tcPr>
            <w:tcW w:w="3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Kathleen P. Pepski</w:t>
            </w:r>
          </w:p>
        </w:tc>
      </w:tr>
      <w:tr>
        <w:trPr>
          <w:trHeight w:val="202"/>
        </w:trPr>
        <w:tc>
          <w:tcPr>
            <w:tcW w:w="3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40" w:type="dxa"/>
            <w:vAlign w:val="bottom"/>
          </w:tcPr>
          <w:p>
            <w:pPr>
              <w:ind w:left="100"/>
              <w:spacing w:after="0" w:line="202" w:lineRule="exact"/>
              <w:rPr>
                <w:sz w:val="20"/>
                <w:szCs w:val="20"/>
                <w:color w:val="auto"/>
              </w:rPr>
            </w:pPr>
            <w:r>
              <w:rPr>
                <w:rFonts w:ascii="Arial" w:cs="Arial" w:eastAsia="Arial" w:hAnsi="Arial"/>
                <w:sz w:val="18"/>
                <w:szCs w:val="18"/>
                <w:color w:val="auto"/>
              </w:rPr>
              <w:t>Kathleen P. Pepski</w:t>
            </w:r>
          </w:p>
        </w:tc>
      </w:tr>
      <w:tr>
        <w:trPr>
          <w:trHeight w:val="222"/>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Chief Financial Officer, and Treasurer</w:t>
            </w:r>
          </w:p>
        </w:tc>
      </w:tr>
      <w:tr>
        <w:trPr>
          <w:trHeight w:val="365"/>
        </w:trPr>
        <w:tc>
          <w:tcPr>
            <w:tcW w:w="3700" w:type="dxa"/>
            <w:vAlign w:val="bottom"/>
          </w:tcPr>
          <w:p>
            <w:pPr>
              <w:spacing w:after="0"/>
              <w:rPr>
                <w:sz w:val="24"/>
                <w:szCs w:val="24"/>
                <w:color w:val="auto"/>
              </w:rPr>
            </w:pPr>
          </w:p>
        </w:tc>
        <w:tc>
          <w:tcPr>
            <w:tcW w:w="2480" w:type="dxa"/>
            <w:vAlign w:val="bottom"/>
          </w:tcPr>
          <w:p>
            <w:pPr>
              <w:jc w:val="right"/>
              <w:ind w:right="332"/>
              <w:spacing w:after="0"/>
              <w:rPr>
                <w:sz w:val="20"/>
                <w:szCs w:val="20"/>
                <w:color w:val="auto"/>
              </w:rPr>
            </w:pPr>
            <w:r>
              <w:rPr>
                <w:rFonts w:ascii="Arial" w:cs="Arial" w:eastAsia="Arial" w:hAnsi="Arial"/>
                <w:sz w:val="18"/>
                <w:szCs w:val="18"/>
                <w:color w:val="auto"/>
              </w:rPr>
              <w:t>5</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2019-12-09T06:47:35Z</dcterms:created>
  <dcterms:modified xsi:type="dcterms:W3CDTF">2019-12-09T06:47:35Z</dcterms:modified>
</cp:coreProperties>
</file>