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Oldenkamp Jeffrey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VP AND CFO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5,841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42.57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63,912.408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9"/>
                <w:vertAlign w:val="superscript"/>
              </w:rPr>
              <w:t>(1)(2)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957.3394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13.564 shares acquired on March 4, 2022 pursuant to the Issuer's dividend reinvestment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Form 4 filed on February 15, 2022 erroneously overstated the amount of shares purchased pursuant to the Issuer's employee stock purchase plan by 133 shares. This has been corrected.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26669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2022-04-13T08:07:26Z</dcterms:created>
  <dcterms:modified xsi:type="dcterms:W3CDTF">2022-04-13T08:07:26Z</dcterms:modified>
</cp:coreProperties>
</file>