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0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0D0E00"/>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0D0E00"/>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0D0E00"/>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225425</wp:posOffset>
            </wp:positionV>
            <wp:extent cx="147066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0D0E00"/>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93980</wp:posOffset>
            </wp:positionV>
            <wp:extent cx="14706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0D0E00"/>
        </w:rPr>
        <w:t>QUARTERLY REPORT PURSUANT TO SECTION 13 OR 15(d) OF THE</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0D0E00"/>
        </w:rPr>
        <w:t>SECURITIES EXCHANGE ACT OF 1934</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0D0E00"/>
        </w:rPr>
        <w:t>For the quarterly period ended June 30, 2010</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0D0E00"/>
        </w:rPr>
        <w:t>Commission file number 0-7647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231775</wp:posOffset>
            </wp:positionV>
            <wp:extent cx="14706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0D0E00"/>
        </w:rPr>
        <w:t>HAWKINS,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color w:val="0D0E00"/>
        </w:rPr>
        <w:t>(Exact name of registrant as specified in its charter)</w:t>
      </w:r>
    </w:p>
    <w:p>
      <w:pPr>
        <w:sectPr>
          <w:pgSz w:w="11900" w:h="16838" w:orient="portrait"/>
          <w:cols w:equalWidth="0" w:num="1">
            <w:col w:w="11440"/>
          </w:cols>
          <w:pgMar w:left="240" w:top="476" w:right="219" w:bottom="1440" w:gutter="0" w:footer="0" w:header="0"/>
        </w:sectPr>
      </w:pPr>
    </w:p>
    <w:p>
      <w:pPr>
        <w:spacing w:after="0" w:line="223" w:lineRule="exact"/>
        <w:rPr>
          <w:sz w:val="24"/>
          <w:szCs w:val="24"/>
          <w:color w:val="auto"/>
        </w:rPr>
      </w:pPr>
    </w:p>
    <w:p>
      <w:pPr>
        <w:ind w:left="2200"/>
        <w:spacing w:after="0"/>
        <w:rPr>
          <w:sz w:val="20"/>
          <w:szCs w:val="20"/>
          <w:color w:val="auto"/>
        </w:rPr>
      </w:pPr>
      <w:r>
        <w:rPr>
          <w:rFonts w:ascii="Arial" w:cs="Arial" w:eastAsia="Arial" w:hAnsi="Arial"/>
          <w:sz w:val="22"/>
          <w:szCs w:val="22"/>
          <w:b w:val="1"/>
          <w:bCs w:val="1"/>
          <w:color w:val="0D0E00"/>
        </w:rPr>
        <w:t>MINNESOTA</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spacing w:after="0"/>
        <w:rPr>
          <w:sz w:val="20"/>
          <w:szCs w:val="20"/>
          <w:color w:val="auto"/>
        </w:rPr>
      </w:pPr>
      <w:r>
        <w:rPr>
          <w:rFonts w:ascii="Arial" w:cs="Arial" w:eastAsia="Arial" w:hAnsi="Arial"/>
          <w:sz w:val="19"/>
          <w:szCs w:val="19"/>
          <w:b w:val="1"/>
          <w:bCs w:val="1"/>
          <w:color w:val="0D0E00"/>
        </w:rPr>
        <w:t>41-0771293</w:t>
      </w:r>
    </w:p>
    <w:p>
      <w:pPr>
        <w:spacing w:after="0" w:line="62" w:lineRule="exact"/>
        <w:rPr>
          <w:sz w:val="24"/>
          <w:szCs w:val="24"/>
          <w:color w:val="auto"/>
        </w:rPr>
      </w:pPr>
    </w:p>
    <w:p>
      <w:pPr>
        <w:sectPr>
          <w:pgSz w:w="11900" w:h="16838" w:orient="portrait"/>
          <w:cols w:equalWidth="0" w:num="2">
            <w:col w:w="7320" w:space="720"/>
            <w:col w:w="3400"/>
          </w:cols>
          <w:pgMar w:left="240" w:top="476" w:right="219" w:bottom="1440" w:gutter="0" w:footer="0" w:header="0"/>
          <w:type w:val="continuous"/>
        </w:sectPr>
      </w:pPr>
    </w:p>
    <w:p>
      <w:pPr>
        <w:ind w:left="1820"/>
        <w:spacing w:after="0"/>
        <w:rPr>
          <w:sz w:val="20"/>
          <w:szCs w:val="20"/>
          <w:color w:val="auto"/>
        </w:rPr>
      </w:pPr>
      <w:r>
        <w:rPr>
          <w:rFonts w:ascii="Arial" w:cs="Arial" w:eastAsia="Arial" w:hAnsi="Arial"/>
          <w:sz w:val="16"/>
          <w:szCs w:val="16"/>
          <w:color w:val="0D0E00"/>
        </w:rPr>
        <w:t>(State or other jurisdiction of</w:t>
      </w:r>
    </w:p>
    <w:p>
      <w:pPr>
        <w:spacing w:after="0" w:line="22" w:lineRule="exact"/>
        <w:rPr>
          <w:sz w:val="24"/>
          <w:szCs w:val="24"/>
          <w:color w:val="auto"/>
        </w:rPr>
      </w:pPr>
    </w:p>
    <w:p>
      <w:pPr>
        <w:ind w:left="1780"/>
        <w:spacing w:after="0"/>
        <w:rPr>
          <w:sz w:val="20"/>
          <w:szCs w:val="20"/>
          <w:color w:val="auto"/>
        </w:rPr>
      </w:pPr>
      <w:r>
        <w:rPr>
          <w:rFonts w:ascii="Arial" w:cs="Arial" w:eastAsia="Arial" w:hAnsi="Arial"/>
          <w:sz w:val="16"/>
          <w:szCs w:val="16"/>
          <w:color w:val="0D0E00"/>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0D0E00"/>
        </w:rPr>
        <w:t>(I.R.S. Employer Identification No.)</w:t>
      </w:r>
    </w:p>
    <w:p>
      <w:pPr>
        <w:spacing w:after="0" w:line="394" w:lineRule="exact"/>
        <w:rPr>
          <w:sz w:val="24"/>
          <w:szCs w:val="24"/>
          <w:color w:val="auto"/>
        </w:rPr>
      </w:pPr>
    </w:p>
    <w:p>
      <w:pPr>
        <w:sectPr>
          <w:pgSz w:w="11900" w:h="16838" w:orient="portrait"/>
          <w:cols w:equalWidth="0" w:num="2">
            <w:col w:w="6540" w:space="720"/>
            <w:col w:w="4180"/>
          </w:cols>
          <w:pgMar w:left="240" w:top="476" w:right="219" w:bottom="1440" w:gutter="0" w:footer="0" w:header="0"/>
          <w:type w:val="continuous"/>
        </w:sectPr>
      </w:pPr>
    </w:p>
    <w:p>
      <w:pPr>
        <w:spacing w:after="0" w:line="48"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0D0E00"/>
        </w:rPr>
        <w:t>3100 EAST HENNEPIN AVENUE, MINNEAPOLIS, MINNESOTA 55413</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0D0E00"/>
        </w:rPr>
        <w:t>(Address of principal executive offices, including zip code)</w:t>
      </w:r>
    </w:p>
    <w:p>
      <w:pPr>
        <w:spacing w:after="0" w:line="223"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0D0E00"/>
        </w:rPr>
        <w:t>(612) 331-6910</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0D0E00"/>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97155</wp:posOffset>
            </wp:positionV>
            <wp:extent cx="147066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right="500"/>
        <w:spacing w:after="0" w:line="264" w:lineRule="auto"/>
        <w:rPr>
          <w:sz w:val="20"/>
          <w:szCs w:val="20"/>
          <w:color w:val="auto"/>
        </w:rPr>
      </w:pPr>
      <w:r>
        <w:rPr>
          <w:rFonts w:ascii="Arial" w:cs="Arial" w:eastAsia="Arial" w:hAnsi="Arial"/>
          <w:sz w:val="18"/>
          <w:szCs w:val="18"/>
          <w:color w:val="0D0E0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08" w:lineRule="exact"/>
        <w:rPr>
          <w:sz w:val="24"/>
          <w:szCs w:val="24"/>
          <w:color w:val="auto"/>
        </w:rPr>
      </w:pPr>
    </w:p>
    <w:p>
      <w:pPr>
        <w:jc w:val="both"/>
        <w:ind w:right="60"/>
        <w:spacing w:after="0" w:line="264" w:lineRule="auto"/>
        <w:rPr>
          <w:sz w:val="20"/>
          <w:szCs w:val="20"/>
          <w:color w:val="auto"/>
        </w:rPr>
      </w:pPr>
      <w:r>
        <w:rPr>
          <w:rFonts w:ascii="Arial" w:cs="Arial" w:eastAsia="Arial" w:hAnsi="Arial"/>
          <w:sz w:val="18"/>
          <w:szCs w:val="18"/>
          <w:color w:val="0D0E00"/>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o NO o</w:t>
      </w:r>
    </w:p>
    <w:p>
      <w:pPr>
        <w:spacing w:after="0" w:line="208" w:lineRule="exact"/>
        <w:rPr>
          <w:sz w:val="24"/>
          <w:szCs w:val="24"/>
          <w:color w:val="auto"/>
        </w:rPr>
      </w:pPr>
    </w:p>
    <w:p>
      <w:pPr>
        <w:ind w:right="580"/>
        <w:spacing w:after="0" w:line="277" w:lineRule="auto"/>
        <w:rPr>
          <w:sz w:val="20"/>
          <w:szCs w:val="20"/>
          <w:color w:val="auto"/>
        </w:rPr>
      </w:pPr>
      <w:r>
        <w:rPr>
          <w:rFonts w:ascii="Arial" w:cs="Arial" w:eastAsia="Arial" w:hAnsi="Arial"/>
          <w:sz w:val="18"/>
          <w:szCs w:val="18"/>
          <w:color w:val="0D0E00"/>
        </w:rPr>
        <w:t>Indicate by check mark whether the registrant is a large accelerated filer, an accelerated filer, or a non-accelerated filer (as defined in Rule 12b-2 of the Exchange Act).</w:t>
      </w:r>
    </w:p>
    <w:p>
      <w:pPr>
        <w:spacing w:after="0" w:line="197" w:lineRule="exact"/>
        <w:rPr>
          <w:sz w:val="24"/>
          <w:szCs w:val="24"/>
          <w:color w:val="auto"/>
        </w:rPr>
      </w:pPr>
    </w:p>
    <w:p>
      <w:pPr>
        <w:spacing w:after="0"/>
        <w:tabs>
          <w:tab w:leader="none" w:pos="2040" w:val="left"/>
          <w:tab w:leader="none" w:pos="3700" w:val="left"/>
          <w:tab w:leader="none" w:pos="5660" w:val="left"/>
        </w:tabs>
        <w:rPr>
          <w:sz w:val="20"/>
          <w:szCs w:val="20"/>
          <w:color w:val="auto"/>
        </w:rPr>
      </w:pPr>
      <w:r>
        <w:rPr>
          <w:rFonts w:ascii="Arial" w:cs="Arial" w:eastAsia="Arial" w:hAnsi="Arial"/>
          <w:sz w:val="18"/>
          <w:szCs w:val="18"/>
          <w:color w:val="0D0E00"/>
        </w:rPr>
        <w:t>Large Accelerated Filer o</w:t>
        <w:tab/>
        <w:t>Accelerated Filer x</w:t>
        <w:tab/>
        <w:t>Non-Accelerated Filer o</w:t>
      </w:r>
      <w:r>
        <w:rPr>
          <w:sz w:val="20"/>
          <w:szCs w:val="20"/>
          <w:color w:val="auto"/>
        </w:rPr>
        <w:tab/>
      </w:r>
      <w:r>
        <w:rPr>
          <w:rFonts w:ascii="Arial" w:cs="Arial" w:eastAsia="Arial" w:hAnsi="Arial"/>
          <w:sz w:val="16"/>
          <w:szCs w:val="16"/>
          <w:color w:val="0D0E00"/>
        </w:rPr>
        <w:t>Smaller Reporting Company o</w:t>
      </w:r>
    </w:p>
    <w:p>
      <w:pPr>
        <w:spacing w:after="0" w:line="252" w:lineRule="exact"/>
        <w:rPr>
          <w:sz w:val="24"/>
          <w:szCs w:val="24"/>
          <w:color w:val="auto"/>
        </w:rPr>
      </w:pPr>
    </w:p>
    <w:p>
      <w:pPr>
        <w:spacing w:after="0"/>
        <w:tabs>
          <w:tab w:leader="none" w:pos="8920" w:val="left"/>
        </w:tabs>
        <w:rPr>
          <w:sz w:val="20"/>
          <w:szCs w:val="20"/>
          <w:color w:val="auto"/>
        </w:rPr>
      </w:pPr>
      <w:r>
        <w:rPr>
          <w:rFonts w:ascii="Arial" w:cs="Arial" w:eastAsia="Arial" w:hAnsi="Arial"/>
          <w:sz w:val="17"/>
          <w:szCs w:val="17"/>
          <w:color w:val="0D0E00"/>
        </w:rPr>
        <w:t>Indicate by check mark whether the registrant is a shell company (as defined in Rule 12b-2 of the Exchange Act). YES o</w:t>
      </w:r>
      <w:r>
        <w:rPr>
          <w:sz w:val="20"/>
          <w:szCs w:val="20"/>
          <w:color w:val="auto"/>
        </w:rPr>
        <w:tab/>
      </w:r>
      <w:r>
        <w:rPr>
          <w:rFonts w:ascii="Arial" w:cs="Arial" w:eastAsia="Arial" w:hAnsi="Arial"/>
          <w:sz w:val="16"/>
          <w:szCs w:val="16"/>
          <w:color w:val="0D0E00"/>
        </w:rPr>
        <w:t>NO x</w:t>
      </w:r>
    </w:p>
    <w:p>
      <w:pPr>
        <w:spacing w:after="0" w:line="264" w:lineRule="exact"/>
        <w:rPr>
          <w:sz w:val="24"/>
          <w:szCs w:val="24"/>
          <w:color w:val="auto"/>
        </w:rPr>
      </w:pPr>
    </w:p>
    <w:p>
      <w:pPr>
        <w:spacing w:after="0"/>
        <w:rPr>
          <w:sz w:val="20"/>
          <w:szCs w:val="20"/>
          <w:color w:val="auto"/>
        </w:rPr>
      </w:pPr>
      <w:r>
        <w:rPr>
          <w:rFonts w:ascii="Arial" w:cs="Arial" w:eastAsia="Arial" w:hAnsi="Arial"/>
          <w:sz w:val="18"/>
          <w:szCs w:val="18"/>
          <w:color w:val="0D0E00"/>
        </w:rPr>
        <w:t>Indicate the number of shares outstanding of each of the issuer’s classes of common stock, as of the latest practicable date.</w:t>
      </w:r>
    </w:p>
    <w:p>
      <w:pPr>
        <w:spacing w:after="0" w:line="244"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59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0D0E00"/>
                <w:w w:val="96"/>
              </w:rPr>
              <w:t>CLASS</w:t>
            </w:r>
          </w:p>
        </w:tc>
        <w:tc>
          <w:tcPr>
            <w:tcW w:w="552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0D0E00"/>
                <w:w w:val="99"/>
              </w:rPr>
              <w:t>OUTSTANDING AT JULY 29, 2010</w:t>
            </w:r>
          </w:p>
        </w:tc>
        <w:tc>
          <w:tcPr>
            <w:tcW w:w="20" w:type="dxa"/>
            <w:vAlign w:val="bottom"/>
          </w:tcPr>
          <w:p>
            <w:pPr>
              <w:spacing w:after="0"/>
              <w:rPr>
                <w:sz w:val="14"/>
                <w:szCs w:val="14"/>
                <w:color w:val="auto"/>
              </w:rPr>
            </w:pPr>
          </w:p>
        </w:tc>
      </w:tr>
      <w:tr>
        <w:trPr>
          <w:trHeight w:val="224"/>
        </w:trPr>
        <w:tc>
          <w:tcPr>
            <w:tcW w:w="5900" w:type="dxa"/>
            <w:vAlign w:val="bottom"/>
          </w:tcPr>
          <w:p>
            <w:pPr>
              <w:jc w:val="center"/>
              <w:ind w:right="79"/>
              <w:spacing w:after="0"/>
              <w:rPr>
                <w:sz w:val="20"/>
                <w:szCs w:val="20"/>
                <w:color w:val="auto"/>
              </w:rPr>
            </w:pPr>
            <w:r>
              <w:rPr>
                <w:rFonts w:ascii="Arial" w:cs="Arial" w:eastAsia="Arial" w:hAnsi="Arial"/>
                <w:sz w:val="18"/>
                <w:szCs w:val="18"/>
                <w:color w:val="0D0E00"/>
                <w:w w:val="89"/>
              </w:rPr>
              <w:t>Common Stock, par value $.05 per share</w:t>
            </w:r>
          </w:p>
        </w:tc>
        <w:tc>
          <w:tcPr>
            <w:tcW w:w="5520" w:type="dxa"/>
            <w:vAlign w:val="bottom"/>
          </w:tcPr>
          <w:p>
            <w:pPr>
              <w:jc w:val="right"/>
              <w:ind w:right="2359"/>
              <w:spacing w:after="0"/>
              <w:rPr>
                <w:sz w:val="20"/>
                <w:szCs w:val="20"/>
                <w:color w:val="auto"/>
              </w:rPr>
            </w:pPr>
            <w:r>
              <w:rPr>
                <w:rFonts w:ascii="Arial" w:cs="Arial" w:eastAsia="Arial" w:hAnsi="Arial"/>
                <w:sz w:val="18"/>
                <w:szCs w:val="18"/>
                <w:color w:val="0D0E00"/>
              </w:rPr>
              <w:t>10,308,958</w:t>
            </w:r>
          </w:p>
        </w:tc>
        <w:tc>
          <w:tcPr>
            <w:tcW w:w="20" w:type="dxa"/>
            <w:vAlign w:val="bottom"/>
          </w:tcPr>
          <w:p>
            <w:pPr>
              <w:spacing w:after="0"/>
              <w:rPr>
                <w:sz w:val="19"/>
                <w:szCs w:val="19"/>
                <w:color w:val="auto"/>
              </w:rPr>
            </w:pPr>
          </w:p>
        </w:tc>
      </w:tr>
      <w:tr>
        <w:trPr>
          <w:trHeight w:val="347"/>
        </w:trPr>
        <w:tc>
          <w:tcPr>
            <w:tcW w:w="590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1"/>
        </w:trPr>
        <w:tc>
          <w:tcPr>
            <w:tcW w:w="5900" w:type="dxa"/>
            <w:vAlign w:val="bottom"/>
            <w:shd w:val="clear" w:color="auto" w:fill="000000"/>
          </w:tcPr>
          <w:p>
            <w:pPr>
              <w:spacing w:after="0"/>
              <w:rPr>
                <w:sz w:val="6"/>
                <w:szCs w:val="6"/>
                <w:color w:val="auto"/>
              </w:rPr>
            </w:pPr>
          </w:p>
        </w:tc>
        <w:tc>
          <w:tcPr>
            <w:tcW w:w="5520" w:type="dxa"/>
            <w:vAlign w:val="bottom"/>
            <w:shd w:val="clear" w:color="auto" w:fill="000000"/>
          </w:tcPr>
          <w:p>
            <w:pPr>
              <w:spacing w:after="0"/>
              <w:rPr>
                <w:sz w:val="6"/>
                <w:szCs w:val="6"/>
                <w:color w:val="auto"/>
              </w:rPr>
            </w:pPr>
          </w:p>
        </w:tc>
        <w:tc>
          <w:tcPr>
            <w:tcW w:w="20" w:type="dxa"/>
            <w:vAlign w:val="bottom"/>
          </w:tcPr>
          <w:p>
            <w:pPr>
              <w:spacing w:after="0"/>
              <w:rPr>
                <w:sz w:val="6"/>
                <w:szCs w:val="6"/>
                <w:color w:val="auto"/>
              </w:rPr>
            </w:pPr>
          </w:p>
        </w:tc>
      </w:tr>
      <w:tr>
        <w:trPr>
          <w:trHeight w:val="456"/>
        </w:trPr>
        <w:tc>
          <w:tcPr>
            <w:tcW w:w="5900" w:type="dxa"/>
            <w:vAlign w:val="bottom"/>
            <w:tcBorders>
              <w:bottom w:val="single" w:sz="8" w:color="808080"/>
            </w:tcBorders>
          </w:tcPr>
          <w:p>
            <w:pPr>
              <w:spacing w:after="0"/>
              <w:rPr>
                <w:sz w:val="24"/>
                <w:szCs w:val="24"/>
                <w:color w:val="auto"/>
              </w:rPr>
            </w:pPr>
          </w:p>
        </w:tc>
        <w:tc>
          <w:tcPr>
            <w:tcW w:w="55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476" w:right="219" w:bottom="1440" w:gutter="0" w:footer="0" w:header="0"/>
          <w:type w:val="continuous"/>
        </w:sectPr>
      </w:pPr>
    </w:p>
    <w:bookmarkStart w:id="1" w:name="page2"/>
    <w:bookmarkEnd w:id="1"/>
    <w:p>
      <w:pPr>
        <w:jc w:val="center"/>
        <w:ind w:right="-319"/>
        <w:spacing w:after="0"/>
        <w:rPr>
          <w:sz w:val="20"/>
          <w:szCs w:val="20"/>
          <w:color w:val="auto"/>
        </w:rPr>
      </w:pPr>
      <w:r>
        <w:rPr>
          <w:rFonts w:ascii="Arial" w:cs="Arial" w:eastAsia="Arial" w:hAnsi="Arial"/>
          <w:sz w:val="22"/>
          <w:szCs w:val="22"/>
          <w:b w:val="1"/>
          <w:bCs w:val="1"/>
          <w:color w:val="0D0E00"/>
        </w:rPr>
        <w:t>HAWKINS, INC.</w:t>
      </w:r>
    </w:p>
    <w:p>
      <w:pPr>
        <w:spacing w:after="0" w:line="14" w:lineRule="exact"/>
        <w:rPr>
          <w:sz w:val="20"/>
          <w:szCs w:val="20"/>
          <w:color w:val="auto"/>
        </w:rPr>
      </w:pPr>
    </w:p>
    <w:p>
      <w:pPr>
        <w:jc w:val="center"/>
        <w:ind w:right="-319"/>
        <w:spacing w:after="0"/>
        <w:rPr>
          <w:sz w:val="20"/>
          <w:szCs w:val="20"/>
          <w:color w:val="auto"/>
        </w:rPr>
      </w:pPr>
      <w:r>
        <w:rPr>
          <w:rFonts w:ascii="Arial" w:cs="Arial" w:eastAsia="Arial" w:hAnsi="Arial"/>
          <w:sz w:val="22"/>
          <w:szCs w:val="22"/>
          <w:b w:val="1"/>
          <w:bCs w:val="1"/>
          <w:color w:val="0D0E00"/>
        </w:rPr>
        <w:t>INDEX TO FORM 10-Q</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20" w:type="dxa"/>
            <w:vAlign w:val="bottom"/>
          </w:tcPr>
          <w:p>
            <w:pPr>
              <w:ind w:left="1440"/>
              <w:spacing w:after="0"/>
              <w:rPr>
                <w:sz w:val="20"/>
                <w:szCs w:val="20"/>
                <w:color w:val="auto"/>
              </w:rPr>
            </w:pPr>
            <w:r>
              <w:rPr>
                <w:rFonts w:ascii="Arial" w:cs="Arial" w:eastAsia="Arial" w:hAnsi="Arial"/>
                <w:sz w:val="18"/>
                <w:szCs w:val="18"/>
                <w:b w:val="1"/>
                <w:bCs w:val="1"/>
                <w:color w:val="0D0E00"/>
                <w:w w:val="83"/>
              </w:rPr>
              <w:t>Page</w:t>
            </w:r>
          </w:p>
        </w:tc>
      </w:tr>
      <w:tr>
        <w:trPr>
          <w:trHeight w:val="270"/>
        </w:trPr>
        <w:tc>
          <w:tcPr>
            <w:tcW w:w="1380" w:type="dxa"/>
            <w:vAlign w:val="bottom"/>
          </w:tcPr>
          <w:p>
            <w:pPr>
              <w:spacing w:after="0"/>
              <w:rPr>
                <w:sz w:val="20"/>
                <w:szCs w:val="20"/>
                <w:color w:val="auto"/>
              </w:rPr>
            </w:pPr>
            <w:r>
              <w:rPr>
                <w:rFonts w:ascii="Arial" w:cs="Arial" w:eastAsia="Arial" w:hAnsi="Arial"/>
                <w:sz w:val="18"/>
                <w:szCs w:val="18"/>
                <w:b w:val="1"/>
                <w:bCs w:val="1"/>
                <w:color w:val="0D0E00"/>
              </w:rPr>
              <w:t>PART I.</w:t>
            </w:r>
          </w:p>
        </w:tc>
        <w:tc>
          <w:tcPr>
            <w:tcW w:w="7900" w:type="dxa"/>
            <w:vAlign w:val="bottom"/>
            <w:gridSpan w:val="9"/>
          </w:tcPr>
          <w:p>
            <w:pPr>
              <w:spacing w:after="0"/>
              <w:rPr>
                <w:sz w:val="20"/>
                <w:szCs w:val="20"/>
                <w:color w:val="auto"/>
              </w:rPr>
            </w:pPr>
            <w:r>
              <w:rPr>
                <w:rFonts w:ascii="Arial" w:cs="Arial" w:eastAsia="Arial" w:hAnsi="Arial"/>
                <w:sz w:val="18"/>
                <w:szCs w:val="18"/>
                <w:b w:val="1"/>
                <w:bCs w:val="1"/>
                <w:color w:val="0D0E00"/>
              </w:rPr>
              <w:t>FINANCIAL INFORMATION</w:t>
            </w:r>
          </w:p>
        </w:tc>
        <w:tc>
          <w:tcPr>
            <w:tcW w:w="1820" w:type="dxa"/>
            <w:vAlign w:val="bottom"/>
          </w:tcPr>
          <w:p>
            <w:pPr>
              <w:spacing w:after="0"/>
              <w:rPr>
                <w:sz w:val="23"/>
                <w:szCs w:val="23"/>
                <w:color w:val="auto"/>
              </w:rPr>
            </w:pPr>
          </w:p>
        </w:tc>
      </w:tr>
      <w:tr>
        <w:trPr>
          <w:trHeight w:val="419"/>
        </w:trPr>
        <w:tc>
          <w:tcPr>
            <w:tcW w:w="1380" w:type="dxa"/>
            <w:vAlign w:val="bottom"/>
          </w:tcPr>
          <w:p>
            <w:pPr>
              <w:spacing w:after="0"/>
              <w:rPr>
                <w:sz w:val="20"/>
                <w:szCs w:val="20"/>
                <w:color w:val="auto"/>
              </w:rPr>
            </w:pPr>
            <w:r>
              <w:rPr>
                <w:rFonts w:ascii="Arial" w:cs="Arial" w:eastAsia="Arial" w:hAnsi="Arial"/>
                <w:sz w:val="18"/>
                <w:szCs w:val="18"/>
                <w:color w:val="0D0E00"/>
              </w:rPr>
              <w:t>Item 1.</w:t>
            </w:r>
          </w:p>
        </w:tc>
        <w:tc>
          <w:tcPr>
            <w:tcW w:w="7900" w:type="dxa"/>
            <w:vAlign w:val="bottom"/>
            <w:gridSpan w:val="9"/>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1820" w:type="dxa"/>
            <w:vAlign w:val="bottom"/>
          </w:tcPr>
          <w:p>
            <w:pPr>
              <w:spacing w:after="0"/>
              <w:rPr>
                <w:sz w:val="24"/>
                <w:szCs w:val="24"/>
                <w:color w:val="auto"/>
              </w:rPr>
            </w:pPr>
          </w:p>
        </w:tc>
      </w:tr>
      <w:tr>
        <w:trPr>
          <w:trHeight w:val="20"/>
        </w:trPr>
        <w:tc>
          <w:tcPr>
            <w:tcW w:w="138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466"/>
        </w:trPr>
        <w:tc>
          <w:tcPr>
            <w:tcW w:w="1380" w:type="dxa"/>
            <w:vAlign w:val="bottom"/>
          </w:tcPr>
          <w:p>
            <w:pPr>
              <w:spacing w:after="0"/>
              <w:rPr>
                <w:sz w:val="24"/>
                <w:szCs w:val="24"/>
                <w:color w:val="auto"/>
              </w:rPr>
            </w:pPr>
          </w:p>
        </w:tc>
        <w:tc>
          <w:tcPr>
            <w:tcW w:w="7900" w:type="dxa"/>
            <w:vAlign w:val="bottom"/>
            <w:gridSpan w:val="9"/>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Balance Sheets – June 30, 2010 and March 28, 2010</w:t>
              </w:r>
            </w:hyperlink>
          </w:p>
        </w:tc>
        <w:tc>
          <w:tcPr>
            <w:tcW w:w="1820" w:type="dxa"/>
            <w:vAlign w:val="bottom"/>
          </w:tcPr>
          <w:p>
            <w:pPr>
              <w:jc w:val="center"/>
              <w:ind w:left="1350"/>
              <w:spacing w:after="0"/>
              <w:rPr>
                <w:sz w:val="20"/>
                <w:szCs w:val="20"/>
                <w:color w:val="auto"/>
              </w:rPr>
            </w:pPr>
            <w:r>
              <w:rPr>
                <w:rFonts w:ascii="Arial" w:cs="Arial" w:eastAsia="Arial" w:hAnsi="Arial"/>
                <w:sz w:val="18"/>
                <w:szCs w:val="18"/>
                <w:color w:val="0D0E00"/>
                <w:w w:val="99"/>
              </w:rPr>
              <w:t>3</w:t>
            </w:r>
          </w:p>
        </w:tc>
      </w:tr>
      <w:tr>
        <w:trPr>
          <w:trHeight w:val="20"/>
        </w:trPr>
        <w:tc>
          <w:tcPr>
            <w:tcW w:w="1380" w:type="dxa"/>
            <w:vAlign w:val="bottom"/>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466"/>
        </w:trPr>
        <w:tc>
          <w:tcPr>
            <w:tcW w:w="1380" w:type="dxa"/>
            <w:vAlign w:val="bottom"/>
          </w:tcPr>
          <w:p>
            <w:pPr>
              <w:spacing w:after="0"/>
              <w:rPr>
                <w:sz w:val="24"/>
                <w:szCs w:val="24"/>
                <w:color w:val="auto"/>
              </w:rPr>
            </w:pPr>
          </w:p>
        </w:tc>
        <w:tc>
          <w:tcPr>
            <w:tcW w:w="5880" w:type="dxa"/>
            <w:vAlign w:val="bottom"/>
            <w:tcBorders>
              <w:bottom w:val="single" w:sz="8" w:color="0000FF"/>
            </w:tcBorders>
            <w:gridSpan w:val="6"/>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Condensed Statements of Income – Three Months Ended June 30, 2010 and 2009</w:t>
              </w:r>
            </w:hyperlink>
          </w:p>
        </w:tc>
        <w:tc>
          <w:tcPr>
            <w:tcW w:w="2020" w:type="dxa"/>
            <w:vAlign w:val="bottom"/>
            <w:gridSpan w:val="3"/>
          </w:tcPr>
          <w:p>
            <w:pPr>
              <w:spacing w:after="0"/>
              <w:rPr>
                <w:sz w:val="24"/>
                <w:szCs w:val="24"/>
                <w:color w:val="auto"/>
              </w:rPr>
            </w:pPr>
          </w:p>
        </w:tc>
        <w:tc>
          <w:tcPr>
            <w:tcW w:w="1820" w:type="dxa"/>
            <w:vAlign w:val="bottom"/>
          </w:tcPr>
          <w:p>
            <w:pPr>
              <w:jc w:val="center"/>
              <w:ind w:left="1350"/>
              <w:spacing w:after="0"/>
              <w:rPr>
                <w:sz w:val="20"/>
                <w:szCs w:val="20"/>
                <w:color w:val="auto"/>
              </w:rPr>
            </w:pPr>
            <w:r>
              <w:rPr>
                <w:rFonts w:ascii="Arial" w:cs="Arial" w:eastAsia="Arial" w:hAnsi="Arial"/>
                <w:sz w:val="18"/>
                <w:szCs w:val="18"/>
                <w:color w:val="0D0E00"/>
                <w:w w:val="99"/>
              </w:rPr>
              <w:t>4</w:t>
            </w:r>
          </w:p>
        </w:tc>
      </w:tr>
      <w:tr>
        <w:trPr>
          <w:trHeight w:val="466"/>
        </w:trPr>
        <w:tc>
          <w:tcPr>
            <w:tcW w:w="1380" w:type="dxa"/>
            <w:vAlign w:val="bottom"/>
          </w:tcPr>
          <w:p>
            <w:pPr>
              <w:spacing w:after="0"/>
              <w:rPr>
                <w:sz w:val="24"/>
                <w:szCs w:val="24"/>
                <w:color w:val="auto"/>
              </w:rPr>
            </w:pPr>
          </w:p>
        </w:tc>
        <w:tc>
          <w:tcPr>
            <w:tcW w:w="7900" w:type="dxa"/>
            <w:vAlign w:val="bottom"/>
            <w:gridSpan w:val="9"/>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Statements of Cash Flows – Three Months Ended June 30, 2010 and 2009</w:t>
              </w:r>
            </w:hyperlink>
          </w:p>
        </w:tc>
        <w:tc>
          <w:tcPr>
            <w:tcW w:w="1820" w:type="dxa"/>
            <w:vAlign w:val="bottom"/>
          </w:tcPr>
          <w:p>
            <w:pPr>
              <w:jc w:val="center"/>
              <w:ind w:left="1350"/>
              <w:spacing w:after="0"/>
              <w:rPr>
                <w:sz w:val="20"/>
                <w:szCs w:val="20"/>
                <w:color w:val="auto"/>
              </w:rPr>
            </w:pPr>
            <w:r>
              <w:rPr>
                <w:rFonts w:ascii="Arial" w:cs="Arial" w:eastAsia="Arial" w:hAnsi="Arial"/>
                <w:sz w:val="18"/>
                <w:szCs w:val="18"/>
                <w:color w:val="0D0E00"/>
                <w:w w:val="99"/>
              </w:rPr>
              <w:t>5</w:t>
            </w:r>
          </w:p>
        </w:tc>
      </w:tr>
      <w:tr>
        <w:trPr>
          <w:trHeight w:val="466"/>
        </w:trPr>
        <w:tc>
          <w:tcPr>
            <w:tcW w:w="1380" w:type="dxa"/>
            <w:vAlign w:val="bottom"/>
          </w:tcPr>
          <w:p>
            <w:pPr>
              <w:spacing w:after="0"/>
              <w:rPr>
                <w:sz w:val="24"/>
                <w:szCs w:val="24"/>
                <w:color w:val="auto"/>
              </w:rPr>
            </w:pPr>
          </w:p>
        </w:tc>
        <w:tc>
          <w:tcPr>
            <w:tcW w:w="6180" w:type="dxa"/>
            <w:vAlign w:val="bottom"/>
            <w:tcBorders>
              <w:top w:val="single" w:sz="8" w:color="0000FF"/>
            </w:tcBorders>
            <w:gridSpan w:val="7"/>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Notes to Condensed Financial Statements</w:t>
              </w:r>
            </w:hyperlink>
          </w:p>
        </w:tc>
        <w:tc>
          <w:tcPr>
            <w:tcW w:w="1720" w:type="dxa"/>
            <w:vAlign w:val="bottom"/>
            <w:gridSpan w:val="2"/>
          </w:tcPr>
          <w:p>
            <w:pPr>
              <w:spacing w:after="0"/>
              <w:rPr>
                <w:sz w:val="24"/>
                <w:szCs w:val="24"/>
                <w:color w:val="auto"/>
              </w:rPr>
            </w:pPr>
          </w:p>
        </w:tc>
        <w:tc>
          <w:tcPr>
            <w:tcW w:w="1820" w:type="dxa"/>
            <w:vAlign w:val="bottom"/>
          </w:tcPr>
          <w:p>
            <w:pPr>
              <w:jc w:val="center"/>
              <w:ind w:left="1350"/>
              <w:spacing w:after="0"/>
              <w:rPr>
                <w:sz w:val="20"/>
                <w:szCs w:val="20"/>
                <w:color w:val="auto"/>
              </w:rPr>
            </w:pPr>
            <w:r>
              <w:rPr>
                <w:rFonts w:ascii="Arial" w:cs="Arial" w:eastAsia="Arial" w:hAnsi="Arial"/>
                <w:sz w:val="18"/>
                <w:szCs w:val="18"/>
                <w:color w:val="0D0E00"/>
                <w:w w:val="99"/>
              </w:rPr>
              <w:t>6</w:t>
            </w:r>
          </w:p>
        </w:tc>
      </w:tr>
      <w:tr>
        <w:trPr>
          <w:trHeight w:val="20"/>
        </w:trPr>
        <w:tc>
          <w:tcPr>
            <w:tcW w:w="1380" w:type="dxa"/>
            <w:vAlign w:val="bottom"/>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466"/>
        </w:trPr>
        <w:tc>
          <w:tcPr>
            <w:tcW w:w="1380" w:type="dxa"/>
            <w:vAlign w:val="bottom"/>
          </w:tcPr>
          <w:p>
            <w:pPr>
              <w:spacing w:after="0"/>
              <w:rPr>
                <w:sz w:val="20"/>
                <w:szCs w:val="20"/>
                <w:color w:val="auto"/>
              </w:rPr>
            </w:pPr>
            <w:r>
              <w:rPr>
                <w:rFonts w:ascii="Arial" w:cs="Arial" w:eastAsia="Arial" w:hAnsi="Arial"/>
                <w:sz w:val="18"/>
                <w:szCs w:val="18"/>
                <w:color w:val="0D0E00"/>
              </w:rPr>
              <w:t>Item 2.</w:t>
            </w:r>
          </w:p>
        </w:tc>
        <w:tc>
          <w:tcPr>
            <w:tcW w:w="7900" w:type="dxa"/>
            <w:vAlign w:val="bottom"/>
            <w:gridSpan w:val="9"/>
          </w:tcPr>
          <w:p>
            <w:pPr>
              <w:spacing w:after="0"/>
              <w:rPr>
                <w:rFonts w:ascii="Arial" w:cs="Arial" w:eastAsia="Arial" w:hAnsi="Arial"/>
                <w:sz w:val="18"/>
                <w:szCs w:val="18"/>
                <w:color w:val="0000FF"/>
              </w:rPr>
            </w:pPr>
            <w:hyperlink w:anchor="page11">
              <w:r>
                <w:rPr>
                  <w:rFonts w:ascii="Arial" w:cs="Arial" w:eastAsia="Arial" w:hAnsi="Arial"/>
                  <w:sz w:val="18"/>
                  <w:szCs w:val="18"/>
                  <w:color w:val="0000FF"/>
                </w:rPr>
                <w:t>Management’s Discussion and Analysis of Financial Condition and Results of Operations</w:t>
              </w:r>
            </w:hyperlink>
          </w:p>
        </w:tc>
        <w:tc>
          <w:tcPr>
            <w:tcW w:w="1820" w:type="dxa"/>
            <w:vAlign w:val="bottom"/>
          </w:tcPr>
          <w:p>
            <w:pPr>
              <w:jc w:val="center"/>
              <w:ind w:left="1350"/>
              <w:spacing w:after="0"/>
              <w:rPr>
                <w:sz w:val="20"/>
                <w:szCs w:val="20"/>
                <w:color w:val="auto"/>
              </w:rPr>
            </w:pPr>
            <w:r>
              <w:rPr>
                <w:rFonts w:ascii="Arial" w:cs="Arial" w:eastAsia="Arial" w:hAnsi="Arial"/>
                <w:sz w:val="18"/>
                <w:szCs w:val="18"/>
                <w:color w:val="0D0E00"/>
                <w:w w:val="89"/>
              </w:rPr>
              <w:t>11</w:t>
            </w:r>
          </w:p>
        </w:tc>
      </w:tr>
      <w:tr>
        <w:trPr>
          <w:trHeight w:val="439"/>
        </w:trPr>
        <w:tc>
          <w:tcPr>
            <w:tcW w:w="1380" w:type="dxa"/>
            <w:vAlign w:val="bottom"/>
          </w:tcPr>
          <w:p>
            <w:pPr>
              <w:spacing w:after="0"/>
              <w:rPr>
                <w:sz w:val="20"/>
                <w:szCs w:val="20"/>
                <w:color w:val="auto"/>
              </w:rPr>
            </w:pPr>
            <w:r>
              <w:rPr>
                <w:rFonts w:ascii="Arial" w:cs="Arial" w:eastAsia="Arial" w:hAnsi="Arial"/>
                <w:sz w:val="18"/>
                <w:szCs w:val="18"/>
                <w:color w:val="0D0E00"/>
              </w:rPr>
              <w:t>Item 3.</w:t>
            </w:r>
          </w:p>
        </w:tc>
        <w:tc>
          <w:tcPr>
            <w:tcW w:w="432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1"/>
              </w:rPr>
            </w:pPr>
            <w:hyperlink w:anchor="page14">
              <w:r>
                <w:rPr>
                  <w:rFonts w:ascii="Arial" w:cs="Arial" w:eastAsia="Arial" w:hAnsi="Arial"/>
                  <w:sz w:val="18"/>
                  <w:szCs w:val="18"/>
                  <w:color w:val="0000FF"/>
                  <w:w w:val="91"/>
                </w:rPr>
                <w:t>Quantitative and Qualitative Disclosures about Market Risk</w:t>
              </w:r>
            </w:hyperlink>
          </w:p>
        </w:tc>
        <w:tc>
          <w:tcPr>
            <w:tcW w:w="2140" w:type="dxa"/>
            <w:vAlign w:val="bottom"/>
            <w:tcBorders>
              <w:top w:val="single" w:sz="8" w:color="0000FF"/>
            </w:tcBorders>
            <w:gridSpan w:val="4"/>
          </w:tcPr>
          <w:p>
            <w:pPr>
              <w:spacing w:after="0"/>
              <w:rPr>
                <w:sz w:val="24"/>
                <w:szCs w:val="24"/>
                <w:color w:val="auto"/>
              </w:rPr>
            </w:pPr>
          </w:p>
        </w:tc>
        <w:tc>
          <w:tcPr>
            <w:tcW w:w="1440" w:type="dxa"/>
            <w:vAlign w:val="bottom"/>
          </w:tcPr>
          <w:p>
            <w:pPr>
              <w:spacing w:after="0"/>
              <w:rPr>
                <w:sz w:val="24"/>
                <w:szCs w:val="24"/>
                <w:color w:val="auto"/>
              </w:rPr>
            </w:pPr>
          </w:p>
        </w:tc>
        <w:tc>
          <w:tcPr>
            <w:tcW w:w="1820" w:type="dxa"/>
            <w:vAlign w:val="bottom"/>
          </w:tcPr>
          <w:p>
            <w:pPr>
              <w:jc w:val="center"/>
              <w:ind w:left="1350"/>
              <w:spacing w:after="0"/>
              <w:rPr>
                <w:sz w:val="20"/>
                <w:szCs w:val="20"/>
                <w:color w:val="auto"/>
              </w:rPr>
            </w:pPr>
            <w:r>
              <w:rPr>
                <w:rFonts w:ascii="Arial" w:cs="Arial" w:eastAsia="Arial" w:hAnsi="Arial"/>
                <w:sz w:val="18"/>
                <w:szCs w:val="18"/>
                <w:color w:val="0D0E00"/>
                <w:w w:val="89"/>
              </w:rPr>
              <w:t>14</w:t>
            </w:r>
          </w:p>
        </w:tc>
      </w:tr>
      <w:tr>
        <w:trPr>
          <w:trHeight w:val="439"/>
        </w:trPr>
        <w:tc>
          <w:tcPr>
            <w:tcW w:w="1380" w:type="dxa"/>
            <w:vAlign w:val="bottom"/>
          </w:tcPr>
          <w:p>
            <w:pPr>
              <w:spacing w:after="0"/>
              <w:rPr>
                <w:sz w:val="20"/>
                <w:szCs w:val="20"/>
                <w:color w:val="auto"/>
              </w:rPr>
            </w:pPr>
            <w:r>
              <w:rPr>
                <w:rFonts w:ascii="Arial" w:cs="Arial" w:eastAsia="Arial" w:hAnsi="Arial"/>
                <w:sz w:val="18"/>
                <w:szCs w:val="18"/>
                <w:color w:val="0D0E00"/>
              </w:rPr>
              <w:t>Item 4.</w:t>
            </w:r>
          </w:p>
        </w:tc>
        <w:tc>
          <w:tcPr>
            <w:tcW w:w="1780" w:type="dxa"/>
            <w:vAlign w:val="bottom"/>
            <w:tcBorders>
              <w:bottom w:val="single" w:sz="8" w:color="0000FF"/>
            </w:tcBorders>
            <w:gridSpan w:val="2"/>
          </w:tcPr>
          <w:p>
            <w:pPr>
              <w:spacing w:after="0"/>
              <w:rPr>
                <w:rFonts w:ascii="Arial" w:cs="Arial" w:eastAsia="Arial" w:hAnsi="Arial"/>
                <w:sz w:val="18"/>
                <w:szCs w:val="18"/>
                <w:color w:val="0000FF"/>
                <w:w w:val="88"/>
              </w:rPr>
            </w:pPr>
            <w:hyperlink w:anchor="page14">
              <w:r>
                <w:rPr>
                  <w:rFonts w:ascii="Arial" w:cs="Arial" w:eastAsia="Arial" w:hAnsi="Arial"/>
                  <w:sz w:val="18"/>
                  <w:szCs w:val="18"/>
                  <w:color w:val="0000FF"/>
                  <w:w w:val="88"/>
                </w:rPr>
                <w:t>Controls and Procedures</w:t>
              </w:r>
            </w:hyperlink>
          </w:p>
        </w:tc>
        <w:tc>
          <w:tcPr>
            <w:tcW w:w="6120" w:type="dxa"/>
            <w:vAlign w:val="bottom"/>
            <w:gridSpan w:val="7"/>
          </w:tcPr>
          <w:p>
            <w:pPr>
              <w:spacing w:after="0"/>
              <w:rPr>
                <w:sz w:val="24"/>
                <w:szCs w:val="24"/>
                <w:color w:val="auto"/>
              </w:rPr>
            </w:pPr>
          </w:p>
        </w:tc>
        <w:tc>
          <w:tcPr>
            <w:tcW w:w="1820" w:type="dxa"/>
            <w:vAlign w:val="bottom"/>
          </w:tcPr>
          <w:p>
            <w:pPr>
              <w:jc w:val="center"/>
              <w:ind w:left="1350"/>
              <w:spacing w:after="0"/>
              <w:rPr>
                <w:sz w:val="20"/>
                <w:szCs w:val="20"/>
                <w:color w:val="auto"/>
              </w:rPr>
            </w:pPr>
            <w:r>
              <w:rPr>
                <w:rFonts w:ascii="Arial" w:cs="Arial" w:eastAsia="Arial" w:hAnsi="Arial"/>
                <w:sz w:val="18"/>
                <w:szCs w:val="18"/>
                <w:color w:val="0D0E00"/>
                <w:w w:val="89"/>
              </w:rPr>
              <w:t>14</w:t>
            </w:r>
          </w:p>
        </w:tc>
      </w:tr>
    </w:tbl>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gridSpan w:val="3"/>
          </w:tcPr>
          <w:p>
            <w:pPr>
              <w:spacing w:after="0"/>
              <w:rPr>
                <w:sz w:val="20"/>
                <w:szCs w:val="20"/>
                <w:color w:val="auto"/>
              </w:rPr>
            </w:pPr>
            <w:r>
              <w:rPr>
                <w:rFonts w:ascii="Arial" w:cs="Arial" w:eastAsia="Arial" w:hAnsi="Arial"/>
                <w:sz w:val="18"/>
                <w:szCs w:val="18"/>
                <w:b w:val="1"/>
                <w:bCs w:val="1"/>
                <w:color w:val="0D0E00"/>
              </w:rPr>
              <w:t>PART II.</w:t>
            </w:r>
          </w:p>
        </w:tc>
        <w:tc>
          <w:tcPr>
            <w:tcW w:w="3780" w:type="dxa"/>
            <w:vAlign w:val="bottom"/>
            <w:gridSpan w:val="3"/>
          </w:tcPr>
          <w:p>
            <w:pPr>
              <w:spacing w:after="0"/>
              <w:rPr>
                <w:sz w:val="20"/>
                <w:szCs w:val="20"/>
                <w:color w:val="auto"/>
              </w:rPr>
            </w:pPr>
            <w:r>
              <w:rPr>
                <w:rFonts w:ascii="Arial" w:cs="Arial" w:eastAsia="Arial" w:hAnsi="Arial"/>
                <w:sz w:val="18"/>
                <w:szCs w:val="18"/>
                <w:b w:val="1"/>
                <w:bCs w:val="1"/>
                <w:color w:val="0D0E00"/>
              </w:rPr>
              <w:t>OTHER INFORMATION</w:t>
            </w:r>
          </w:p>
        </w:tc>
        <w:tc>
          <w:tcPr>
            <w:tcW w:w="5840" w:type="dxa"/>
            <w:vAlign w:val="bottom"/>
          </w:tcPr>
          <w:p>
            <w:pPr>
              <w:spacing w:after="0"/>
              <w:rPr>
                <w:sz w:val="20"/>
                <w:szCs w:val="20"/>
                <w:color w:val="auto"/>
              </w:rPr>
            </w:pPr>
          </w:p>
        </w:tc>
      </w:tr>
      <w:tr>
        <w:trPr>
          <w:trHeight w:val="446"/>
        </w:trPr>
        <w:tc>
          <w:tcPr>
            <w:tcW w:w="1380" w:type="dxa"/>
            <w:vAlign w:val="bottom"/>
            <w:gridSpan w:val="3"/>
          </w:tcPr>
          <w:p>
            <w:pPr>
              <w:spacing w:after="0"/>
              <w:rPr>
                <w:sz w:val="20"/>
                <w:szCs w:val="20"/>
                <w:color w:val="auto"/>
              </w:rPr>
            </w:pPr>
            <w:r>
              <w:rPr>
                <w:rFonts w:ascii="Arial" w:cs="Arial" w:eastAsia="Arial" w:hAnsi="Arial"/>
                <w:sz w:val="18"/>
                <w:szCs w:val="18"/>
                <w:color w:val="0D0E00"/>
              </w:rPr>
              <w:t>Item 1A.</w:t>
            </w:r>
          </w:p>
        </w:tc>
        <w:tc>
          <w:tcPr>
            <w:tcW w:w="920" w:type="dxa"/>
            <w:vAlign w:val="bottom"/>
            <w:tcBorders>
              <w:bottom w:val="single" w:sz="8" w:color="0000FF"/>
            </w:tcBorders>
            <w:gridSpan w:val="2"/>
          </w:tcPr>
          <w:p>
            <w:pPr>
              <w:spacing w:after="0"/>
              <w:rPr>
                <w:rFonts w:ascii="Arial" w:cs="Arial" w:eastAsia="Arial" w:hAnsi="Arial"/>
                <w:sz w:val="18"/>
                <w:szCs w:val="18"/>
                <w:color w:val="0000FF"/>
                <w:w w:val="89"/>
              </w:rPr>
            </w:pPr>
            <w:hyperlink w:anchor="page15">
              <w:r>
                <w:rPr>
                  <w:rFonts w:ascii="Arial" w:cs="Arial" w:eastAsia="Arial" w:hAnsi="Arial"/>
                  <w:sz w:val="18"/>
                  <w:szCs w:val="18"/>
                  <w:color w:val="0000FF"/>
                  <w:w w:val="89"/>
                </w:rPr>
                <w:t>Risk Factors</w:t>
              </w:r>
            </w:hyperlink>
          </w:p>
        </w:tc>
        <w:tc>
          <w:tcPr>
            <w:tcW w:w="2860" w:type="dxa"/>
            <w:vAlign w:val="bottom"/>
          </w:tcPr>
          <w:p>
            <w:pPr>
              <w:spacing w:after="0"/>
              <w:rPr>
                <w:sz w:val="24"/>
                <w:szCs w:val="24"/>
                <w:color w:val="auto"/>
              </w:rPr>
            </w:pPr>
          </w:p>
        </w:tc>
        <w:tc>
          <w:tcPr>
            <w:tcW w:w="5840" w:type="dxa"/>
            <w:vAlign w:val="bottom"/>
          </w:tcPr>
          <w:p>
            <w:pPr>
              <w:jc w:val="right"/>
              <w:spacing w:after="0"/>
              <w:rPr>
                <w:sz w:val="20"/>
                <w:szCs w:val="20"/>
                <w:color w:val="auto"/>
              </w:rPr>
            </w:pPr>
            <w:r>
              <w:rPr>
                <w:rFonts w:ascii="Arial" w:cs="Arial" w:eastAsia="Arial" w:hAnsi="Arial"/>
                <w:sz w:val="18"/>
                <w:szCs w:val="18"/>
                <w:color w:val="0D0E00"/>
              </w:rPr>
              <w:t>15</w:t>
            </w:r>
          </w:p>
        </w:tc>
      </w:tr>
      <w:tr>
        <w:trPr>
          <w:trHeight w:val="493"/>
        </w:trPr>
        <w:tc>
          <w:tcPr>
            <w:tcW w:w="1380" w:type="dxa"/>
            <w:vAlign w:val="bottom"/>
            <w:gridSpan w:val="3"/>
          </w:tcPr>
          <w:p>
            <w:pPr>
              <w:spacing w:after="0"/>
              <w:rPr>
                <w:sz w:val="20"/>
                <w:szCs w:val="20"/>
                <w:color w:val="auto"/>
              </w:rPr>
            </w:pPr>
            <w:r>
              <w:rPr>
                <w:rFonts w:ascii="Arial" w:cs="Arial" w:eastAsia="Arial" w:hAnsi="Arial"/>
                <w:sz w:val="18"/>
                <w:szCs w:val="18"/>
                <w:color w:val="auto"/>
              </w:rPr>
              <w:t>Item 5.07.</w:t>
            </w:r>
          </w:p>
        </w:tc>
        <w:tc>
          <w:tcPr>
            <w:tcW w:w="378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15">
              <w:r>
                <w:rPr>
                  <w:rFonts w:ascii="Arial" w:cs="Arial" w:eastAsia="Arial" w:hAnsi="Arial"/>
                  <w:sz w:val="18"/>
                  <w:szCs w:val="18"/>
                  <w:color w:val="0000EE"/>
                  <w:w w:val="91"/>
                </w:rPr>
                <w:t>Submission of Matters to a Vote of Security Holders</w:t>
              </w:r>
            </w:hyperlink>
          </w:p>
        </w:tc>
        <w:tc>
          <w:tcPr>
            <w:tcW w:w="58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66"/>
        </w:trPr>
        <w:tc>
          <w:tcPr>
            <w:tcW w:w="1380" w:type="dxa"/>
            <w:vAlign w:val="bottom"/>
            <w:gridSpan w:val="3"/>
          </w:tcPr>
          <w:p>
            <w:pPr>
              <w:spacing w:after="0"/>
              <w:rPr>
                <w:sz w:val="20"/>
                <w:szCs w:val="20"/>
                <w:color w:val="auto"/>
              </w:rPr>
            </w:pPr>
            <w:r>
              <w:rPr>
                <w:rFonts w:ascii="Arial" w:cs="Arial" w:eastAsia="Arial" w:hAnsi="Arial"/>
                <w:sz w:val="18"/>
                <w:szCs w:val="18"/>
                <w:color w:val="0D0E00"/>
              </w:rPr>
              <w:t>Item 6.</w:t>
            </w:r>
          </w:p>
        </w:tc>
        <w:tc>
          <w:tcPr>
            <w:tcW w:w="3780" w:type="dxa"/>
            <w:vAlign w:val="bottom"/>
            <w:gridSpan w:val="3"/>
          </w:tcPr>
          <w:p>
            <w:pPr>
              <w:spacing w:after="0"/>
              <w:rPr>
                <w:rFonts w:ascii="Arial" w:cs="Arial" w:eastAsia="Arial" w:hAnsi="Arial"/>
                <w:sz w:val="18"/>
                <w:szCs w:val="18"/>
                <w:color w:val="0000FF"/>
              </w:rPr>
            </w:pPr>
            <w:hyperlink w:anchor="page16">
              <w:r>
                <w:rPr>
                  <w:rFonts w:ascii="Arial" w:cs="Arial" w:eastAsia="Arial" w:hAnsi="Arial"/>
                  <w:sz w:val="18"/>
                  <w:szCs w:val="18"/>
                  <w:color w:val="0000FF"/>
                </w:rPr>
                <w:t>Exhibits</w:t>
              </w:r>
            </w:hyperlink>
          </w:p>
        </w:tc>
        <w:tc>
          <w:tcPr>
            <w:tcW w:w="5840" w:type="dxa"/>
            <w:vAlign w:val="bottom"/>
          </w:tcPr>
          <w:p>
            <w:pPr>
              <w:jc w:val="right"/>
              <w:spacing w:after="0"/>
              <w:rPr>
                <w:sz w:val="20"/>
                <w:szCs w:val="20"/>
                <w:color w:val="auto"/>
              </w:rPr>
            </w:pPr>
            <w:r>
              <w:rPr>
                <w:rFonts w:ascii="Arial" w:cs="Arial" w:eastAsia="Arial" w:hAnsi="Arial"/>
                <w:sz w:val="18"/>
                <w:szCs w:val="18"/>
                <w:color w:val="0D0E00"/>
              </w:rPr>
              <w:t>16</w:t>
            </w:r>
          </w:p>
        </w:tc>
      </w:tr>
      <w:tr>
        <w:trPr>
          <w:trHeight w:val="439"/>
        </w:trPr>
        <w:tc>
          <w:tcPr>
            <w:tcW w:w="1380" w:type="dxa"/>
            <w:vAlign w:val="bottom"/>
            <w:gridSpan w:val="3"/>
          </w:tcPr>
          <w:p>
            <w:pPr>
              <w:spacing w:after="0"/>
              <w:rPr>
                <w:rFonts w:ascii="Arial" w:cs="Arial" w:eastAsia="Arial" w:hAnsi="Arial"/>
                <w:sz w:val="18"/>
                <w:szCs w:val="18"/>
                <w:color w:val="0000FF"/>
              </w:rPr>
            </w:pPr>
            <w:hyperlink w:anchor="page17">
              <w:r>
                <w:rPr>
                  <w:rFonts w:ascii="Arial" w:cs="Arial" w:eastAsia="Arial" w:hAnsi="Arial"/>
                  <w:sz w:val="18"/>
                  <w:szCs w:val="18"/>
                  <w:color w:val="0000FF"/>
                </w:rPr>
                <w:t>Signatures</w:t>
              </w:r>
            </w:hyperlink>
          </w:p>
        </w:tc>
        <w:tc>
          <w:tcPr>
            <w:tcW w:w="60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840" w:type="dxa"/>
            <w:vAlign w:val="bottom"/>
          </w:tcPr>
          <w:p>
            <w:pPr>
              <w:jc w:val="right"/>
              <w:spacing w:after="0"/>
              <w:rPr>
                <w:sz w:val="20"/>
                <w:szCs w:val="20"/>
                <w:color w:val="auto"/>
              </w:rPr>
            </w:pPr>
            <w:r>
              <w:rPr>
                <w:rFonts w:ascii="Arial" w:cs="Arial" w:eastAsia="Arial" w:hAnsi="Arial"/>
                <w:sz w:val="18"/>
                <w:szCs w:val="18"/>
                <w:color w:val="0D0E00"/>
              </w:rPr>
              <w:t>17</w:t>
            </w:r>
          </w:p>
        </w:tc>
      </w:tr>
      <w:tr>
        <w:trPr>
          <w:trHeight w:val="20"/>
        </w:trPr>
        <w:tc>
          <w:tcPr>
            <w:tcW w:w="7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r>
      <w:tr>
        <w:trPr>
          <w:trHeight w:val="466"/>
        </w:trPr>
        <w:tc>
          <w:tcPr>
            <w:tcW w:w="1000" w:type="dxa"/>
            <w:vAlign w:val="bottom"/>
            <w:tcBorders>
              <w:bottom w:val="single" w:sz="8" w:color="0000FF"/>
            </w:tcBorders>
            <w:gridSpan w:val="2"/>
          </w:tcPr>
          <w:p>
            <w:pPr>
              <w:spacing w:after="0"/>
              <w:rPr>
                <w:rFonts w:ascii="Arial" w:cs="Arial" w:eastAsia="Arial" w:hAnsi="Arial"/>
                <w:sz w:val="18"/>
                <w:szCs w:val="18"/>
                <w:color w:val="0000FF"/>
                <w:w w:val="95"/>
              </w:rPr>
            </w:pPr>
            <w:hyperlink w:anchor="page18">
              <w:r>
                <w:rPr>
                  <w:rFonts w:ascii="Arial" w:cs="Arial" w:eastAsia="Arial" w:hAnsi="Arial"/>
                  <w:sz w:val="18"/>
                  <w:szCs w:val="18"/>
                  <w:color w:val="0000FF"/>
                  <w:w w:val="95"/>
                </w:rPr>
                <w:t>Exhibit Index</w:t>
              </w:r>
            </w:hyperlink>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840" w:type="dxa"/>
            <w:vAlign w:val="bottom"/>
          </w:tcPr>
          <w:p>
            <w:pPr>
              <w:jc w:val="right"/>
              <w:spacing w:after="0"/>
              <w:rPr>
                <w:sz w:val="20"/>
                <w:szCs w:val="20"/>
                <w:color w:val="auto"/>
              </w:rPr>
            </w:pPr>
            <w:r>
              <w:rPr>
                <w:rFonts w:ascii="Arial" w:cs="Arial" w:eastAsia="Arial" w:hAnsi="Arial"/>
                <w:sz w:val="18"/>
                <w:szCs w:val="18"/>
                <w:color w:val="0D0E00"/>
              </w:rPr>
              <w:t>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100"/>
          </w:cols>
          <w:pgMar w:left="240" w:top="355" w:right="5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160" w:type="dxa"/>
            <w:vAlign w:val="bottom"/>
          </w:tcPr>
          <w:p>
            <w:pPr>
              <w:spacing w:after="0"/>
              <w:rPr>
                <w:sz w:val="24"/>
                <w:szCs w:val="24"/>
                <w:color w:val="auto"/>
              </w:rPr>
            </w:pPr>
          </w:p>
        </w:tc>
        <w:tc>
          <w:tcPr>
            <w:tcW w:w="7300" w:type="dxa"/>
            <w:vAlign w:val="bottom"/>
          </w:tcPr>
          <w:p>
            <w:pPr>
              <w:ind w:left="2720"/>
              <w:spacing w:after="0"/>
              <w:rPr>
                <w:sz w:val="20"/>
                <w:szCs w:val="20"/>
                <w:color w:val="auto"/>
              </w:rPr>
            </w:pPr>
            <w:r>
              <w:rPr>
                <w:rFonts w:ascii="Arial" w:cs="Arial" w:eastAsia="Arial" w:hAnsi="Arial"/>
                <w:sz w:val="22"/>
                <w:szCs w:val="22"/>
                <w:b w:val="1"/>
                <w:bCs w:val="1"/>
                <w:color w:val="0D0E00"/>
              </w:rPr>
              <w:t>PART I. FINANCIAL INFORMATION</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160" w:type="dxa"/>
            <w:vAlign w:val="bottom"/>
          </w:tcPr>
          <w:p>
            <w:pPr>
              <w:spacing w:after="0"/>
              <w:rPr>
                <w:sz w:val="20"/>
                <w:szCs w:val="20"/>
                <w:color w:val="auto"/>
              </w:rPr>
            </w:pPr>
            <w:r>
              <w:rPr>
                <w:rFonts w:ascii="Arial" w:cs="Arial" w:eastAsia="Arial" w:hAnsi="Arial"/>
                <w:sz w:val="22"/>
                <w:szCs w:val="22"/>
                <w:color w:val="0D0E00"/>
              </w:rPr>
              <w:t>ITEM 1.</w:t>
            </w:r>
          </w:p>
        </w:tc>
        <w:tc>
          <w:tcPr>
            <w:tcW w:w="7300" w:type="dxa"/>
            <w:vAlign w:val="bottom"/>
          </w:tcPr>
          <w:p>
            <w:pPr>
              <w:ind w:left="20"/>
              <w:spacing w:after="0"/>
              <w:rPr>
                <w:sz w:val="20"/>
                <w:szCs w:val="20"/>
                <w:color w:val="auto"/>
              </w:rPr>
            </w:pPr>
            <w:r>
              <w:rPr>
                <w:rFonts w:ascii="Arial" w:cs="Arial" w:eastAsia="Arial" w:hAnsi="Arial"/>
                <w:sz w:val="22"/>
                <w:szCs w:val="22"/>
                <w:color w:val="0D0E00"/>
              </w:rPr>
              <w:t>FINANCIAL STATEMENTS</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HAWKINS, INC.</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CONDENSED BALANCE SHEETS (UNAUDITED)</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846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share data)</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7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March 28, 2010</w:t>
            </w:r>
          </w:p>
        </w:tc>
        <w:tc>
          <w:tcPr>
            <w:tcW w:w="0" w:type="dxa"/>
            <w:vAlign w:val="bottom"/>
          </w:tcPr>
          <w:p>
            <w:pPr>
              <w:spacing w:after="0"/>
              <w:rPr>
                <w:sz w:val="1"/>
                <w:szCs w:val="1"/>
                <w:color w:val="auto"/>
              </w:rPr>
            </w:pPr>
          </w:p>
        </w:tc>
      </w:tr>
      <w:tr>
        <w:trPr>
          <w:trHeight w:val="223"/>
        </w:trPr>
        <w:tc>
          <w:tcPr>
            <w:tcW w:w="1160" w:type="dxa"/>
            <w:vAlign w:val="bottom"/>
            <w:vMerge w:val="continue"/>
          </w:tcPr>
          <w:p>
            <w:pPr>
              <w:spacing w:after="0"/>
              <w:rPr>
                <w:sz w:val="19"/>
                <w:szCs w:val="19"/>
                <w:color w:val="auto"/>
              </w:rPr>
            </w:pPr>
          </w:p>
        </w:tc>
        <w:tc>
          <w:tcPr>
            <w:tcW w:w="7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6"/>
        </w:trPr>
        <w:tc>
          <w:tcPr>
            <w:tcW w:w="84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460" w:type="dxa"/>
            <w:vAlign w:val="bottom"/>
            <w:gridSpan w:val="2"/>
            <w:shd w:val="clear" w:color="auto" w:fill="D6F3E8"/>
          </w:tcPr>
          <w:p>
            <w:pPr>
              <w:ind w:left="34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19,570</w:t>
            </w:r>
          </w:p>
        </w:tc>
        <w:tc>
          <w:tcPr>
            <w:tcW w:w="12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18,772</w:t>
            </w:r>
          </w:p>
        </w:tc>
        <w:tc>
          <w:tcPr>
            <w:tcW w:w="8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gridSpan w:val="2"/>
          </w:tcPr>
          <w:p>
            <w:pPr>
              <w:ind w:left="340"/>
              <w:spacing w:after="0"/>
              <w:rPr>
                <w:sz w:val="20"/>
                <w:szCs w:val="20"/>
                <w:color w:val="auto"/>
              </w:rPr>
            </w:pPr>
            <w:r>
              <w:rPr>
                <w:rFonts w:ascii="Arial" w:cs="Arial" w:eastAsia="Arial" w:hAnsi="Arial"/>
                <w:sz w:val="18"/>
                <w:szCs w:val="18"/>
                <w:color w:val="auto"/>
              </w:rPr>
              <w:t>Investments available-for-sale</w:t>
            </w:r>
          </w:p>
        </w:tc>
        <w:tc>
          <w:tcPr>
            <w:tcW w:w="160" w:type="dxa"/>
            <w:vAlign w:val="bottom"/>
          </w:tcPr>
          <w:p>
            <w:pPr>
              <w:spacing w:after="0"/>
              <w:rPr>
                <w:sz w:val="21"/>
                <w:szCs w:val="21"/>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27,315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25,928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8460" w:type="dxa"/>
            <w:vAlign w:val="bottom"/>
            <w:gridSpan w:val="2"/>
            <w:shd w:val="clear" w:color="auto" w:fill="D6F3E8"/>
          </w:tcPr>
          <w:p>
            <w:pPr>
              <w:ind w:left="340"/>
              <w:spacing w:after="0" w:line="201" w:lineRule="exact"/>
              <w:rPr>
                <w:sz w:val="20"/>
                <w:szCs w:val="20"/>
                <w:color w:val="auto"/>
              </w:rPr>
            </w:pPr>
            <w:r>
              <w:rPr>
                <w:rFonts w:ascii="Arial" w:cs="Arial" w:eastAsia="Arial" w:hAnsi="Arial"/>
                <w:sz w:val="18"/>
                <w:szCs w:val="18"/>
                <w:color w:val="auto"/>
              </w:rPr>
              <w:t>Trade receivables - less allowance for doubtful accounts:</w:t>
            </w:r>
          </w:p>
        </w:tc>
        <w:tc>
          <w:tcPr>
            <w:tcW w:w="160" w:type="dxa"/>
            <w:vAlign w:val="bottom"/>
            <w:shd w:val="clear" w:color="auto" w:fill="D6F3E8"/>
          </w:tcPr>
          <w:p>
            <w:pPr>
              <w:spacing w:after="0"/>
              <w:rPr>
                <w:sz w:val="17"/>
                <w:szCs w:val="17"/>
                <w:color w:val="auto"/>
              </w:rPr>
            </w:pPr>
          </w:p>
        </w:tc>
        <w:tc>
          <w:tcPr>
            <w:tcW w:w="1120" w:type="dxa"/>
            <w:vAlign w:val="bottom"/>
            <w:shd w:val="clear" w:color="auto" w:fill="D6F3E8"/>
          </w:tcPr>
          <w:p>
            <w:pPr>
              <w:spacing w:after="0"/>
              <w:rPr>
                <w:sz w:val="17"/>
                <w:szCs w:val="17"/>
                <w:color w:val="auto"/>
              </w:rPr>
            </w:pPr>
          </w:p>
        </w:tc>
        <w:tc>
          <w:tcPr>
            <w:tcW w:w="320" w:type="dxa"/>
            <w:vAlign w:val="bottom"/>
            <w:shd w:val="clear" w:color="auto" w:fill="D6F3E8"/>
          </w:tcPr>
          <w:p>
            <w:pPr>
              <w:spacing w:after="0"/>
              <w:rPr>
                <w:sz w:val="17"/>
                <w:szCs w:val="17"/>
                <w:color w:val="auto"/>
              </w:rPr>
            </w:pPr>
          </w:p>
        </w:tc>
        <w:tc>
          <w:tcPr>
            <w:tcW w:w="20" w:type="dxa"/>
            <w:vAlign w:val="bottom"/>
            <w:shd w:val="clear" w:color="auto" w:fill="D6F3E8"/>
          </w:tcPr>
          <w:p>
            <w:pPr>
              <w:spacing w:after="0"/>
              <w:rPr>
                <w:sz w:val="17"/>
                <w:szCs w:val="17"/>
                <w:color w:val="auto"/>
              </w:rPr>
            </w:pPr>
          </w:p>
        </w:tc>
        <w:tc>
          <w:tcPr>
            <w:tcW w:w="100" w:type="dxa"/>
            <w:vAlign w:val="bottom"/>
            <w:shd w:val="clear" w:color="auto" w:fill="D6F3E8"/>
          </w:tcPr>
          <w:p>
            <w:pPr>
              <w:spacing w:after="0"/>
              <w:rPr>
                <w:sz w:val="17"/>
                <w:szCs w:val="17"/>
                <w:color w:val="auto"/>
              </w:rPr>
            </w:pPr>
          </w:p>
        </w:tc>
        <w:tc>
          <w:tcPr>
            <w:tcW w:w="1140" w:type="dxa"/>
            <w:vAlign w:val="bottom"/>
            <w:shd w:val="clear" w:color="auto" w:fill="D6F3E8"/>
          </w:tcPr>
          <w:p>
            <w:pPr>
              <w:spacing w:after="0"/>
              <w:rPr>
                <w:sz w:val="17"/>
                <w:szCs w:val="17"/>
                <w:color w:val="auto"/>
              </w:rPr>
            </w:pPr>
          </w:p>
        </w:tc>
        <w:tc>
          <w:tcPr>
            <w:tcW w:w="20" w:type="dxa"/>
            <w:vAlign w:val="bottom"/>
            <w:shd w:val="clear" w:color="auto" w:fill="D6F3E8"/>
          </w:tcPr>
          <w:p>
            <w:pPr>
              <w:spacing w:after="0"/>
              <w:rPr>
                <w:sz w:val="17"/>
                <w:szCs w:val="17"/>
                <w:color w:val="auto"/>
              </w:rPr>
            </w:pPr>
          </w:p>
        </w:tc>
        <w:tc>
          <w:tcPr>
            <w:tcW w:w="80" w:type="dxa"/>
            <w:vAlign w:val="bottom"/>
            <w:shd w:val="clear" w:color="auto" w:fill="D6F3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60" w:type="dxa"/>
            <w:vAlign w:val="bottom"/>
            <w:gridSpan w:val="2"/>
            <w:shd w:val="clear" w:color="auto" w:fill="D6F3E8"/>
          </w:tcPr>
          <w:p>
            <w:pPr>
              <w:ind w:left="500"/>
              <w:spacing w:after="0"/>
              <w:rPr>
                <w:sz w:val="20"/>
                <w:szCs w:val="20"/>
                <w:color w:val="auto"/>
              </w:rPr>
            </w:pPr>
            <w:r>
              <w:rPr>
                <w:rFonts w:ascii="Arial" w:cs="Arial" w:eastAsia="Arial" w:hAnsi="Arial"/>
                <w:sz w:val="18"/>
                <w:szCs w:val="18"/>
                <w:color w:val="auto"/>
              </w:rPr>
              <w:t>$275 as of June 30, 2010 and $300 as of March 28,2010</w:t>
            </w:r>
          </w:p>
        </w:tc>
        <w:tc>
          <w:tcPr>
            <w:tcW w:w="160" w:type="dxa"/>
            <w:vAlign w:val="bottom"/>
            <w:shd w:val="clear" w:color="auto" w:fill="D6F3E8"/>
          </w:tcPr>
          <w:p>
            <w:pPr>
              <w:spacing w:after="0"/>
              <w:rPr>
                <w:sz w:val="20"/>
                <w:szCs w:val="20"/>
                <w:color w:val="auto"/>
              </w:rPr>
            </w:pPr>
          </w:p>
        </w:tc>
        <w:tc>
          <w:tcPr>
            <w:tcW w:w="14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27,154</w:t>
            </w:r>
          </w:p>
        </w:tc>
        <w:tc>
          <w:tcPr>
            <w:tcW w:w="20" w:type="dxa"/>
            <w:vAlign w:val="bottom"/>
            <w:shd w:val="clear" w:color="auto" w:fill="D6F3E8"/>
          </w:tcPr>
          <w:p>
            <w:pPr>
              <w:spacing w:after="0"/>
              <w:rPr>
                <w:sz w:val="20"/>
                <w:szCs w:val="20"/>
                <w:color w:val="auto"/>
              </w:rPr>
            </w:pPr>
          </w:p>
        </w:tc>
        <w:tc>
          <w:tcPr>
            <w:tcW w:w="100" w:type="dxa"/>
            <w:vAlign w:val="bottom"/>
            <w:shd w:val="clear" w:color="auto" w:fill="D6F3E8"/>
          </w:tcPr>
          <w:p>
            <w:pPr>
              <w:spacing w:after="0"/>
              <w:rPr>
                <w:sz w:val="20"/>
                <w:szCs w:val="20"/>
                <w:color w:val="auto"/>
              </w:rPr>
            </w:pPr>
          </w:p>
        </w:tc>
        <w:tc>
          <w:tcPr>
            <w:tcW w:w="116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24,832</w:t>
            </w:r>
          </w:p>
        </w:tc>
        <w:tc>
          <w:tcPr>
            <w:tcW w:w="8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60" w:type="dxa"/>
            <w:vAlign w:val="bottom"/>
          </w:tcPr>
          <w:p>
            <w:pPr>
              <w:ind w:left="340"/>
              <w:spacing w:after="0"/>
              <w:rPr>
                <w:sz w:val="20"/>
                <w:szCs w:val="20"/>
                <w:color w:val="auto"/>
              </w:rPr>
            </w:pPr>
            <w:r>
              <w:rPr>
                <w:rFonts w:ascii="Arial" w:cs="Arial" w:eastAsia="Arial" w:hAnsi="Arial"/>
                <w:sz w:val="18"/>
                <w:szCs w:val="18"/>
                <w:color w:val="auto"/>
                <w:w w:val="90"/>
              </w:rPr>
              <w:t>Inventories</w:t>
            </w:r>
          </w:p>
        </w:tc>
        <w:tc>
          <w:tcPr>
            <w:tcW w:w="7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25,844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21,327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gridSpan w:val="2"/>
            <w:shd w:val="clear" w:color="auto" w:fill="D6F3E8"/>
          </w:tcPr>
          <w:p>
            <w:pPr>
              <w:ind w:left="340"/>
              <w:spacing w:after="0"/>
              <w:rPr>
                <w:sz w:val="20"/>
                <w:szCs w:val="20"/>
                <w:color w:val="auto"/>
              </w:rPr>
            </w:pPr>
            <w:r>
              <w:rPr>
                <w:rFonts w:ascii="Arial" w:cs="Arial" w:eastAsia="Arial" w:hAnsi="Arial"/>
                <w:sz w:val="18"/>
                <w:szCs w:val="18"/>
                <w:color w:val="auto"/>
              </w:rPr>
              <w:t>Income taxes receivable</w:t>
            </w:r>
          </w:p>
        </w:tc>
        <w:tc>
          <w:tcPr>
            <w:tcW w:w="160" w:type="dxa"/>
            <w:vAlign w:val="bottom"/>
            <w:shd w:val="clear" w:color="auto" w:fill="D6F3E8"/>
          </w:tcPr>
          <w:p>
            <w:pPr>
              <w:spacing w:after="0"/>
              <w:rPr>
                <w:sz w:val="21"/>
                <w:szCs w:val="21"/>
                <w:color w:val="auto"/>
              </w:rPr>
            </w:pPr>
          </w:p>
        </w:tc>
        <w:tc>
          <w:tcPr>
            <w:tcW w:w="14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191</w:t>
            </w:r>
          </w:p>
        </w:tc>
        <w:tc>
          <w:tcPr>
            <w:tcW w:w="20" w:type="dxa"/>
            <w:vAlign w:val="bottom"/>
            <w:shd w:val="clear" w:color="auto" w:fill="D6F3E8"/>
          </w:tcPr>
          <w:p>
            <w:pPr>
              <w:spacing w:after="0"/>
              <w:rPr>
                <w:sz w:val="21"/>
                <w:szCs w:val="21"/>
                <w:color w:val="auto"/>
              </w:rPr>
            </w:pPr>
          </w:p>
        </w:tc>
        <w:tc>
          <w:tcPr>
            <w:tcW w:w="100" w:type="dxa"/>
            <w:vAlign w:val="bottom"/>
            <w:shd w:val="clear" w:color="auto" w:fill="D6F3E8"/>
          </w:tcPr>
          <w:p>
            <w:pPr>
              <w:spacing w:after="0"/>
              <w:rPr>
                <w:sz w:val="21"/>
                <w:szCs w:val="21"/>
                <w:color w:val="auto"/>
              </w:rPr>
            </w:pPr>
          </w:p>
        </w:tc>
        <w:tc>
          <w:tcPr>
            <w:tcW w:w="116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4,430</w:t>
            </w:r>
          </w:p>
        </w:tc>
        <w:tc>
          <w:tcPr>
            <w:tcW w:w="8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tcBorders>
              <w:bottom w:val="single" w:sz="8" w:color="D6F3E8"/>
            </w:tcBorders>
            <w:gridSpan w:val="2"/>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2,086</w:t>
            </w:r>
          </w:p>
        </w:tc>
        <w:tc>
          <w:tcPr>
            <w:tcW w:w="320" w:type="dxa"/>
            <w:vAlign w:val="bottom"/>
            <w:tcBorders>
              <w:bottom w:val="single" w:sz="8" w:color="D6F3E8"/>
            </w:tcBorders>
          </w:tcPr>
          <w:p>
            <w:pPr>
              <w:spacing w:after="0"/>
              <w:rPr>
                <w:sz w:val="21"/>
                <w:szCs w:val="21"/>
                <w:color w:val="auto"/>
              </w:rPr>
            </w:pPr>
          </w:p>
        </w:tc>
        <w:tc>
          <w:tcPr>
            <w:tcW w:w="20" w:type="dxa"/>
            <w:vAlign w:val="bottom"/>
            <w:tcBorders>
              <w:bottom w:val="single" w:sz="8" w:color="D6F3E8"/>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2,209</w:t>
            </w:r>
          </w:p>
        </w:tc>
        <w:tc>
          <w:tcPr>
            <w:tcW w:w="20" w:type="dxa"/>
            <w:vAlign w:val="bottom"/>
            <w:tcBorders>
              <w:bottom w:val="single" w:sz="8" w:color="D6F3E8"/>
            </w:tcBorders>
          </w:tcPr>
          <w:p>
            <w:pPr>
              <w:spacing w:after="0"/>
              <w:rPr>
                <w:sz w:val="21"/>
                <w:szCs w:val="21"/>
                <w:color w:val="auto"/>
              </w:rPr>
            </w:pPr>
          </w:p>
        </w:tc>
        <w:tc>
          <w:tcPr>
            <w:tcW w:w="80" w:type="dxa"/>
            <w:vAlign w:val="bottom"/>
            <w:tcBorders>
              <w:bottom w:val="single" w:sz="8" w:color="D6F3E8"/>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460" w:type="dxa"/>
            <w:vAlign w:val="bottom"/>
            <w:gridSpan w:val="2"/>
            <w:shd w:val="clear" w:color="auto" w:fill="D6F3E8"/>
          </w:tcPr>
          <w:p>
            <w:pPr>
              <w:ind w:left="66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D6F3E8"/>
          </w:tcPr>
          <w:p>
            <w:pPr>
              <w:spacing w:after="0"/>
              <w:rPr>
                <w:sz w:val="20"/>
                <w:szCs w:val="20"/>
                <w:color w:val="auto"/>
              </w:rPr>
            </w:pP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102,160</w:t>
            </w:r>
          </w:p>
        </w:tc>
        <w:tc>
          <w:tcPr>
            <w:tcW w:w="320" w:type="dxa"/>
            <w:vAlign w:val="bottom"/>
            <w:shd w:val="clear" w:color="auto" w:fill="D6F3E8"/>
          </w:tcPr>
          <w:p>
            <w:pPr>
              <w:spacing w:after="0"/>
              <w:rPr>
                <w:sz w:val="20"/>
                <w:szCs w:val="20"/>
                <w:color w:val="auto"/>
              </w:rPr>
            </w:pPr>
          </w:p>
        </w:tc>
        <w:tc>
          <w:tcPr>
            <w:tcW w:w="20" w:type="dxa"/>
            <w:vAlign w:val="bottom"/>
            <w:shd w:val="clear" w:color="auto" w:fill="D6F3E8"/>
          </w:tcPr>
          <w:p>
            <w:pPr>
              <w:spacing w:after="0"/>
              <w:rPr>
                <w:sz w:val="20"/>
                <w:szCs w:val="20"/>
                <w:color w:val="auto"/>
              </w:rPr>
            </w:pPr>
          </w:p>
        </w:tc>
        <w:tc>
          <w:tcPr>
            <w:tcW w:w="100" w:type="dxa"/>
            <w:vAlign w:val="bottom"/>
            <w:shd w:val="clear" w:color="auto" w:fill="D6F3E8"/>
          </w:tcPr>
          <w:p>
            <w:pPr>
              <w:spacing w:after="0"/>
              <w:rPr>
                <w:sz w:val="20"/>
                <w:szCs w:val="20"/>
                <w:color w:val="auto"/>
              </w:rPr>
            </w:pPr>
          </w:p>
        </w:tc>
        <w:tc>
          <w:tcPr>
            <w:tcW w:w="116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97,498</w:t>
            </w:r>
          </w:p>
        </w:tc>
        <w:tc>
          <w:tcPr>
            <w:tcW w:w="8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8460" w:type="dxa"/>
            <w:vAlign w:val="bottom"/>
            <w:gridSpan w:val="2"/>
          </w:tcPr>
          <w:p>
            <w:pPr>
              <w:spacing w:after="0"/>
              <w:rPr>
                <w:sz w:val="20"/>
                <w:szCs w:val="20"/>
                <w:color w:val="auto"/>
              </w:rPr>
            </w:pPr>
            <w:r>
              <w:rPr>
                <w:rFonts w:ascii="Arial" w:cs="Arial" w:eastAsia="Arial" w:hAnsi="Arial"/>
                <w:sz w:val="18"/>
                <w:szCs w:val="18"/>
                <w:color w:val="auto"/>
              </w:rPr>
              <w:t>PROPERTY, PLANT, AND EQUIPMENT - net</w:t>
            </w:r>
          </w:p>
        </w:tc>
        <w:tc>
          <w:tcPr>
            <w:tcW w:w="160" w:type="dxa"/>
            <w:vAlign w:val="bottom"/>
          </w:tcPr>
          <w:p>
            <w:pPr>
              <w:spacing w:after="0"/>
              <w:rPr>
                <w:sz w:val="24"/>
                <w:szCs w:val="24"/>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48,488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47,756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46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GOODWILL AND INTANGIBLE ASSETS</w:t>
            </w:r>
          </w:p>
        </w:tc>
        <w:tc>
          <w:tcPr>
            <w:tcW w:w="160" w:type="dxa"/>
            <w:vAlign w:val="bottom"/>
            <w:shd w:val="clear" w:color="auto" w:fill="D6F3E8"/>
          </w:tcPr>
          <w:p>
            <w:pPr>
              <w:spacing w:after="0"/>
              <w:rPr>
                <w:sz w:val="21"/>
                <w:szCs w:val="21"/>
                <w:color w:val="auto"/>
              </w:rPr>
            </w:pP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4,778</w:t>
            </w:r>
          </w:p>
        </w:tc>
        <w:tc>
          <w:tcPr>
            <w:tcW w:w="320" w:type="dxa"/>
            <w:vAlign w:val="bottom"/>
            <w:shd w:val="clear" w:color="auto" w:fill="D6F3E8"/>
          </w:tcPr>
          <w:p>
            <w:pPr>
              <w:spacing w:after="0"/>
              <w:rPr>
                <w:sz w:val="21"/>
                <w:szCs w:val="21"/>
                <w:color w:val="auto"/>
              </w:rPr>
            </w:pPr>
          </w:p>
        </w:tc>
        <w:tc>
          <w:tcPr>
            <w:tcW w:w="20" w:type="dxa"/>
            <w:vAlign w:val="bottom"/>
            <w:shd w:val="clear" w:color="auto" w:fill="D6F3E8"/>
          </w:tcPr>
          <w:p>
            <w:pPr>
              <w:spacing w:after="0"/>
              <w:rPr>
                <w:sz w:val="21"/>
                <w:szCs w:val="21"/>
                <w:color w:val="auto"/>
              </w:rPr>
            </w:pPr>
          </w:p>
        </w:tc>
        <w:tc>
          <w:tcPr>
            <w:tcW w:w="100" w:type="dxa"/>
            <w:vAlign w:val="bottom"/>
            <w:shd w:val="clear" w:color="auto" w:fill="D6F3E8"/>
          </w:tcPr>
          <w:p>
            <w:pPr>
              <w:spacing w:after="0"/>
              <w:rPr>
                <w:sz w:val="21"/>
                <w:szCs w:val="21"/>
                <w:color w:val="auto"/>
              </w:rPr>
            </w:pPr>
          </w:p>
        </w:tc>
        <w:tc>
          <w:tcPr>
            <w:tcW w:w="116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4,839</w:t>
            </w:r>
          </w:p>
        </w:tc>
        <w:tc>
          <w:tcPr>
            <w:tcW w:w="8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8460" w:type="dxa"/>
            <w:vAlign w:val="bottom"/>
            <w:gridSpan w:val="2"/>
          </w:tcPr>
          <w:p>
            <w:pPr>
              <w:spacing w:after="0"/>
              <w:rPr>
                <w:sz w:val="20"/>
                <w:szCs w:val="20"/>
                <w:color w:val="auto"/>
              </w:rPr>
            </w:pPr>
            <w:r>
              <w:rPr>
                <w:rFonts w:ascii="Arial" w:cs="Arial" w:eastAsia="Arial" w:hAnsi="Arial"/>
                <w:sz w:val="18"/>
                <w:szCs w:val="18"/>
                <w:color w:val="auto"/>
              </w:rPr>
              <w:t>LONG-TERM INVESTMENTS</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5,229</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8,972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7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shd w:val="clear" w:color="auto" w:fill="D6F3E8"/>
          </w:tcPr>
          <w:p>
            <w:pPr>
              <w:spacing w:after="0"/>
              <w:rPr>
                <w:sz w:val="20"/>
                <w:szCs w:val="20"/>
                <w:color w:val="auto"/>
              </w:rPr>
            </w:pPr>
            <w:r>
              <w:rPr>
                <w:rFonts w:ascii="Arial" w:cs="Arial" w:eastAsia="Arial" w:hAnsi="Arial"/>
                <w:sz w:val="18"/>
                <w:szCs w:val="18"/>
                <w:color w:val="auto"/>
              </w:rPr>
              <w:t>OTHER</w:t>
            </w:r>
          </w:p>
        </w:tc>
        <w:tc>
          <w:tcPr>
            <w:tcW w:w="7300" w:type="dxa"/>
            <w:vAlign w:val="bottom"/>
            <w:shd w:val="clear" w:color="auto" w:fill="D6F3E8"/>
          </w:tcPr>
          <w:p>
            <w:pPr>
              <w:spacing w:after="0"/>
              <w:rPr>
                <w:sz w:val="21"/>
                <w:szCs w:val="21"/>
                <w:color w:val="auto"/>
              </w:rPr>
            </w:pPr>
          </w:p>
        </w:tc>
        <w:tc>
          <w:tcPr>
            <w:tcW w:w="160" w:type="dxa"/>
            <w:vAlign w:val="bottom"/>
            <w:shd w:val="clear" w:color="auto" w:fill="D6F3E8"/>
          </w:tcPr>
          <w:p>
            <w:pPr>
              <w:spacing w:after="0"/>
              <w:rPr>
                <w:sz w:val="21"/>
                <w:szCs w:val="21"/>
                <w:color w:val="auto"/>
              </w:rPr>
            </w:pPr>
          </w:p>
        </w:tc>
        <w:tc>
          <w:tcPr>
            <w:tcW w:w="14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990</w:t>
            </w:r>
          </w:p>
        </w:tc>
        <w:tc>
          <w:tcPr>
            <w:tcW w:w="20" w:type="dxa"/>
            <w:vAlign w:val="bottom"/>
            <w:shd w:val="clear" w:color="auto" w:fill="D6F3E8"/>
          </w:tcPr>
          <w:p>
            <w:pPr>
              <w:spacing w:after="0"/>
              <w:rPr>
                <w:sz w:val="21"/>
                <w:szCs w:val="21"/>
                <w:color w:val="auto"/>
              </w:rPr>
            </w:pPr>
          </w:p>
        </w:tc>
        <w:tc>
          <w:tcPr>
            <w:tcW w:w="100" w:type="dxa"/>
            <w:vAlign w:val="bottom"/>
            <w:shd w:val="clear" w:color="auto" w:fill="D6F3E8"/>
          </w:tcPr>
          <w:p>
            <w:pPr>
              <w:spacing w:after="0"/>
              <w:rPr>
                <w:sz w:val="21"/>
                <w:szCs w:val="21"/>
                <w:color w:val="auto"/>
              </w:rPr>
            </w:pPr>
          </w:p>
        </w:tc>
        <w:tc>
          <w:tcPr>
            <w:tcW w:w="116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1,228</w:t>
            </w:r>
          </w:p>
        </w:tc>
        <w:tc>
          <w:tcPr>
            <w:tcW w:w="8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161,645</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160,293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4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84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460" w:type="dxa"/>
            <w:vAlign w:val="bottom"/>
            <w:gridSpan w:val="2"/>
            <w:shd w:val="clear" w:color="auto" w:fill="D6F3E8"/>
          </w:tcPr>
          <w:p>
            <w:pPr>
              <w:ind w:left="340"/>
              <w:spacing w:after="0"/>
              <w:rPr>
                <w:sz w:val="20"/>
                <w:szCs w:val="20"/>
                <w:color w:val="auto"/>
              </w:rPr>
            </w:pPr>
            <w:r>
              <w:rPr>
                <w:rFonts w:ascii="Arial" w:cs="Arial" w:eastAsia="Arial" w:hAnsi="Arial"/>
                <w:sz w:val="18"/>
                <w:szCs w:val="18"/>
                <w:color w:val="auto"/>
              </w:rPr>
              <w:t>Accounts payable – trade</w:t>
            </w:r>
          </w:p>
        </w:tc>
        <w:tc>
          <w:tcPr>
            <w:tcW w:w="16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15,108</w:t>
            </w:r>
          </w:p>
        </w:tc>
        <w:tc>
          <w:tcPr>
            <w:tcW w:w="12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13,940</w:t>
            </w:r>
          </w:p>
        </w:tc>
        <w:tc>
          <w:tcPr>
            <w:tcW w:w="8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gridSpan w:val="2"/>
          </w:tcPr>
          <w:p>
            <w:pPr>
              <w:ind w:left="340"/>
              <w:spacing w:after="0"/>
              <w:rPr>
                <w:sz w:val="20"/>
                <w:szCs w:val="20"/>
                <w:color w:val="auto"/>
              </w:rPr>
            </w:pPr>
            <w:r>
              <w:rPr>
                <w:rFonts w:ascii="Arial" w:cs="Arial" w:eastAsia="Arial" w:hAnsi="Arial"/>
                <w:sz w:val="18"/>
                <w:szCs w:val="18"/>
                <w:color w:val="auto"/>
              </w:rPr>
              <w:t>Dividends payable</w:t>
            </w:r>
          </w:p>
        </w:tc>
        <w:tc>
          <w:tcPr>
            <w:tcW w:w="160" w:type="dxa"/>
            <w:vAlign w:val="bottom"/>
          </w:tcPr>
          <w:p>
            <w:pPr>
              <w:spacing w:after="0"/>
              <w:rPr>
                <w:sz w:val="21"/>
                <w:szCs w:val="21"/>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2,879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gridSpan w:val="2"/>
            <w:shd w:val="clear" w:color="auto" w:fill="D6F3E8"/>
          </w:tcPr>
          <w:p>
            <w:pPr>
              <w:ind w:left="340"/>
              <w:spacing w:after="0"/>
              <w:rPr>
                <w:sz w:val="20"/>
                <w:szCs w:val="20"/>
                <w:color w:val="auto"/>
              </w:rPr>
            </w:pPr>
            <w:r>
              <w:rPr>
                <w:rFonts w:ascii="Arial" w:cs="Arial" w:eastAsia="Arial" w:hAnsi="Arial"/>
                <w:sz w:val="18"/>
                <w:szCs w:val="18"/>
                <w:color w:val="auto"/>
              </w:rPr>
              <w:t>Accrued payroll and employee benefits</w:t>
            </w:r>
          </w:p>
        </w:tc>
        <w:tc>
          <w:tcPr>
            <w:tcW w:w="160" w:type="dxa"/>
            <w:vAlign w:val="bottom"/>
            <w:shd w:val="clear" w:color="auto" w:fill="D6F3E8"/>
          </w:tcPr>
          <w:p>
            <w:pPr>
              <w:spacing w:after="0"/>
              <w:rPr>
                <w:sz w:val="21"/>
                <w:szCs w:val="21"/>
                <w:color w:val="auto"/>
              </w:rPr>
            </w:pP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3,660</w:t>
            </w:r>
          </w:p>
        </w:tc>
        <w:tc>
          <w:tcPr>
            <w:tcW w:w="320" w:type="dxa"/>
            <w:vAlign w:val="bottom"/>
            <w:shd w:val="clear" w:color="auto" w:fill="D6F3E8"/>
          </w:tcPr>
          <w:p>
            <w:pPr>
              <w:spacing w:after="0"/>
              <w:rPr>
                <w:sz w:val="21"/>
                <w:szCs w:val="21"/>
                <w:color w:val="auto"/>
              </w:rPr>
            </w:pPr>
          </w:p>
        </w:tc>
        <w:tc>
          <w:tcPr>
            <w:tcW w:w="20" w:type="dxa"/>
            <w:vAlign w:val="bottom"/>
            <w:shd w:val="clear" w:color="auto" w:fill="D6F3E8"/>
          </w:tcPr>
          <w:p>
            <w:pPr>
              <w:spacing w:after="0"/>
              <w:rPr>
                <w:sz w:val="21"/>
                <w:szCs w:val="21"/>
                <w:color w:val="auto"/>
              </w:rPr>
            </w:pPr>
          </w:p>
        </w:tc>
        <w:tc>
          <w:tcPr>
            <w:tcW w:w="100" w:type="dxa"/>
            <w:vAlign w:val="bottom"/>
            <w:shd w:val="clear" w:color="auto" w:fill="D6F3E8"/>
          </w:tcPr>
          <w:p>
            <w:pPr>
              <w:spacing w:after="0"/>
              <w:rPr>
                <w:sz w:val="21"/>
                <w:szCs w:val="21"/>
                <w:color w:val="auto"/>
              </w:rPr>
            </w:pPr>
          </w:p>
        </w:tc>
        <w:tc>
          <w:tcPr>
            <w:tcW w:w="116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7,908</w:t>
            </w:r>
          </w:p>
        </w:tc>
        <w:tc>
          <w:tcPr>
            <w:tcW w:w="8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gridSpan w:val="2"/>
          </w:tcPr>
          <w:p>
            <w:pPr>
              <w:ind w:left="34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3,364</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3,364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gridSpan w:val="2"/>
            <w:shd w:val="clear" w:color="auto" w:fill="D6F3E8"/>
          </w:tcPr>
          <w:p>
            <w:pPr>
              <w:ind w:left="340"/>
              <w:spacing w:after="0"/>
              <w:rPr>
                <w:sz w:val="20"/>
                <w:szCs w:val="20"/>
                <w:color w:val="auto"/>
              </w:rPr>
            </w:pPr>
            <w:r>
              <w:rPr>
                <w:rFonts w:ascii="Arial" w:cs="Arial" w:eastAsia="Arial" w:hAnsi="Arial"/>
                <w:sz w:val="18"/>
                <w:szCs w:val="18"/>
                <w:color w:val="auto"/>
              </w:rPr>
              <w:t>Container deposits</w:t>
            </w:r>
          </w:p>
        </w:tc>
        <w:tc>
          <w:tcPr>
            <w:tcW w:w="160" w:type="dxa"/>
            <w:vAlign w:val="bottom"/>
            <w:shd w:val="clear" w:color="auto" w:fill="D6F3E8"/>
          </w:tcPr>
          <w:p>
            <w:pPr>
              <w:spacing w:after="0"/>
              <w:rPr>
                <w:sz w:val="21"/>
                <w:szCs w:val="21"/>
                <w:color w:val="auto"/>
              </w:rPr>
            </w:pPr>
          </w:p>
        </w:tc>
        <w:tc>
          <w:tcPr>
            <w:tcW w:w="14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959</w:t>
            </w:r>
          </w:p>
        </w:tc>
        <w:tc>
          <w:tcPr>
            <w:tcW w:w="20" w:type="dxa"/>
            <w:vAlign w:val="bottom"/>
            <w:shd w:val="clear" w:color="auto" w:fill="D6F3E8"/>
          </w:tcPr>
          <w:p>
            <w:pPr>
              <w:spacing w:after="0"/>
              <w:rPr>
                <w:sz w:val="21"/>
                <w:szCs w:val="21"/>
                <w:color w:val="auto"/>
              </w:rPr>
            </w:pPr>
          </w:p>
        </w:tc>
        <w:tc>
          <w:tcPr>
            <w:tcW w:w="100" w:type="dxa"/>
            <w:vAlign w:val="bottom"/>
            <w:shd w:val="clear" w:color="auto" w:fill="D6F3E8"/>
          </w:tcPr>
          <w:p>
            <w:pPr>
              <w:spacing w:after="0"/>
              <w:rPr>
                <w:sz w:val="21"/>
                <w:szCs w:val="21"/>
                <w:color w:val="auto"/>
              </w:rPr>
            </w:pPr>
          </w:p>
        </w:tc>
        <w:tc>
          <w:tcPr>
            <w:tcW w:w="116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924</w:t>
            </w:r>
          </w:p>
        </w:tc>
        <w:tc>
          <w:tcPr>
            <w:tcW w:w="8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gridSpan w:val="2"/>
          </w:tcPr>
          <w:p>
            <w:pPr>
              <w:ind w:left="340"/>
              <w:spacing w:after="0"/>
              <w:rPr>
                <w:sz w:val="20"/>
                <w:szCs w:val="20"/>
                <w:color w:val="auto"/>
              </w:rPr>
            </w:pPr>
            <w:r>
              <w:rPr>
                <w:rFonts w:ascii="Arial" w:cs="Arial" w:eastAsia="Arial" w:hAnsi="Arial"/>
                <w:sz w:val="18"/>
                <w:szCs w:val="18"/>
                <w:color w:val="auto"/>
              </w:rPr>
              <w:t>Other accruals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1,627</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1,592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460" w:type="dxa"/>
            <w:vAlign w:val="bottom"/>
            <w:tcBorders>
              <w:top w:val="single" w:sz="8" w:color="D6F3E8"/>
            </w:tcBorders>
            <w:gridSpan w:val="2"/>
            <w:shd w:val="clear" w:color="auto" w:fill="D6F3E8"/>
          </w:tcPr>
          <w:p>
            <w:pPr>
              <w:ind w:left="66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shd w:val="clear" w:color="auto" w:fill="D6F3E8"/>
          </w:tcPr>
          <w:p>
            <w:pPr>
              <w:spacing w:after="0"/>
              <w:rPr>
                <w:sz w:val="19"/>
                <w:szCs w:val="19"/>
                <w:color w:val="auto"/>
              </w:rPr>
            </w:pPr>
          </w:p>
        </w:tc>
        <w:tc>
          <w:tcPr>
            <w:tcW w:w="11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24,718</w:t>
            </w:r>
          </w:p>
        </w:tc>
        <w:tc>
          <w:tcPr>
            <w:tcW w:w="320" w:type="dxa"/>
            <w:vAlign w:val="bottom"/>
            <w:tcBorders>
              <w:top w:val="single" w:sz="8" w:color="D6F3E8"/>
            </w:tcBorders>
            <w:shd w:val="clear" w:color="auto" w:fill="D6F3E8"/>
          </w:tcPr>
          <w:p>
            <w:pPr>
              <w:spacing w:after="0"/>
              <w:rPr>
                <w:sz w:val="19"/>
                <w:szCs w:val="19"/>
                <w:color w:val="auto"/>
              </w:rPr>
            </w:pPr>
          </w:p>
        </w:tc>
        <w:tc>
          <w:tcPr>
            <w:tcW w:w="20" w:type="dxa"/>
            <w:vAlign w:val="bottom"/>
            <w:tcBorders>
              <w:top w:val="single" w:sz="8" w:color="D6F3E8"/>
            </w:tcBorders>
            <w:shd w:val="clear" w:color="auto" w:fill="D6F3E8"/>
          </w:tcPr>
          <w:p>
            <w:pPr>
              <w:spacing w:after="0"/>
              <w:rPr>
                <w:sz w:val="19"/>
                <w:szCs w:val="19"/>
                <w:color w:val="auto"/>
              </w:rPr>
            </w:pPr>
          </w:p>
        </w:tc>
        <w:tc>
          <w:tcPr>
            <w:tcW w:w="100" w:type="dxa"/>
            <w:vAlign w:val="bottom"/>
            <w:tcBorders>
              <w:top w:val="single" w:sz="8" w:color="auto"/>
            </w:tcBorders>
            <w:shd w:val="clear" w:color="auto" w:fill="D6F3E8"/>
          </w:tcPr>
          <w:p>
            <w:pPr>
              <w:spacing w:after="0"/>
              <w:rPr>
                <w:sz w:val="19"/>
                <w:szCs w:val="19"/>
                <w:color w:val="auto"/>
              </w:rPr>
            </w:pPr>
          </w:p>
        </w:tc>
        <w:tc>
          <w:tcPr>
            <w:tcW w:w="11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30,607</w:t>
            </w:r>
          </w:p>
        </w:tc>
        <w:tc>
          <w:tcPr>
            <w:tcW w:w="20" w:type="dxa"/>
            <w:vAlign w:val="bottom"/>
            <w:tcBorders>
              <w:top w:val="single" w:sz="8" w:color="D6F3E8"/>
            </w:tcBorders>
            <w:shd w:val="clear" w:color="auto" w:fill="D6F3E8"/>
          </w:tcPr>
          <w:p>
            <w:pPr>
              <w:spacing w:after="0"/>
              <w:rPr>
                <w:sz w:val="19"/>
                <w:szCs w:val="19"/>
                <w:color w:val="auto"/>
              </w:rPr>
            </w:pPr>
          </w:p>
        </w:tc>
        <w:tc>
          <w:tcPr>
            <w:tcW w:w="80" w:type="dxa"/>
            <w:vAlign w:val="bottom"/>
            <w:tcBorders>
              <w:top w:val="single" w:sz="8" w:color="D6F3E8"/>
            </w:tcBorders>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486"/>
        </w:trPr>
        <w:tc>
          <w:tcPr>
            <w:tcW w:w="846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160" w:type="dxa"/>
            <w:vAlign w:val="bottom"/>
          </w:tcPr>
          <w:p>
            <w:pPr>
              <w:spacing w:after="0"/>
              <w:rPr>
                <w:sz w:val="24"/>
                <w:szCs w:val="24"/>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297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633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46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D6F3E8"/>
          </w:tcPr>
          <w:p>
            <w:pPr>
              <w:spacing w:after="0"/>
              <w:rPr>
                <w:sz w:val="21"/>
                <w:szCs w:val="21"/>
                <w:color w:val="auto"/>
              </w:rPr>
            </w:pP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7,538</w:t>
            </w:r>
          </w:p>
        </w:tc>
        <w:tc>
          <w:tcPr>
            <w:tcW w:w="320" w:type="dxa"/>
            <w:vAlign w:val="bottom"/>
            <w:shd w:val="clear" w:color="auto" w:fill="D6F3E8"/>
          </w:tcPr>
          <w:p>
            <w:pPr>
              <w:spacing w:after="0"/>
              <w:rPr>
                <w:sz w:val="21"/>
                <w:szCs w:val="21"/>
                <w:color w:val="auto"/>
              </w:rPr>
            </w:pPr>
          </w:p>
        </w:tc>
        <w:tc>
          <w:tcPr>
            <w:tcW w:w="20" w:type="dxa"/>
            <w:vAlign w:val="bottom"/>
            <w:shd w:val="clear" w:color="auto" w:fill="D6F3E8"/>
          </w:tcPr>
          <w:p>
            <w:pPr>
              <w:spacing w:after="0"/>
              <w:rPr>
                <w:sz w:val="21"/>
                <w:szCs w:val="21"/>
                <w:color w:val="auto"/>
              </w:rPr>
            </w:pPr>
          </w:p>
        </w:tc>
        <w:tc>
          <w:tcPr>
            <w:tcW w:w="100" w:type="dxa"/>
            <w:vAlign w:val="bottom"/>
            <w:shd w:val="clear" w:color="auto" w:fill="D6F3E8"/>
          </w:tcPr>
          <w:p>
            <w:pPr>
              <w:spacing w:after="0"/>
              <w:rPr>
                <w:sz w:val="21"/>
                <w:szCs w:val="21"/>
                <w:color w:val="auto"/>
              </w:rPr>
            </w:pPr>
          </w:p>
        </w:tc>
        <w:tc>
          <w:tcPr>
            <w:tcW w:w="116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7,555</w:t>
            </w:r>
          </w:p>
        </w:tc>
        <w:tc>
          <w:tcPr>
            <w:tcW w:w="8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846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846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60" w:type="dxa"/>
            <w:vAlign w:val="bottom"/>
            <w:gridSpan w:val="2"/>
          </w:tcPr>
          <w:p>
            <w:pPr>
              <w:ind w:left="340"/>
              <w:spacing w:after="0"/>
              <w:rPr>
                <w:sz w:val="20"/>
                <w:szCs w:val="20"/>
                <w:color w:val="auto"/>
              </w:rPr>
            </w:pPr>
            <w:r>
              <w:rPr>
                <w:rFonts w:ascii="Arial" w:cs="Arial" w:eastAsia="Arial" w:hAnsi="Arial"/>
                <w:sz w:val="18"/>
                <w:szCs w:val="18"/>
                <w:color w:val="auto"/>
                <w:w w:val="94"/>
              </w:rPr>
              <w:t>Common stock, par value $0.05; 10,253,458 shares issued and outstanding as of June 30, 2010 and March</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ind w:left="500"/>
              <w:spacing w:after="0"/>
              <w:rPr>
                <w:sz w:val="20"/>
                <w:szCs w:val="20"/>
                <w:color w:val="auto"/>
              </w:rPr>
            </w:pPr>
            <w:r>
              <w:rPr>
                <w:rFonts w:ascii="Arial" w:cs="Arial" w:eastAsia="Arial" w:hAnsi="Arial"/>
                <w:sz w:val="18"/>
                <w:szCs w:val="18"/>
                <w:color w:val="auto"/>
                <w:w w:val="91"/>
              </w:rPr>
              <w:t>28, 2010</w:t>
            </w:r>
          </w:p>
        </w:tc>
        <w:tc>
          <w:tcPr>
            <w:tcW w:w="7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513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513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460" w:type="dxa"/>
            <w:vAlign w:val="bottom"/>
            <w:gridSpan w:val="2"/>
            <w:shd w:val="clear" w:color="auto" w:fill="D6F3E8"/>
          </w:tcPr>
          <w:p>
            <w:pPr>
              <w:ind w:left="34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D6F3E8"/>
          </w:tcPr>
          <w:p>
            <w:pPr>
              <w:spacing w:after="0"/>
              <w:rPr>
                <w:sz w:val="21"/>
                <w:szCs w:val="21"/>
                <w:color w:val="auto"/>
              </w:rPr>
            </w:pPr>
          </w:p>
        </w:tc>
        <w:tc>
          <w:tcPr>
            <w:tcW w:w="14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39,309</w:t>
            </w:r>
          </w:p>
        </w:tc>
        <w:tc>
          <w:tcPr>
            <w:tcW w:w="20" w:type="dxa"/>
            <w:vAlign w:val="bottom"/>
            <w:shd w:val="clear" w:color="auto" w:fill="D6F3E8"/>
          </w:tcPr>
          <w:p>
            <w:pPr>
              <w:spacing w:after="0"/>
              <w:rPr>
                <w:sz w:val="21"/>
                <w:szCs w:val="21"/>
                <w:color w:val="auto"/>
              </w:rPr>
            </w:pPr>
          </w:p>
        </w:tc>
        <w:tc>
          <w:tcPr>
            <w:tcW w:w="100" w:type="dxa"/>
            <w:vAlign w:val="bottom"/>
            <w:shd w:val="clear" w:color="auto" w:fill="D6F3E8"/>
          </w:tcPr>
          <w:p>
            <w:pPr>
              <w:spacing w:after="0"/>
              <w:rPr>
                <w:sz w:val="21"/>
                <w:szCs w:val="21"/>
                <w:color w:val="auto"/>
              </w:rPr>
            </w:pPr>
          </w:p>
        </w:tc>
        <w:tc>
          <w:tcPr>
            <w:tcW w:w="116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39,027</w:t>
            </w:r>
          </w:p>
        </w:tc>
        <w:tc>
          <w:tcPr>
            <w:tcW w:w="8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gridSpan w:val="2"/>
          </w:tcPr>
          <w:p>
            <w:pPr>
              <w:ind w:left="34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21"/>
                <w:szCs w:val="21"/>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89,258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81,921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gridSpan w:val="2"/>
            <w:shd w:val="clear" w:color="auto" w:fill="D6F3E8"/>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shd w:val="clear" w:color="auto" w:fill="D6F3E8"/>
          </w:tcPr>
          <w:p>
            <w:pPr>
              <w:spacing w:after="0"/>
              <w:rPr>
                <w:sz w:val="21"/>
                <w:szCs w:val="21"/>
                <w:color w:val="auto"/>
              </w:rPr>
            </w:pP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w:t>
            </w:r>
          </w:p>
        </w:tc>
        <w:tc>
          <w:tcPr>
            <w:tcW w:w="320" w:type="dxa"/>
            <w:vAlign w:val="bottom"/>
            <w:shd w:val="clear" w:color="auto" w:fill="D6F3E8"/>
          </w:tcPr>
          <w:p>
            <w:pPr>
              <w:spacing w:after="0"/>
              <w:rPr>
                <w:sz w:val="21"/>
                <w:szCs w:val="21"/>
                <w:color w:val="auto"/>
              </w:rPr>
            </w:pPr>
          </w:p>
        </w:tc>
        <w:tc>
          <w:tcPr>
            <w:tcW w:w="20" w:type="dxa"/>
            <w:vAlign w:val="bottom"/>
            <w:shd w:val="clear" w:color="auto" w:fill="D6F3E8"/>
          </w:tcPr>
          <w:p>
            <w:pPr>
              <w:spacing w:after="0"/>
              <w:rPr>
                <w:sz w:val="21"/>
                <w:szCs w:val="21"/>
                <w:color w:val="auto"/>
              </w:rPr>
            </w:pPr>
          </w:p>
        </w:tc>
        <w:tc>
          <w:tcPr>
            <w:tcW w:w="100" w:type="dxa"/>
            <w:vAlign w:val="bottom"/>
            <w:shd w:val="clear" w:color="auto" w:fill="D6F3E8"/>
          </w:tcPr>
          <w:p>
            <w:pPr>
              <w:spacing w:after="0"/>
              <w:rPr>
                <w:sz w:val="21"/>
                <w:szCs w:val="21"/>
                <w:color w:val="auto"/>
              </w:rPr>
            </w:pPr>
          </w:p>
        </w:tc>
        <w:tc>
          <w:tcPr>
            <w:tcW w:w="116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37</w:t>
            </w:r>
          </w:p>
        </w:tc>
        <w:tc>
          <w:tcPr>
            <w:tcW w:w="8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460" w:type="dxa"/>
            <w:vAlign w:val="bottom"/>
            <w:gridSpan w:val="2"/>
          </w:tcPr>
          <w:p>
            <w:pPr>
              <w:ind w:left="66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129,092</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121,498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161,645</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160,293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1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INCOME (UNAUDITED)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Three Months Ended June 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860" w:type="dxa"/>
            <w:vAlign w:val="bottom"/>
          </w:tcPr>
          <w:p>
            <w:pPr>
              <w:spacing w:after="0"/>
              <w:rPr>
                <w:sz w:val="20"/>
                <w:szCs w:val="20"/>
                <w:color w:val="auto"/>
              </w:rPr>
            </w:pPr>
            <w:r>
              <w:rPr>
                <w:rFonts w:ascii="Arial" w:cs="Arial" w:eastAsia="Arial" w:hAnsi="Arial"/>
                <w:sz w:val="14"/>
                <w:szCs w:val="14"/>
                <w:b w:val="1"/>
                <w:bCs w:val="1"/>
                <w:color w:val="auto"/>
              </w:rPr>
              <w:t>(In thousands, except share and per-share data)</w:t>
            </w:r>
          </w:p>
        </w:tc>
        <w:tc>
          <w:tcPr>
            <w:tcW w:w="37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2010</w:t>
            </w:r>
          </w:p>
        </w:tc>
        <w:tc>
          <w:tcPr>
            <w:tcW w:w="20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860" w:type="dxa"/>
            <w:vAlign w:val="bottom"/>
            <w:shd w:val="clear" w:color="auto" w:fill="D6F3E8"/>
          </w:tcPr>
          <w:p>
            <w:pPr>
              <w:spacing w:after="0"/>
              <w:rPr>
                <w:sz w:val="20"/>
                <w:szCs w:val="20"/>
                <w:color w:val="auto"/>
              </w:rPr>
            </w:pPr>
            <w:r>
              <w:rPr>
                <w:rFonts w:ascii="Arial" w:cs="Arial" w:eastAsia="Arial" w:hAnsi="Arial"/>
                <w:sz w:val="18"/>
                <w:szCs w:val="18"/>
                <w:color w:val="auto"/>
              </w:rPr>
              <w:t>Sales</w:t>
            </w:r>
          </w:p>
        </w:tc>
        <w:tc>
          <w:tcPr>
            <w:tcW w:w="3960" w:type="dxa"/>
            <w:vAlign w:val="bottom"/>
            <w:gridSpan w:val="2"/>
            <w:shd w:val="clear" w:color="auto" w:fill="D6F3E8"/>
          </w:tcPr>
          <w:p>
            <w:pPr>
              <w:jc w:val="right"/>
              <w:ind w:right="10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74,665</w:t>
            </w:r>
          </w:p>
        </w:tc>
        <w:tc>
          <w:tcPr>
            <w:tcW w:w="280" w:type="dxa"/>
            <w:vAlign w:val="bottom"/>
            <w:shd w:val="clear" w:color="auto" w:fill="D6F3E8"/>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73,586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4860" w:type="dxa"/>
            <w:vAlign w:val="bottom"/>
          </w:tcPr>
          <w:p>
            <w:pPr>
              <w:spacing w:after="0"/>
              <w:rPr>
                <w:sz w:val="20"/>
                <w:szCs w:val="20"/>
                <w:color w:val="auto"/>
              </w:rPr>
            </w:pPr>
            <w:r>
              <w:rPr>
                <w:rFonts w:ascii="Arial" w:cs="Arial" w:eastAsia="Arial" w:hAnsi="Arial"/>
                <w:sz w:val="18"/>
                <w:szCs w:val="18"/>
                <w:color w:val="auto"/>
              </w:rPr>
              <w:t>Cost of sales</w:t>
            </w:r>
          </w:p>
        </w:tc>
        <w:tc>
          <w:tcPr>
            <w:tcW w:w="3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(56,218)</w:t>
            </w:r>
          </w:p>
        </w:tc>
        <w:tc>
          <w:tcPr>
            <w:tcW w:w="280" w:type="dxa"/>
            <w:vAlign w:val="bottom"/>
          </w:tcPr>
          <w:p>
            <w:pPr>
              <w:spacing w:after="0"/>
              <w:rPr>
                <w:sz w:val="24"/>
                <w:szCs w:val="2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(57,730)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8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860" w:type="dxa"/>
            <w:vAlign w:val="bottom"/>
            <w:shd w:val="clear" w:color="auto" w:fill="D6F3E8"/>
          </w:tcPr>
          <w:p>
            <w:pPr>
              <w:spacing w:after="0"/>
              <w:rPr>
                <w:sz w:val="20"/>
                <w:szCs w:val="20"/>
                <w:color w:val="auto"/>
              </w:rPr>
            </w:pPr>
            <w:r>
              <w:rPr>
                <w:rFonts w:ascii="Arial" w:cs="Arial" w:eastAsia="Arial" w:hAnsi="Arial"/>
                <w:sz w:val="18"/>
                <w:szCs w:val="18"/>
                <w:color w:val="auto"/>
              </w:rPr>
              <w:t>Gross profit</w:t>
            </w:r>
          </w:p>
        </w:tc>
        <w:tc>
          <w:tcPr>
            <w:tcW w:w="3700" w:type="dxa"/>
            <w:vAlign w:val="bottom"/>
            <w:shd w:val="clear" w:color="auto" w:fill="D6F3E8"/>
          </w:tcPr>
          <w:p>
            <w:pPr>
              <w:spacing w:after="0"/>
              <w:rPr>
                <w:sz w:val="21"/>
                <w:szCs w:val="21"/>
                <w:color w:val="auto"/>
              </w:rPr>
            </w:pPr>
          </w:p>
        </w:tc>
        <w:tc>
          <w:tcPr>
            <w:tcW w:w="260" w:type="dxa"/>
            <w:vAlign w:val="bottom"/>
            <w:shd w:val="clear" w:color="auto" w:fill="D6F3E8"/>
          </w:tcPr>
          <w:p>
            <w:pPr>
              <w:spacing w:after="0"/>
              <w:rPr>
                <w:sz w:val="21"/>
                <w:szCs w:val="21"/>
                <w:color w:val="auto"/>
              </w:rPr>
            </w:pPr>
          </w:p>
        </w:tc>
        <w:tc>
          <w:tcPr>
            <w:tcW w:w="120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18,447</w:t>
            </w:r>
          </w:p>
        </w:tc>
        <w:tc>
          <w:tcPr>
            <w:tcW w:w="280" w:type="dxa"/>
            <w:vAlign w:val="bottom"/>
            <w:shd w:val="clear" w:color="auto" w:fill="D6F3E8"/>
          </w:tcPr>
          <w:p>
            <w:pPr>
              <w:spacing w:after="0"/>
              <w:rPr>
                <w:sz w:val="21"/>
                <w:szCs w:val="21"/>
                <w:color w:val="auto"/>
              </w:rPr>
            </w:pPr>
          </w:p>
        </w:tc>
        <w:tc>
          <w:tcPr>
            <w:tcW w:w="112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15,856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48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(6,661)</w:t>
            </w:r>
          </w:p>
        </w:tc>
        <w:tc>
          <w:tcPr>
            <w:tcW w:w="280" w:type="dxa"/>
            <w:vAlign w:val="bottom"/>
          </w:tcPr>
          <w:p>
            <w:pPr>
              <w:spacing w:after="0"/>
              <w:rPr>
                <w:sz w:val="24"/>
                <w:szCs w:val="2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(6,355)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8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860" w:type="dxa"/>
            <w:vAlign w:val="bottom"/>
            <w:shd w:val="clear" w:color="auto" w:fill="D6F3E8"/>
          </w:tcPr>
          <w:p>
            <w:pPr>
              <w:spacing w:after="0"/>
              <w:rPr>
                <w:sz w:val="20"/>
                <w:szCs w:val="20"/>
                <w:color w:val="auto"/>
              </w:rPr>
            </w:pPr>
            <w:r>
              <w:rPr>
                <w:rFonts w:ascii="Arial" w:cs="Arial" w:eastAsia="Arial" w:hAnsi="Arial"/>
                <w:sz w:val="18"/>
                <w:szCs w:val="18"/>
                <w:color w:val="auto"/>
              </w:rPr>
              <w:t>Operating income</w:t>
            </w:r>
          </w:p>
        </w:tc>
        <w:tc>
          <w:tcPr>
            <w:tcW w:w="3700" w:type="dxa"/>
            <w:vAlign w:val="bottom"/>
            <w:shd w:val="clear" w:color="auto" w:fill="D6F3E8"/>
          </w:tcPr>
          <w:p>
            <w:pPr>
              <w:spacing w:after="0"/>
              <w:rPr>
                <w:sz w:val="21"/>
                <w:szCs w:val="21"/>
                <w:color w:val="auto"/>
              </w:rPr>
            </w:pPr>
          </w:p>
        </w:tc>
        <w:tc>
          <w:tcPr>
            <w:tcW w:w="260" w:type="dxa"/>
            <w:vAlign w:val="bottom"/>
            <w:shd w:val="clear" w:color="auto" w:fill="D6F3E8"/>
          </w:tcPr>
          <w:p>
            <w:pPr>
              <w:spacing w:after="0"/>
              <w:rPr>
                <w:sz w:val="21"/>
                <w:szCs w:val="21"/>
                <w:color w:val="auto"/>
              </w:rPr>
            </w:pP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11,786</w:t>
            </w:r>
          </w:p>
        </w:tc>
        <w:tc>
          <w:tcPr>
            <w:tcW w:w="200" w:type="dxa"/>
            <w:vAlign w:val="bottom"/>
            <w:shd w:val="clear" w:color="auto" w:fill="D6F3E8"/>
          </w:tcPr>
          <w:p>
            <w:pPr>
              <w:spacing w:after="0"/>
              <w:rPr>
                <w:sz w:val="21"/>
                <w:szCs w:val="21"/>
                <w:color w:val="auto"/>
              </w:rPr>
            </w:pPr>
          </w:p>
        </w:tc>
        <w:tc>
          <w:tcPr>
            <w:tcW w:w="280" w:type="dxa"/>
            <w:vAlign w:val="bottom"/>
            <w:shd w:val="clear" w:color="auto" w:fill="D6F3E8"/>
          </w:tcPr>
          <w:p>
            <w:pPr>
              <w:spacing w:after="0"/>
              <w:rPr>
                <w:sz w:val="21"/>
                <w:szCs w:val="21"/>
                <w:color w:val="auto"/>
              </w:rPr>
            </w:pP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9,501</w:t>
            </w:r>
          </w:p>
        </w:tc>
        <w:tc>
          <w:tcPr>
            <w:tcW w:w="120" w:type="dxa"/>
            <w:vAlign w:val="bottom"/>
            <w:shd w:val="clear" w:color="auto" w:fill="D6F3E8"/>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4860" w:type="dxa"/>
            <w:vAlign w:val="bottom"/>
          </w:tcPr>
          <w:p>
            <w:pPr>
              <w:spacing w:after="0"/>
              <w:rPr>
                <w:sz w:val="20"/>
                <w:szCs w:val="20"/>
                <w:color w:val="auto"/>
              </w:rPr>
            </w:pPr>
            <w:r>
              <w:rPr>
                <w:rFonts w:ascii="Arial" w:cs="Arial" w:eastAsia="Arial" w:hAnsi="Arial"/>
                <w:sz w:val="18"/>
                <w:szCs w:val="18"/>
                <w:color w:val="auto"/>
              </w:rPr>
              <w:t>Investment income</w:t>
            </w:r>
          </w:p>
        </w:tc>
        <w:tc>
          <w:tcPr>
            <w:tcW w:w="3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106</w:t>
            </w:r>
          </w:p>
        </w:tc>
        <w:tc>
          <w:tcPr>
            <w:tcW w:w="280" w:type="dxa"/>
            <w:vAlign w:val="bottom"/>
          </w:tcPr>
          <w:p>
            <w:pPr>
              <w:spacing w:after="0"/>
              <w:rPr>
                <w:sz w:val="24"/>
                <w:szCs w:val="2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8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860" w:type="dxa"/>
            <w:vAlign w:val="bottom"/>
            <w:shd w:val="clear" w:color="auto" w:fill="D6F3E8"/>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3700" w:type="dxa"/>
            <w:vAlign w:val="bottom"/>
            <w:shd w:val="clear" w:color="auto" w:fill="D6F3E8"/>
          </w:tcPr>
          <w:p>
            <w:pPr>
              <w:spacing w:after="0"/>
              <w:rPr>
                <w:sz w:val="21"/>
                <w:szCs w:val="21"/>
                <w:color w:val="auto"/>
              </w:rPr>
            </w:pPr>
          </w:p>
        </w:tc>
        <w:tc>
          <w:tcPr>
            <w:tcW w:w="260" w:type="dxa"/>
            <w:vAlign w:val="bottom"/>
            <w:shd w:val="clear" w:color="auto" w:fill="D6F3E8"/>
          </w:tcPr>
          <w:p>
            <w:pPr>
              <w:spacing w:after="0"/>
              <w:rPr>
                <w:sz w:val="21"/>
                <w:szCs w:val="21"/>
                <w:color w:val="auto"/>
              </w:rPr>
            </w:pP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11,892</w:t>
            </w:r>
          </w:p>
        </w:tc>
        <w:tc>
          <w:tcPr>
            <w:tcW w:w="200" w:type="dxa"/>
            <w:vAlign w:val="bottom"/>
            <w:shd w:val="clear" w:color="auto" w:fill="D6F3E8"/>
          </w:tcPr>
          <w:p>
            <w:pPr>
              <w:spacing w:after="0"/>
              <w:rPr>
                <w:sz w:val="21"/>
                <w:szCs w:val="21"/>
                <w:color w:val="auto"/>
              </w:rPr>
            </w:pPr>
          </w:p>
        </w:tc>
        <w:tc>
          <w:tcPr>
            <w:tcW w:w="280" w:type="dxa"/>
            <w:vAlign w:val="bottom"/>
            <w:shd w:val="clear" w:color="auto" w:fill="D6F3E8"/>
          </w:tcPr>
          <w:p>
            <w:pPr>
              <w:spacing w:after="0"/>
              <w:rPr>
                <w:sz w:val="21"/>
                <w:szCs w:val="21"/>
                <w:color w:val="auto"/>
              </w:rPr>
            </w:pP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9,510</w:t>
            </w:r>
          </w:p>
        </w:tc>
        <w:tc>
          <w:tcPr>
            <w:tcW w:w="120" w:type="dxa"/>
            <w:vAlign w:val="bottom"/>
            <w:shd w:val="clear" w:color="auto" w:fill="D6F3E8"/>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48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(4,555)</w:t>
            </w:r>
          </w:p>
        </w:tc>
        <w:tc>
          <w:tcPr>
            <w:tcW w:w="280" w:type="dxa"/>
            <w:vAlign w:val="bottom"/>
          </w:tcPr>
          <w:p>
            <w:pPr>
              <w:spacing w:after="0"/>
              <w:rPr>
                <w:sz w:val="24"/>
                <w:szCs w:val="2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(3,566)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8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860" w:type="dxa"/>
            <w:vAlign w:val="bottom"/>
            <w:shd w:val="clear" w:color="auto" w:fill="D6F3E8"/>
          </w:tcPr>
          <w:p>
            <w:pPr>
              <w:spacing w:after="0"/>
              <w:rPr>
                <w:sz w:val="20"/>
                <w:szCs w:val="20"/>
                <w:color w:val="auto"/>
              </w:rPr>
            </w:pPr>
            <w:r>
              <w:rPr>
                <w:rFonts w:ascii="Arial" w:cs="Arial" w:eastAsia="Arial" w:hAnsi="Arial"/>
                <w:sz w:val="18"/>
                <w:szCs w:val="18"/>
                <w:color w:val="auto"/>
              </w:rPr>
              <w:t>Income from continuing operations</w:t>
            </w:r>
          </w:p>
        </w:tc>
        <w:tc>
          <w:tcPr>
            <w:tcW w:w="3700" w:type="dxa"/>
            <w:vAlign w:val="bottom"/>
            <w:shd w:val="clear" w:color="auto" w:fill="D6F3E8"/>
          </w:tcPr>
          <w:p>
            <w:pPr>
              <w:spacing w:after="0"/>
              <w:rPr>
                <w:sz w:val="21"/>
                <w:szCs w:val="21"/>
                <w:color w:val="auto"/>
              </w:rPr>
            </w:pPr>
          </w:p>
        </w:tc>
        <w:tc>
          <w:tcPr>
            <w:tcW w:w="260" w:type="dxa"/>
            <w:vAlign w:val="bottom"/>
            <w:shd w:val="clear" w:color="auto" w:fill="D6F3E8"/>
          </w:tcPr>
          <w:p>
            <w:pPr>
              <w:spacing w:after="0"/>
              <w:rPr>
                <w:sz w:val="21"/>
                <w:szCs w:val="21"/>
                <w:color w:val="auto"/>
              </w:rPr>
            </w:pPr>
          </w:p>
        </w:tc>
        <w:tc>
          <w:tcPr>
            <w:tcW w:w="120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7,337</w:t>
            </w:r>
          </w:p>
        </w:tc>
        <w:tc>
          <w:tcPr>
            <w:tcW w:w="280" w:type="dxa"/>
            <w:vAlign w:val="bottom"/>
            <w:shd w:val="clear" w:color="auto" w:fill="D6F3E8"/>
          </w:tcPr>
          <w:p>
            <w:pPr>
              <w:spacing w:after="0"/>
              <w:rPr>
                <w:sz w:val="21"/>
                <w:szCs w:val="21"/>
                <w:color w:val="auto"/>
              </w:rPr>
            </w:pP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5,944</w:t>
            </w:r>
          </w:p>
        </w:tc>
        <w:tc>
          <w:tcPr>
            <w:tcW w:w="120" w:type="dxa"/>
            <w:vAlign w:val="bottom"/>
            <w:shd w:val="clear" w:color="auto" w:fill="D6F3E8"/>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4860" w:type="dxa"/>
            <w:vAlign w:val="bottom"/>
          </w:tcPr>
          <w:p>
            <w:pPr>
              <w:spacing w:after="0"/>
              <w:rPr>
                <w:sz w:val="20"/>
                <w:szCs w:val="20"/>
                <w:color w:val="auto"/>
              </w:rPr>
            </w:pPr>
            <w:r>
              <w:rPr>
                <w:rFonts w:ascii="Arial" w:cs="Arial" w:eastAsia="Arial" w:hAnsi="Arial"/>
                <w:sz w:val="18"/>
                <w:szCs w:val="18"/>
                <w:color w:val="auto"/>
              </w:rPr>
              <w:t>Income from discontinued operations, net of tax</w:t>
            </w:r>
          </w:p>
        </w:tc>
        <w:tc>
          <w:tcPr>
            <w:tcW w:w="3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8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D6F3E8"/>
          </w:tcPr>
          <w:p>
            <w:pPr>
              <w:spacing w:after="0"/>
              <w:rPr>
                <w:sz w:val="20"/>
                <w:szCs w:val="20"/>
                <w:color w:val="auto"/>
              </w:rPr>
            </w:pPr>
            <w:r>
              <w:rPr>
                <w:rFonts w:ascii="Arial" w:cs="Arial" w:eastAsia="Arial" w:hAnsi="Arial"/>
                <w:sz w:val="18"/>
                <w:szCs w:val="18"/>
                <w:color w:val="auto"/>
              </w:rPr>
              <w:t>Net income</w:t>
            </w:r>
          </w:p>
        </w:tc>
        <w:tc>
          <w:tcPr>
            <w:tcW w:w="3960" w:type="dxa"/>
            <w:vAlign w:val="bottom"/>
            <w:gridSpan w:val="2"/>
            <w:shd w:val="clear" w:color="auto" w:fill="D6F3E8"/>
          </w:tcPr>
          <w:p>
            <w:pPr>
              <w:jc w:val="right"/>
              <w:ind w:right="10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7,337</w:t>
            </w:r>
          </w:p>
        </w:tc>
        <w:tc>
          <w:tcPr>
            <w:tcW w:w="280" w:type="dxa"/>
            <w:vAlign w:val="bottom"/>
            <w:shd w:val="clear" w:color="auto" w:fill="D6F3E8"/>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6,053</w:t>
            </w:r>
          </w:p>
        </w:tc>
        <w:tc>
          <w:tcPr>
            <w:tcW w:w="120" w:type="dxa"/>
            <w:vAlign w:val="bottom"/>
            <w:shd w:val="clear" w:color="auto" w:fill="D6F3E8"/>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D6F3E8"/>
            </w:tcBorders>
          </w:tcPr>
          <w:p>
            <w:pPr>
              <w:spacing w:after="0" w:line="20" w:lineRule="exact"/>
              <w:rPr>
                <w:sz w:val="1"/>
                <w:szCs w:val="1"/>
                <w:color w:val="auto"/>
              </w:rPr>
            </w:pPr>
          </w:p>
        </w:tc>
        <w:tc>
          <w:tcPr>
            <w:tcW w:w="3700" w:type="dxa"/>
            <w:vAlign w:val="bottom"/>
            <w:tcBorders>
              <w:top w:val="single" w:sz="8" w:color="D6F3E8"/>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6F3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6F3E8"/>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860" w:type="dxa"/>
            <w:vAlign w:val="bottom"/>
          </w:tcPr>
          <w:p>
            <w:pPr>
              <w:spacing w:after="0"/>
              <w:rPr>
                <w:sz w:val="20"/>
                <w:szCs w:val="20"/>
                <w:color w:val="auto"/>
              </w:rPr>
            </w:pPr>
            <w:r>
              <w:rPr>
                <w:rFonts w:ascii="Arial" w:cs="Arial" w:eastAsia="Arial" w:hAnsi="Arial"/>
                <w:sz w:val="18"/>
                <w:szCs w:val="18"/>
                <w:color w:val="auto"/>
              </w:rPr>
              <w:t>Weighted average number of shares outstanding-basic</w:t>
            </w:r>
          </w:p>
        </w:tc>
        <w:tc>
          <w:tcPr>
            <w:tcW w:w="3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10,253,458</w:t>
            </w:r>
          </w:p>
        </w:tc>
        <w:tc>
          <w:tcPr>
            <w:tcW w:w="280" w:type="dxa"/>
            <w:vAlign w:val="bottom"/>
          </w:tcPr>
          <w:p>
            <w:pPr>
              <w:spacing w:after="0"/>
              <w:rPr>
                <w:sz w:val="24"/>
                <w:szCs w:val="2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10,246,458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6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860" w:type="dxa"/>
            <w:vAlign w:val="bottom"/>
            <w:shd w:val="clear" w:color="auto" w:fill="D6F3E8"/>
          </w:tcPr>
          <w:p>
            <w:pPr>
              <w:spacing w:after="0"/>
              <w:rPr>
                <w:sz w:val="20"/>
                <w:szCs w:val="20"/>
                <w:color w:val="auto"/>
              </w:rPr>
            </w:pPr>
            <w:r>
              <w:rPr>
                <w:rFonts w:ascii="Arial" w:cs="Arial" w:eastAsia="Arial" w:hAnsi="Arial"/>
                <w:sz w:val="18"/>
                <w:szCs w:val="18"/>
                <w:color w:val="auto"/>
              </w:rPr>
              <w:t>Weighted average number of shares outstanding-diluted</w:t>
            </w:r>
          </w:p>
        </w:tc>
        <w:tc>
          <w:tcPr>
            <w:tcW w:w="3700" w:type="dxa"/>
            <w:vAlign w:val="bottom"/>
            <w:shd w:val="clear" w:color="auto" w:fill="D6F3E8"/>
          </w:tcPr>
          <w:p>
            <w:pPr>
              <w:spacing w:after="0"/>
              <w:rPr>
                <w:sz w:val="21"/>
                <w:szCs w:val="21"/>
                <w:color w:val="auto"/>
              </w:rPr>
            </w:pPr>
          </w:p>
        </w:tc>
        <w:tc>
          <w:tcPr>
            <w:tcW w:w="260" w:type="dxa"/>
            <w:vAlign w:val="bottom"/>
            <w:shd w:val="clear" w:color="auto" w:fill="D6F3E8"/>
          </w:tcPr>
          <w:p>
            <w:pPr>
              <w:spacing w:after="0"/>
              <w:rPr>
                <w:sz w:val="21"/>
                <w:szCs w:val="21"/>
                <w:color w:val="auto"/>
              </w:rPr>
            </w:pPr>
          </w:p>
        </w:tc>
        <w:tc>
          <w:tcPr>
            <w:tcW w:w="120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10,308,270</w:t>
            </w:r>
          </w:p>
        </w:tc>
        <w:tc>
          <w:tcPr>
            <w:tcW w:w="280" w:type="dxa"/>
            <w:vAlign w:val="bottom"/>
            <w:shd w:val="clear" w:color="auto" w:fill="D6F3E8"/>
          </w:tcPr>
          <w:p>
            <w:pPr>
              <w:spacing w:after="0"/>
              <w:rPr>
                <w:sz w:val="21"/>
                <w:szCs w:val="21"/>
                <w:color w:val="auto"/>
              </w:rPr>
            </w:pPr>
          </w:p>
        </w:tc>
        <w:tc>
          <w:tcPr>
            <w:tcW w:w="112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10,265,357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D6F3E8"/>
              <w:bottom w:val="single" w:sz="8" w:color="D6F3E8"/>
            </w:tcBorders>
            <w:vMerge w:val="restart"/>
          </w:tcPr>
          <w:p>
            <w:pPr>
              <w:spacing w:after="0"/>
              <w:rPr>
                <w:sz w:val="20"/>
                <w:szCs w:val="20"/>
                <w:color w:val="auto"/>
              </w:rPr>
            </w:pPr>
            <w:r>
              <w:rPr>
                <w:rFonts w:ascii="Arial" w:cs="Arial" w:eastAsia="Arial" w:hAnsi="Arial"/>
                <w:sz w:val="18"/>
                <w:szCs w:val="18"/>
                <w:color w:val="auto"/>
              </w:rPr>
              <w:t>Basic earnings per share</w:t>
            </w:r>
          </w:p>
        </w:tc>
        <w:tc>
          <w:tcPr>
            <w:tcW w:w="3700" w:type="dxa"/>
            <w:vAlign w:val="bottom"/>
            <w:tcBorders>
              <w:top w:val="single" w:sz="8" w:color="D6F3E8"/>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6F3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6F3E8"/>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860" w:type="dxa"/>
            <w:vAlign w:val="bottom"/>
            <w:vMerge w:val="continue"/>
          </w:tcPr>
          <w:p>
            <w:pPr>
              <w:spacing w:after="0"/>
              <w:rPr>
                <w:sz w:val="24"/>
                <w:szCs w:val="24"/>
                <w:color w:val="auto"/>
              </w:rPr>
            </w:pPr>
          </w:p>
        </w:tc>
        <w:tc>
          <w:tcPr>
            <w:tcW w:w="3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340"/>
              <w:spacing w:after="0"/>
              <w:rPr>
                <w:sz w:val="20"/>
                <w:szCs w:val="20"/>
                <w:color w:val="auto"/>
              </w:rPr>
            </w:pPr>
            <w:r>
              <w:rPr>
                <w:rFonts w:ascii="Arial" w:cs="Arial" w:eastAsia="Arial" w:hAnsi="Arial"/>
                <w:sz w:val="18"/>
                <w:szCs w:val="18"/>
                <w:color w:val="auto"/>
              </w:rPr>
              <w:t>Earnings per share from continuing operations</w:t>
            </w:r>
          </w:p>
        </w:tc>
        <w:tc>
          <w:tcPr>
            <w:tcW w:w="39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0.72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0.58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shd w:val="clear" w:color="auto" w:fill="D6F3E8"/>
          </w:tcPr>
          <w:p>
            <w:pPr>
              <w:ind w:left="340"/>
              <w:spacing w:after="0"/>
              <w:rPr>
                <w:sz w:val="20"/>
                <w:szCs w:val="20"/>
                <w:color w:val="auto"/>
              </w:rPr>
            </w:pPr>
            <w:r>
              <w:rPr>
                <w:rFonts w:ascii="Arial" w:cs="Arial" w:eastAsia="Arial" w:hAnsi="Arial"/>
                <w:sz w:val="18"/>
                <w:szCs w:val="18"/>
                <w:color w:val="auto"/>
              </w:rPr>
              <w:t>Earnings per share from discontinued operations</w:t>
            </w:r>
          </w:p>
        </w:tc>
        <w:tc>
          <w:tcPr>
            <w:tcW w:w="3700" w:type="dxa"/>
            <w:vAlign w:val="bottom"/>
            <w:shd w:val="clear" w:color="auto" w:fill="D6F3E8"/>
          </w:tcPr>
          <w:p>
            <w:pPr>
              <w:spacing w:after="0"/>
              <w:rPr>
                <w:sz w:val="21"/>
                <w:szCs w:val="21"/>
                <w:color w:val="auto"/>
              </w:rPr>
            </w:pPr>
          </w:p>
        </w:tc>
        <w:tc>
          <w:tcPr>
            <w:tcW w:w="260" w:type="dxa"/>
            <w:vAlign w:val="bottom"/>
            <w:shd w:val="clear" w:color="auto" w:fill="D6F3E8"/>
          </w:tcPr>
          <w:p>
            <w:pPr>
              <w:spacing w:after="0"/>
              <w:rPr>
                <w:sz w:val="21"/>
                <w:szCs w:val="21"/>
                <w:color w:val="auto"/>
              </w:rPr>
            </w:pPr>
          </w:p>
        </w:tc>
        <w:tc>
          <w:tcPr>
            <w:tcW w:w="120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D6F3E8"/>
          </w:tcPr>
          <w:p>
            <w:pPr>
              <w:spacing w:after="0"/>
              <w:rPr>
                <w:sz w:val="21"/>
                <w:szCs w:val="21"/>
                <w:color w:val="auto"/>
              </w:rPr>
            </w:pPr>
          </w:p>
        </w:tc>
        <w:tc>
          <w:tcPr>
            <w:tcW w:w="112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860" w:type="dxa"/>
            <w:vAlign w:val="bottom"/>
          </w:tcPr>
          <w:p>
            <w:pPr>
              <w:ind w:left="340"/>
              <w:spacing w:after="0"/>
              <w:rPr>
                <w:sz w:val="20"/>
                <w:szCs w:val="20"/>
                <w:color w:val="auto"/>
              </w:rPr>
            </w:pPr>
            <w:r>
              <w:rPr>
                <w:rFonts w:ascii="Arial" w:cs="Arial" w:eastAsia="Arial" w:hAnsi="Arial"/>
                <w:sz w:val="18"/>
                <w:szCs w:val="18"/>
                <w:color w:val="auto"/>
              </w:rPr>
              <w:t>Basic earnings per share</w:t>
            </w:r>
          </w:p>
        </w:tc>
        <w:tc>
          <w:tcPr>
            <w:tcW w:w="37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0.72</w:t>
            </w:r>
          </w:p>
        </w:tc>
        <w:tc>
          <w:tcPr>
            <w:tcW w:w="2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8"/>
                <w:szCs w:val="18"/>
                <w:color w:val="auto"/>
              </w:rPr>
              <w:t>Diluted earnings per share</w:t>
            </w:r>
          </w:p>
        </w:tc>
        <w:tc>
          <w:tcPr>
            <w:tcW w:w="3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860" w:type="dxa"/>
            <w:vAlign w:val="bottom"/>
            <w:vMerge w:val="continue"/>
          </w:tcPr>
          <w:p>
            <w:pPr>
              <w:spacing w:after="0"/>
              <w:rPr>
                <w:sz w:val="24"/>
                <w:szCs w:val="24"/>
                <w:color w:val="auto"/>
              </w:rPr>
            </w:pPr>
          </w:p>
        </w:tc>
        <w:tc>
          <w:tcPr>
            <w:tcW w:w="3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340"/>
              <w:spacing w:after="0"/>
              <w:rPr>
                <w:sz w:val="20"/>
                <w:szCs w:val="20"/>
                <w:color w:val="auto"/>
              </w:rPr>
            </w:pPr>
            <w:r>
              <w:rPr>
                <w:rFonts w:ascii="Arial" w:cs="Arial" w:eastAsia="Arial" w:hAnsi="Arial"/>
                <w:sz w:val="18"/>
                <w:szCs w:val="18"/>
                <w:color w:val="auto"/>
              </w:rPr>
              <w:t>Earnings per share from continuing operations</w:t>
            </w:r>
          </w:p>
        </w:tc>
        <w:tc>
          <w:tcPr>
            <w:tcW w:w="39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0.71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0.58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shd w:val="clear" w:color="auto" w:fill="D6F3E8"/>
          </w:tcPr>
          <w:p>
            <w:pPr>
              <w:ind w:left="340"/>
              <w:spacing w:after="0"/>
              <w:rPr>
                <w:sz w:val="20"/>
                <w:szCs w:val="20"/>
                <w:color w:val="auto"/>
              </w:rPr>
            </w:pPr>
            <w:r>
              <w:rPr>
                <w:rFonts w:ascii="Arial" w:cs="Arial" w:eastAsia="Arial" w:hAnsi="Arial"/>
                <w:sz w:val="18"/>
                <w:szCs w:val="18"/>
                <w:color w:val="auto"/>
              </w:rPr>
              <w:t>Earnings per share from discontinued operations</w:t>
            </w:r>
          </w:p>
        </w:tc>
        <w:tc>
          <w:tcPr>
            <w:tcW w:w="3700" w:type="dxa"/>
            <w:vAlign w:val="bottom"/>
            <w:shd w:val="clear" w:color="auto" w:fill="D6F3E8"/>
          </w:tcPr>
          <w:p>
            <w:pPr>
              <w:spacing w:after="0"/>
              <w:rPr>
                <w:sz w:val="21"/>
                <w:szCs w:val="21"/>
                <w:color w:val="auto"/>
              </w:rPr>
            </w:pPr>
          </w:p>
        </w:tc>
        <w:tc>
          <w:tcPr>
            <w:tcW w:w="260" w:type="dxa"/>
            <w:vAlign w:val="bottom"/>
            <w:shd w:val="clear" w:color="auto" w:fill="D6F3E8"/>
          </w:tcPr>
          <w:p>
            <w:pPr>
              <w:spacing w:after="0"/>
              <w:rPr>
                <w:sz w:val="21"/>
                <w:szCs w:val="21"/>
                <w:color w:val="auto"/>
              </w:rPr>
            </w:pPr>
          </w:p>
        </w:tc>
        <w:tc>
          <w:tcPr>
            <w:tcW w:w="120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D6F3E8"/>
          </w:tcPr>
          <w:p>
            <w:pPr>
              <w:spacing w:after="0"/>
              <w:rPr>
                <w:sz w:val="21"/>
                <w:szCs w:val="21"/>
                <w:color w:val="auto"/>
              </w:rPr>
            </w:pPr>
          </w:p>
        </w:tc>
        <w:tc>
          <w:tcPr>
            <w:tcW w:w="112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860" w:type="dxa"/>
            <w:vAlign w:val="bottom"/>
          </w:tcPr>
          <w:p>
            <w:pPr>
              <w:ind w:left="340"/>
              <w:spacing w:after="0"/>
              <w:rPr>
                <w:sz w:val="20"/>
                <w:szCs w:val="20"/>
                <w:color w:val="auto"/>
              </w:rPr>
            </w:pPr>
            <w:r>
              <w:rPr>
                <w:rFonts w:ascii="Arial" w:cs="Arial" w:eastAsia="Arial" w:hAnsi="Arial"/>
                <w:sz w:val="18"/>
                <w:szCs w:val="18"/>
                <w:color w:val="auto"/>
              </w:rPr>
              <w:t>Diluted earnings per share</w:t>
            </w:r>
          </w:p>
        </w:tc>
        <w:tc>
          <w:tcPr>
            <w:tcW w:w="37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0.71</w:t>
            </w:r>
          </w:p>
        </w:tc>
        <w:tc>
          <w:tcPr>
            <w:tcW w:w="2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6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D6F3E8"/>
          </w:tcPr>
          <w:p>
            <w:pPr>
              <w:spacing w:after="0"/>
              <w:rPr>
                <w:sz w:val="20"/>
                <w:szCs w:val="20"/>
                <w:color w:val="auto"/>
              </w:rPr>
            </w:pPr>
            <w:r>
              <w:rPr>
                <w:rFonts w:ascii="Arial" w:cs="Arial" w:eastAsia="Arial" w:hAnsi="Arial"/>
                <w:sz w:val="18"/>
                <w:szCs w:val="18"/>
                <w:color w:val="auto"/>
              </w:rPr>
              <w:t>Cash dividends declared per common share</w:t>
            </w:r>
          </w:p>
        </w:tc>
        <w:tc>
          <w:tcPr>
            <w:tcW w:w="3960" w:type="dxa"/>
            <w:vAlign w:val="bottom"/>
            <w:gridSpan w:val="2"/>
            <w:shd w:val="clear" w:color="auto" w:fill="D6F3E8"/>
          </w:tcPr>
          <w:p>
            <w:pPr>
              <w:jc w:val="right"/>
              <w:ind w:right="10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D6F3E8"/>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D6F3E8"/>
              <w:bottom w:val="single" w:sz="8" w:color="D6F3E8"/>
            </w:tcBorders>
            <w:vMerge w:val="restart"/>
          </w:tcPr>
          <w:p>
            <w:pPr>
              <w:spacing w:after="0"/>
              <w:rPr>
                <w:sz w:val="20"/>
                <w:szCs w:val="20"/>
                <w:color w:val="auto"/>
              </w:rPr>
            </w:pPr>
            <w:r>
              <w:rPr>
                <w:rFonts w:ascii="Arial" w:cs="Arial" w:eastAsia="Arial" w:hAnsi="Arial"/>
                <w:sz w:val="18"/>
                <w:szCs w:val="18"/>
                <w:color w:val="auto"/>
              </w:rPr>
              <w:t>See accompanying notes to financial statements.</w:t>
            </w:r>
          </w:p>
        </w:tc>
        <w:tc>
          <w:tcPr>
            <w:tcW w:w="3700" w:type="dxa"/>
            <w:vAlign w:val="bottom"/>
            <w:tcBorders>
              <w:top w:val="single" w:sz="8" w:color="D6F3E8"/>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6F3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6F3E8"/>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860" w:type="dxa"/>
            <w:vAlign w:val="bottom"/>
            <w:vMerge w:val="continue"/>
          </w:tcPr>
          <w:p>
            <w:pPr>
              <w:spacing w:after="0"/>
              <w:rPr>
                <w:sz w:val="24"/>
                <w:szCs w:val="24"/>
                <w:color w:val="auto"/>
              </w:rPr>
            </w:pPr>
          </w:p>
        </w:tc>
        <w:tc>
          <w:tcPr>
            <w:tcW w:w="3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4860" w:type="dxa"/>
            <w:vAlign w:val="bottom"/>
          </w:tcPr>
          <w:p>
            <w:pPr>
              <w:spacing w:after="0"/>
              <w:rPr>
                <w:sz w:val="24"/>
                <w:szCs w:val="24"/>
                <w:color w:val="auto"/>
              </w:rPr>
            </w:pPr>
          </w:p>
        </w:tc>
        <w:tc>
          <w:tcPr>
            <w:tcW w:w="3700" w:type="dxa"/>
            <w:vAlign w:val="bottom"/>
          </w:tcPr>
          <w:p>
            <w:pPr>
              <w:jc w:val="right"/>
              <w:ind w:right="271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4860" w:type="dxa"/>
            <w:vAlign w:val="bottom"/>
            <w:tcBorders>
              <w:bottom w:val="single" w:sz="8" w:color="808080"/>
            </w:tcBorders>
          </w:tcPr>
          <w:p>
            <w:pPr>
              <w:spacing w:after="0"/>
              <w:rPr>
                <w:sz w:val="24"/>
                <w:szCs w:val="24"/>
                <w:color w:val="auto"/>
              </w:rPr>
            </w:pPr>
          </w:p>
        </w:tc>
        <w:tc>
          <w:tcPr>
            <w:tcW w:w="37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68" w:right="21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CASH FLOWS (UNAUDITED)</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6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14"/>
                <w:szCs w:val="14"/>
                <w:color w:val="auto"/>
              </w:rPr>
            </w:pPr>
          </w:p>
        </w:tc>
        <w:tc>
          <w:tcPr>
            <w:tcW w:w="2660" w:type="dxa"/>
            <w:vAlign w:val="bottom"/>
            <w:gridSpan w:val="6"/>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0" w:type="dxa"/>
            <w:vAlign w:val="bottom"/>
          </w:tcPr>
          <w:p>
            <w:pPr>
              <w:spacing w:after="0"/>
              <w:rPr>
                <w:sz w:val="1"/>
                <w:szCs w:val="1"/>
                <w:color w:val="auto"/>
              </w:rPr>
            </w:pPr>
          </w:p>
        </w:tc>
      </w:tr>
      <w:tr>
        <w:trPr>
          <w:trHeight w:val="223"/>
        </w:trPr>
        <w:tc>
          <w:tcPr>
            <w:tcW w:w="8460" w:type="dxa"/>
            <w:vAlign w:val="bottom"/>
            <w:vMerge w:val="continue"/>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2010</w:t>
            </w: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846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460" w:type="dxa"/>
            <w:vAlign w:val="bottom"/>
            <w:shd w:val="clear" w:color="auto" w:fill="D6F3E8"/>
          </w:tcPr>
          <w:p>
            <w:pPr>
              <w:ind w:left="18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D6F3E8"/>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7,337</w:t>
            </w:r>
          </w:p>
        </w:tc>
        <w:tc>
          <w:tcPr>
            <w:tcW w:w="200" w:type="dxa"/>
            <w:vAlign w:val="bottom"/>
            <w:shd w:val="clear" w:color="auto" w:fill="D6F3E8"/>
          </w:tcPr>
          <w:p>
            <w:pPr>
              <w:spacing w:after="0"/>
              <w:rPr>
                <w:sz w:val="21"/>
                <w:szCs w:val="21"/>
                <w:color w:val="auto"/>
              </w:rPr>
            </w:pPr>
          </w:p>
        </w:tc>
        <w:tc>
          <w:tcPr>
            <w:tcW w:w="42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6,053</w:t>
            </w:r>
          </w:p>
        </w:tc>
        <w:tc>
          <w:tcPr>
            <w:tcW w:w="0" w:type="dxa"/>
            <w:vAlign w:val="bottom"/>
          </w:tcPr>
          <w:p>
            <w:pPr>
              <w:spacing w:after="0"/>
              <w:rPr>
                <w:sz w:val="1"/>
                <w:szCs w:val="1"/>
                <w:color w:val="auto"/>
              </w:rPr>
            </w:pPr>
          </w:p>
        </w:tc>
      </w:tr>
      <w:tr>
        <w:trPr>
          <w:trHeight w:val="243"/>
        </w:trPr>
        <w:tc>
          <w:tcPr>
            <w:tcW w:w="8460" w:type="dxa"/>
            <w:vAlign w:val="bottom"/>
          </w:tcPr>
          <w:p>
            <w:pPr>
              <w:ind w:left="180"/>
              <w:spacing w:after="0"/>
              <w:rPr>
                <w:sz w:val="20"/>
                <w:szCs w:val="20"/>
                <w:color w:val="auto"/>
              </w:rPr>
            </w:pPr>
            <w:r>
              <w:rPr>
                <w:rFonts w:ascii="Arial" w:cs="Arial" w:eastAsia="Arial" w:hAnsi="Arial"/>
                <w:sz w:val="18"/>
                <w:szCs w:val="18"/>
                <w:color w:val="auto"/>
              </w:rPr>
              <w:t>Reconciliation to cash flows:</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1,724</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43"/>
        </w:trPr>
        <w:tc>
          <w:tcPr>
            <w:tcW w:w="8460" w:type="dxa"/>
            <w:vAlign w:val="bottom"/>
            <w:shd w:val="clear" w:color="auto" w:fill="D6F3E8"/>
          </w:tcPr>
          <w:p>
            <w:pPr>
              <w:ind w:left="420"/>
              <w:spacing w:after="0"/>
              <w:rPr>
                <w:sz w:val="20"/>
                <w:szCs w:val="20"/>
                <w:color w:val="auto"/>
              </w:rPr>
            </w:pPr>
            <w:r>
              <w:rPr>
                <w:rFonts w:ascii="Arial" w:cs="Arial" w:eastAsia="Arial" w:hAnsi="Arial"/>
                <w:sz w:val="18"/>
                <w:szCs w:val="18"/>
                <w:color w:val="auto"/>
              </w:rPr>
              <w:t>Stock compensation expense</w:t>
            </w:r>
          </w:p>
        </w:tc>
        <w:tc>
          <w:tcPr>
            <w:tcW w:w="300" w:type="dxa"/>
            <w:vAlign w:val="bottom"/>
            <w:shd w:val="clear" w:color="auto" w:fill="D6F3E8"/>
          </w:tcPr>
          <w:p>
            <w:pPr>
              <w:spacing w:after="0"/>
              <w:rPr>
                <w:sz w:val="21"/>
                <w:szCs w:val="21"/>
                <w:color w:val="auto"/>
              </w:rPr>
            </w:pPr>
          </w:p>
        </w:tc>
        <w:tc>
          <w:tcPr>
            <w:tcW w:w="118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D6F3E8"/>
          </w:tcPr>
          <w:p>
            <w:pPr>
              <w:spacing w:after="0"/>
              <w:rPr>
                <w:sz w:val="21"/>
                <w:szCs w:val="21"/>
                <w:color w:val="auto"/>
              </w:rPr>
            </w:pPr>
          </w:p>
        </w:tc>
        <w:tc>
          <w:tcPr>
            <w:tcW w:w="300" w:type="dxa"/>
            <w:vAlign w:val="bottom"/>
            <w:shd w:val="clear" w:color="auto" w:fill="D6F3E8"/>
          </w:tcPr>
          <w:p>
            <w:pPr>
              <w:spacing w:after="0"/>
              <w:rPr>
                <w:sz w:val="21"/>
                <w:szCs w:val="21"/>
                <w:color w:val="auto"/>
              </w:rPr>
            </w:pPr>
          </w:p>
        </w:tc>
        <w:tc>
          <w:tcPr>
            <w:tcW w:w="10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43"/>
        </w:trPr>
        <w:tc>
          <w:tcPr>
            <w:tcW w:w="8460" w:type="dxa"/>
            <w:vAlign w:val="bottom"/>
          </w:tcPr>
          <w:p>
            <w:pPr>
              <w:ind w:left="420"/>
              <w:spacing w:after="0"/>
              <w:rPr>
                <w:sz w:val="20"/>
                <w:szCs w:val="20"/>
                <w:color w:val="auto"/>
              </w:rPr>
            </w:pPr>
            <w:r>
              <w:rPr>
                <w:rFonts w:ascii="Arial" w:cs="Arial" w:eastAsia="Arial" w:hAnsi="Arial"/>
                <w:sz w:val="18"/>
                <w:szCs w:val="18"/>
                <w:color w:val="auto"/>
              </w:rPr>
              <w:t>Gain from property disposals</w:t>
            </w:r>
          </w:p>
        </w:tc>
        <w:tc>
          <w:tcPr>
            <w:tcW w:w="30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460" w:type="dxa"/>
            <w:vAlign w:val="bottom"/>
          </w:tcPr>
          <w:p>
            <w:pPr>
              <w:ind w:left="420"/>
              <w:spacing w:after="0"/>
              <w:rPr>
                <w:sz w:val="20"/>
                <w:szCs w:val="20"/>
                <w:color w:val="auto"/>
              </w:rPr>
            </w:pPr>
            <w:r>
              <w:rPr>
                <w:rFonts w:ascii="Arial" w:cs="Arial" w:eastAsia="Arial" w:hAnsi="Arial"/>
                <w:sz w:val="18"/>
                <w:szCs w:val="18"/>
                <w:color w:val="auto"/>
              </w:rPr>
              <w:t>Changes in operating accounts (using) providing cash:</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shd w:val="clear" w:color="auto" w:fill="D6F3E8"/>
          </w:tcPr>
          <w:p>
            <w:pPr>
              <w:ind w:left="580"/>
              <w:spacing w:after="0"/>
              <w:rPr>
                <w:sz w:val="20"/>
                <w:szCs w:val="20"/>
                <w:color w:val="auto"/>
              </w:rPr>
            </w:pPr>
            <w:r>
              <w:rPr>
                <w:rFonts w:ascii="Arial" w:cs="Arial" w:eastAsia="Arial" w:hAnsi="Arial"/>
                <w:sz w:val="18"/>
                <w:szCs w:val="18"/>
                <w:color w:val="auto"/>
              </w:rPr>
              <w:t>Trade receivables</w:t>
            </w:r>
          </w:p>
        </w:tc>
        <w:tc>
          <w:tcPr>
            <w:tcW w:w="300" w:type="dxa"/>
            <w:vAlign w:val="bottom"/>
            <w:shd w:val="clear" w:color="auto" w:fill="D6F3E8"/>
          </w:tcPr>
          <w:p>
            <w:pPr>
              <w:spacing w:after="0"/>
              <w:rPr>
                <w:sz w:val="21"/>
                <w:szCs w:val="21"/>
                <w:color w:val="auto"/>
              </w:rPr>
            </w:pPr>
          </w:p>
        </w:tc>
        <w:tc>
          <w:tcPr>
            <w:tcW w:w="118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(2,322)</w:t>
            </w:r>
          </w:p>
        </w:tc>
        <w:tc>
          <w:tcPr>
            <w:tcW w:w="120" w:type="dxa"/>
            <w:vAlign w:val="bottom"/>
            <w:shd w:val="clear" w:color="auto" w:fill="D6F3E8"/>
          </w:tcPr>
          <w:p>
            <w:pPr>
              <w:spacing w:after="0"/>
              <w:rPr>
                <w:sz w:val="21"/>
                <w:szCs w:val="21"/>
                <w:color w:val="auto"/>
              </w:rPr>
            </w:pPr>
          </w:p>
        </w:tc>
        <w:tc>
          <w:tcPr>
            <w:tcW w:w="300" w:type="dxa"/>
            <w:vAlign w:val="bottom"/>
            <w:shd w:val="clear" w:color="auto" w:fill="D6F3E8"/>
          </w:tcPr>
          <w:p>
            <w:pPr>
              <w:spacing w:after="0"/>
              <w:rPr>
                <w:sz w:val="21"/>
                <w:szCs w:val="21"/>
                <w:color w:val="auto"/>
              </w:rPr>
            </w:pPr>
          </w:p>
        </w:tc>
        <w:tc>
          <w:tcPr>
            <w:tcW w:w="10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2,249</w:t>
            </w:r>
          </w:p>
        </w:tc>
        <w:tc>
          <w:tcPr>
            <w:tcW w:w="0" w:type="dxa"/>
            <w:vAlign w:val="bottom"/>
          </w:tcPr>
          <w:p>
            <w:pPr>
              <w:spacing w:after="0"/>
              <w:rPr>
                <w:sz w:val="1"/>
                <w:szCs w:val="1"/>
                <w:color w:val="auto"/>
              </w:rPr>
            </w:pPr>
          </w:p>
        </w:tc>
      </w:tr>
      <w:tr>
        <w:trPr>
          <w:trHeight w:val="243"/>
        </w:trPr>
        <w:tc>
          <w:tcPr>
            <w:tcW w:w="8460" w:type="dxa"/>
            <w:vAlign w:val="bottom"/>
          </w:tcPr>
          <w:p>
            <w:pPr>
              <w:ind w:left="58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(4,517)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43"/>
        </w:trPr>
        <w:tc>
          <w:tcPr>
            <w:tcW w:w="8460" w:type="dxa"/>
            <w:vAlign w:val="bottom"/>
            <w:shd w:val="clear" w:color="auto" w:fill="D6F3E8"/>
          </w:tcPr>
          <w:p>
            <w:pPr>
              <w:ind w:left="58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D6F3E8"/>
          </w:tcPr>
          <w:p>
            <w:pPr>
              <w:spacing w:after="0"/>
              <w:rPr>
                <w:sz w:val="21"/>
                <w:szCs w:val="21"/>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2,044</w:t>
            </w:r>
          </w:p>
        </w:tc>
        <w:tc>
          <w:tcPr>
            <w:tcW w:w="200" w:type="dxa"/>
            <w:vAlign w:val="bottom"/>
            <w:shd w:val="clear" w:color="auto" w:fill="D6F3E8"/>
          </w:tcPr>
          <w:p>
            <w:pPr>
              <w:spacing w:after="0"/>
              <w:rPr>
                <w:sz w:val="21"/>
                <w:szCs w:val="21"/>
                <w:color w:val="auto"/>
              </w:rPr>
            </w:pPr>
          </w:p>
        </w:tc>
        <w:tc>
          <w:tcPr>
            <w:tcW w:w="120" w:type="dxa"/>
            <w:vAlign w:val="bottom"/>
            <w:shd w:val="clear" w:color="auto" w:fill="D6F3E8"/>
          </w:tcPr>
          <w:p>
            <w:pPr>
              <w:spacing w:after="0"/>
              <w:rPr>
                <w:sz w:val="21"/>
                <w:szCs w:val="21"/>
                <w:color w:val="auto"/>
              </w:rPr>
            </w:pPr>
          </w:p>
        </w:tc>
        <w:tc>
          <w:tcPr>
            <w:tcW w:w="300" w:type="dxa"/>
            <w:vAlign w:val="bottom"/>
            <w:shd w:val="clear" w:color="auto" w:fill="D6F3E8"/>
          </w:tcPr>
          <w:p>
            <w:pPr>
              <w:spacing w:after="0"/>
              <w:rPr>
                <w:sz w:val="21"/>
                <w:szCs w:val="21"/>
                <w:color w:val="auto"/>
              </w:rPr>
            </w:pPr>
          </w:p>
        </w:tc>
        <w:tc>
          <w:tcPr>
            <w:tcW w:w="106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(1,476)</w:t>
            </w:r>
          </w:p>
        </w:tc>
        <w:tc>
          <w:tcPr>
            <w:tcW w:w="0" w:type="dxa"/>
            <w:vAlign w:val="bottom"/>
          </w:tcPr>
          <w:p>
            <w:pPr>
              <w:spacing w:after="0"/>
              <w:rPr>
                <w:sz w:val="1"/>
                <w:szCs w:val="1"/>
                <w:color w:val="auto"/>
              </w:rPr>
            </w:pPr>
          </w:p>
        </w:tc>
      </w:tr>
      <w:tr>
        <w:trPr>
          <w:trHeight w:val="243"/>
        </w:trPr>
        <w:tc>
          <w:tcPr>
            <w:tcW w:w="8460" w:type="dxa"/>
            <w:vAlign w:val="bottom"/>
          </w:tcPr>
          <w:p>
            <w:pPr>
              <w:ind w:left="580"/>
              <w:spacing w:after="0"/>
              <w:rPr>
                <w:sz w:val="20"/>
                <w:szCs w:val="20"/>
                <w:color w:val="auto"/>
              </w:rPr>
            </w:pPr>
            <w:r>
              <w:rPr>
                <w:rFonts w:ascii="Arial" w:cs="Arial" w:eastAsia="Arial" w:hAnsi="Arial"/>
                <w:sz w:val="18"/>
                <w:szCs w:val="18"/>
                <w:color w:val="auto"/>
              </w:rPr>
              <w:t>Accrued liabilities</w:t>
            </w:r>
          </w:p>
        </w:tc>
        <w:tc>
          <w:tcPr>
            <w:tcW w:w="30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(4,797)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(5,283)</w:t>
            </w:r>
          </w:p>
        </w:tc>
        <w:tc>
          <w:tcPr>
            <w:tcW w:w="0" w:type="dxa"/>
            <w:vAlign w:val="bottom"/>
          </w:tcPr>
          <w:p>
            <w:pPr>
              <w:spacing w:after="0"/>
              <w:rPr>
                <w:sz w:val="1"/>
                <w:szCs w:val="1"/>
                <w:color w:val="auto"/>
              </w:rPr>
            </w:pPr>
          </w:p>
        </w:tc>
      </w:tr>
      <w:tr>
        <w:trPr>
          <w:trHeight w:val="243"/>
        </w:trPr>
        <w:tc>
          <w:tcPr>
            <w:tcW w:w="8460" w:type="dxa"/>
            <w:vAlign w:val="bottom"/>
            <w:shd w:val="clear" w:color="auto" w:fill="D6F3E8"/>
          </w:tcPr>
          <w:p>
            <w:pPr>
              <w:ind w:left="580"/>
              <w:spacing w:after="0"/>
              <w:rPr>
                <w:sz w:val="20"/>
                <w:szCs w:val="20"/>
                <w:color w:val="auto"/>
              </w:rPr>
            </w:pPr>
            <w:r>
              <w:rPr>
                <w:rFonts w:ascii="Arial" w:cs="Arial" w:eastAsia="Arial" w:hAnsi="Arial"/>
                <w:sz w:val="18"/>
                <w:szCs w:val="18"/>
                <w:color w:val="auto"/>
              </w:rPr>
              <w:t>Income taxes</w:t>
            </w:r>
          </w:p>
        </w:tc>
        <w:tc>
          <w:tcPr>
            <w:tcW w:w="300" w:type="dxa"/>
            <w:vAlign w:val="bottom"/>
            <w:shd w:val="clear" w:color="auto" w:fill="D6F3E8"/>
          </w:tcPr>
          <w:p>
            <w:pPr>
              <w:spacing w:after="0"/>
              <w:rPr>
                <w:sz w:val="21"/>
                <w:szCs w:val="21"/>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4,521</w:t>
            </w:r>
          </w:p>
        </w:tc>
        <w:tc>
          <w:tcPr>
            <w:tcW w:w="200" w:type="dxa"/>
            <w:vAlign w:val="bottom"/>
            <w:shd w:val="clear" w:color="auto" w:fill="D6F3E8"/>
          </w:tcPr>
          <w:p>
            <w:pPr>
              <w:spacing w:after="0"/>
              <w:rPr>
                <w:sz w:val="21"/>
                <w:szCs w:val="21"/>
                <w:color w:val="auto"/>
              </w:rPr>
            </w:pPr>
          </w:p>
        </w:tc>
        <w:tc>
          <w:tcPr>
            <w:tcW w:w="120" w:type="dxa"/>
            <w:vAlign w:val="bottom"/>
            <w:shd w:val="clear" w:color="auto" w:fill="D6F3E8"/>
          </w:tcPr>
          <w:p>
            <w:pPr>
              <w:spacing w:after="0"/>
              <w:rPr>
                <w:sz w:val="21"/>
                <w:szCs w:val="21"/>
                <w:color w:val="auto"/>
              </w:rPr>
            </w:pPr>
          </w:p>
        </w:tc>
        <w:tc>
          <w:tcPr>
            <w:tcW w:w="300" w:type="dxa"/>
            <w:vAlign w:val="bottom"/>
            <w:shd w:val="clear" w:color="auto" w:fill="D6F3E8"/>
          </w:tcPr>
          <w:p>
            <w:pPr>
              <w:spacing w:after="0"/>
              <w:rPr>
                <w:sz w:val="21"/>
                <w:szCs w:val="21"/>
                <w:color w:val="auto"/>
              </w:rPr>
            </w:pPr>
          </w:p>
        </w:tc>
        <w:tc>
          <w:tcPr>
            <w:tcW w:w="10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2,591</w:t>
            </w:r>
          </w:p>
        </w:tc>
        <w:tc>
          <w:tcPr>
            <w:tcW w:w="0" w:type="dxa"/>
            <w:vAlign w:val="bottom"/>
          </w:tcPr>
          <w:p>
            <w:pPr>
              <w:spacing w:after="0"/>
              <w:rPr>
                <w:sz w:val="1"/>
                <w:szCs w:val="1"/>
                <w:color w:val="auto"/>
              </w:rPr>
            </w:pPr>
          </w:p>
        </w:tc>
      </w:tr>
      <w:tr>
        <w:trPr>
          <w:trHeight w:val="243"/>
        </w:trPr>
        <w:tc>
          <w:tcPr>
            <w:tcW w:w="8460" w:type="dxa"/>
            <w:vAlign w:val="bottom"/>
          </w:tcPr>
          <w:p>
            <w:pPr>
              <w:ind w:left="5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363</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7"/>
        </w:trPr>
        <w:tc>
          <w:tcPr>
            <w:tcW w:w="8460" w:type="dxa"/>
            <w:vAlign w:val="bottom"/>
            <w:tcBorders>
              <w:top w:val="single" w:sz="8" w:color="D6F3E8"/>
            </w:tcBorders>
            <w:shd w:val="clear" w:color="auto" w:fill="D6F3E8"/>
          </w:tcPr>
          <w:p>
            <w:pPr>
              <w:ind w:left="8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top w:val="single" w:sz="8" w:color="auto"/>
            </w:tcBorders>
            <w:shd w:val="clear" w:color="auto" w:fill="D6F3E8"/>
          </w:tcPr>
          <w:p>
            <w:pPr>
              <w:spacing w:after="0"/>
              <w:rPr>
                <w:sz w:val="20"/>
                <w:szCs w:val="20"/>
                <w:color w:val="auto"/>
              </w:rPr>
            </w:pPr>
          </w:p>
        </w:tc>
        <w:tc>
          <w:tcPr>
            <w:tcW w:w="9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4,623</w:t>
            </w:r>
          </w:p>
        </w:tc>
        <w:tc>
          <w:tcPr>
            <w:tcW w:w="200" w:type="dxa"/>
            <w:vAlign w:val="bottom"/>
            <w:tcBorders>
              <w:top w:val="single" w:sz="8" w:color="D6F3E8"/>
            </w:tcBorders>
            <w:shd w:val="clear" w:color="auto" w:fill="D6F3E8"/>
          </w:tcPr>
          <w:p>
            <w:pPr>
              <w:spacing w:after="0"/>
              <w:rPr>
                <w:sz w:val="20"/>
                <w:szCs w:val="20"/>
                <w:color w:val="auto"/>
              </w:rPr>
            </w:pPr>
          </w:p>
        </w:tc>
        <w:tc>
          <w:tcPr>
            <w:tcW w:w="120" w:type="dxa"/>
            <w:vAlign w:val="bottom"/>
            <w:tcBorders>
              <w:top w:val="single" w:sz="8" w:color="D6F3E8"/>
            </w:tcBorders>
            <w:shd w:val="clear" w:color="auto" w:fill="D6F3E8"/>
          </w:tcPr>
          <w:p>
            <w:pPr>
              <w:spacing w:after="0"/>
              <w:rPr>
                <w:sz w:val="20"/>
                <w:szCs w:val="20"/>
                <w:color w:val="auto"/>
              </w:rPr>
            </w:pPr>
          </w:p>
        </w:tc>
        <w:tc>
          <w:tcPr>
            <w:tcW w:w="300" w:type="dxa"/>
            <w:vAlign w:val="bottom"/>
            <w:tcBorders>
              <w:top w:val="single" w:sz="8" w:color="auto"/>
            </w:tcBorders>
            <w:shd w:val="clear" w:color="auto" w:fill="D6F3E8"/>
          </w:tcPr>
          <w:p>
            <w:pPr>
              <w:spacing w:after="0"/>
              <w:rPr>
                <w:sz w:val="20"/>
                <w:szCs w:val="20"/>
                <w:color w:val="auto"/>
              </w:rPr>
            </w:pPr>
          </w:p>
        </w:tc>
        <w:tc>
          <w:tcPr>
            <w:tcW w:w="96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11,724</w:t>
            </w:r>
          </w:p>
        </w:tc>
        <w:tc>
          <w:tcPr>
            <w:tcW w:w="100" w:type="dxa"/>
            <w:vAlign w:val="bottom"/>
            <w:tcBorders>
              <w:top w:val="single" w:sz="8" w:color="D6F3E8"/>
            </w:tcBorders>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84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460" w:type="dxa"/>
            <w:vAlign w:val="bottom"/>
          </w:tcPr>
          <w:p>
            <w:pPr>
              <w:ind w:left="180"/>
              <w:spacing w:after="0"/>
              <w:rPr>
                <w:sz w:val="20"/>
                <w:szCs w:val="20"/>
                <w:color w:val="auto"/>
              </w:rPr>
            </w:pPr>
            <w:r>
              <w:rPr>
                <w:rFonts w:ascii="Arial" w:cs="Arial" w:eastAsia="Arial" w:hAnsi="Arial"/>
                <w:sz w:val="18"/>
                <w:szCs w:val="18"/>
                <w:color w:val="auto"/>
              </w:rPr>
              <w:t>Additions to property, plant, and equipment</w:t>
            </w:r>
          </w:p>
        </w:tc>
        <w:tc>
          <w:tcPr>
            <w:tcW w:w="30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(3,301)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(3,135)</w:t>
            </w:r>
          </w:p>
        </w:tc>
        <w:tc>
          <w:tcPr>
            <w:tcW w:w="0" w:type="dxa"/>
            <w:vAlign w:val="bottom"/>
          </w:tcPr>
          <w:p>
            <w:pPr>
              <w:spacing w:after="0"/>
              <w:rPr>
                <w:sz w:val="1"/>
                <w:szCs w:val="1"/>
                <w:color w:val="auto"/>
              </w:rPr>
            </w:pPr>
          </w:p>
        </w:tc>
      </w:tr>
      <w:tr>
        <w:trPr>
          <w:trHeight w:val="243"/>
        </w:trPr>
        <w:tc>
          <w:tcPr>
            <w:tcW w:w="8460" w:type="dxa"/>
            <w:vAlign w:val="bottom"/>
            <w:shd w:val="clear" w:color="auto" w:fill="D6F3E8"/>
          </w:tcPr>
          <w:p>
            <w:pPr>
              <w:ind w:left="180"/>
              <w:spacing w:after="0"/>
              <w:rPr>
                <w:sz w:val="20"/>
                <w:szCs w:val="20"/>
                <w:color w:val="auto"/>
              </w:rPr>
            </w:pPr>
            <w:r>
              <w:rPr>
                <w:rFonts w:ascii="Arial" w:cs="Arial" w:eastAsia="Arial" w:hAnsi="Arial"/>
                <w:sz w:val="18"/>
                <w:szCs w:val="18"/>
                <w:color w:val="auto"/>
              </w:rPr>
              <w:t>Purchases of investments</w:t>
            </w:r>
          </w:p>
        </w:tc>
        <w:tc>
          <w:tcPr>
            <w:tcW w:w="300" w:type="dxa"/>
            <w:vAlign w:val="bottom"/>
            <w:shd w:val="clear" w:color="auto" w:fill="D6F3E8"/>
          </w:tcPr>
          <w:p>
            <w:pPr>
              <w:spacing w:after="0"/>
              <w:rPr>
                <w:sz w:val="21"/>
                <w:szCs w:val="21"/>
                <w:color w:val="auto"/>
              </w:rPr>
            </w:pPr>
          </w:p>
        </w:tc>
        <w:tc>
          <w:tcPr>
            <w:tcW w:w="118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(1,960)</w:t>
            </w:r>
          </w:p>
        </w:tc>
        <w:tc>
          <w:tcPr>
            <w:tcW w:w="120" w:type="dxa"/>
            <w:vAlign w:val="bottom"/>
            <w:shd w:val="clear" w:color="auto" w:fill="D6F3E8"/>
          </w:tcPr>
          <w:p>
            <w:pPr>
              <w:spacing w:after="0"/>
              <w:rPr>
                <w:sz w:val="21"/>
                <w:szCs w:val="21"/>
                <w:color w:val="auto"/>
              </w:rPr>
            </w:pPr>
          </w:p>
        </w:tc>
        <w:tc>
          <w:tcPr>
            <w:tcW w:w="300" w:type="dxa"/>
            <w:vAlign w:val="bottom"/>
            <w:shd w:val="clear" w:color="auto" w:fill="D6F3E8"/>
          </w:tcPr>
          <w:p>
            <w:pPr>
              <w:spacing w:after="0"/>
              <w:rPr>
                <w:sz w:val="21"/>
                <w:szCs w:val="21"/>
                <w:color w:val="auto"/>
              </w:rPr>
            </w:pPr>
          </w:p>
        </w:tc>
        <w:tc>
          <w:tcPr>
            <w:tcW w:w="106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43"/>
        </w:trPr>
        <w:tc>
          <w:tcPr>
            <w:tcW w:w="8460" w:type="dxa"/>
            <w:vAlign w:val="bottom"/>
          </w:tcPr>
          <w:p>
            <w:pPr>
              <w:ind w:left="180"/>
              <w:spacing w:after="0"/>
              <w:rPr>
                <w:sz w:val="20"/>
                <w:szCs w:val="20"/>
                <w:color w:val="auto"/>
              </w:rPr>
            </w:pPr>
            <w:r>
              <w:rPr>
                <w:rFonts w:ascii="Arial" w:cs="Arial" w:eastAsia="Arial" w:hAnsi="Arial"/>
                <w:sz w:val="18"/>
                <w:szCs w:val="18"/>
                <w:color w:val="auto"/>
              </w:rPr>
              <w:t>Sale and maturities of investments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4,275</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460" w:type="dxa"/>
            <w:vAlign w:val="bottom"/>
            <w:shd w:val="clear" w:color="auto" w:fill="D6F3E8"/>
          </w:tcPr>
          <w:p>
            <w:pPr>
              <w:ind w:left="180"/>
              <w:spacing w:after="0"/>
              <w:rPr>
                <w:sz w:val="20"/>
                <w:szCs w:val="20"/>
                <w:color w:val="auto"/>
              </w:rPr>
            </w:pPr>
            <w:r>
              <w:rPr>
                <w:rFonts w:ascii="Arial" w:cs="Arial" w:eastAsia="Arial" w:hAnsi="Arial"/>
                <w:sz w:val="18"/>
                <w:szCs w:val="18"/>
                <w:color w:val="auto"/>
              </w:rPr>
              <w:t>Proceeds from property disposals</w:t>
            </w:r>
          </w:p>
        </w:tc>
        <w:tc>
          <w:tcPr>
            <w:tcW w:w="300" w:type="dxa"/>
            <w:vAlign w:val="bottom"/>
            <w:tcBorders>
              <w:bottom w:val="single" w:sz="8" w:color="auto"/>
            </w:tcBorders>
            <w:shd w:val="clear" w:color="auto" w:fill="D6F3E8"/>
          </w:tcPr>
          <w:p>
            <w:pPr>
              <w:spacing w:after="0"/>
              <w:rPr>
                <w:sz w:val="21"/>
                <w:szCs w:val="21"/>
                <w:color w:val="auto"/>
              </w:rPr>
            </w:pPr>
          </w:p>
        </w:tc>
        <w:tc>
          <w:tcPr>
            <w:tcW w:w="9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D6F3E8"/>
          </w:tcPr>
          <w:p>
            <w:pPr>
              <w:spacing w:after="0"/>
              <w:rPr>
                <w:sz w:val="21"/>
                <w:szCs w:val="21"/>
                <w:color w:val="auto"/>
              </w:rPr>
            </w:pPr>
          </w:p>
        </w:tc>
        <w:tc>
          <w:tcPr>
            <w:tcW w:w="120" w:type="dxa"/>
            <w:vAlign w:val="bottom"/>
            <w:shd w:val="clear" w:color="auto" w:fill="D6F3E8"/>
          </w:tcPr>
          <w:p>
            <w:pPr>
              <w:spacing w:after="0"/>
              <w:rPr>
                <w:sz w:val="21"/>
                <w:szCs w:val="21"/>
                <w:color w:val="auto"/>
              </w:rPr>
            </w:pPr>
          </w:p>
        </w:tc>
        <w:tc>
          <w:tcPr>
            <w:tcW w:w="300" w:type="dxa"/>
            <w:vAlign w:val="bottom"/>
            <w:tcBorders>
              <w:bottom w:val="single" w:sz="8" w:color="auto"/>
            </w:tcBorders>
            <w:shd w:val="clear" w:color="auto" w:fill="D6F3E8"/>
          </w:tcPr>
          <w:p>
            <w:pPr>
              <w:spacing w:after="0"/>
              <w:rPr>
                <w:sz w:val="21"/>
                <w:szCs w:val="21"/>
                <w:color w:val="auto"/>
              </w:rPr>
            </w:pPr>
          </w:p>
        </w:tc>
        <w:tc>
          <w:tcPr>
            <w:tcW w:w="9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460" w:type="dxa"/>
            <w:vAlign w:val="bottom"/>
          </w:tcPr>
          <w:p>
            <w:pPr>
              <w:ind w:left="82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(946)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(23,092)</w:t>
            </w:r>
          </w:p>
        </w:tc>
        <w:tc>
          <w:tcPr>
            <w:tcW w:w="0" w:type="dxa"/>
            <w:vAlign w:val="bottom"/>
          </w:tcPr>
          <w:p>
            <w:pPr>
              <w:spacing w:after="0"/>
              <w:rPr>
                <w:sz w:val="1"/>
                <w:szCs w:val="1"/>
                <w:color w:val="auto"/>
              </w:rPr>
            </w:pPr>
          </w:p>
        </w:tc>
      </w:tr>
      <w:tr>
        <w:trPr>
          <w:trHeight w:val="486"/>
        </w:trPr>
        <w:tc>
          <w:tcPr>
            <w:tcW w:w="84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460" w:type="dxa"/>
            <w:vAlign w:val="bottom"/>
            <w:shd w:val="clear" w:color="auto" w:fill="D6F3E8"/>
          </w:tcPr>
          <w:p>
            <w:pPr>
              <w:ind w:left="180"/>
              <w:spacing w:after="0"/>
              <w:rPr>
                <w:sz w:val="20"/>
                <w:szCs w:val="20"/>
                <w:color w:val="auto"/>
              </w:rPr>
            </w:pPr>
            <w:r>
              <w:rPr>
                <w:rFonts w:ascii="Arial" w:cs="Arial" w:eastAsia="Arial" w:hAnsi="Arial"/>
                <w:sz w:val="18"/>
                <w:szCs w:val="18"/>
                <w:color w:val="auto"/>
              </w:rPr>
              <w:t>Cash dividends paid</w:t>
            </w:r>
          </w:p>
        </w:tc>
        <w:tc>
          <w:tcPr>
            <w:tcW w:w="300" w:type="dxa"/>
            <w:vAlign w:val="bottom"/>
            <w:shd w:val="clear" w:color="auto" w:fill="D6F3E8"/>
          </w:tcPr>
          <w:p>
            <w:pPr>
              <w:spacing w:after="0"/>
              <w:rPr>
                <w:sz w:val="21"/>
                <w:szCs w:val="21"/>
                <w:color w:val="auto"/>
              </w:rPr>
            </w:pPr>
          </w:p>
        </w:tc>
        <w:tc>
          <w:tcPr>
            <w:tcW w:w="118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(2,879)</w:t>
            </w:r>
          </w:p>
        </w:tc>
        <w:tc>
          <w:tcPr>
            <w:tcW w:w="120" w:type="dxa"/>
            <w:vAlign w:val="bottom"/>
            <w:shd w:val="clear" w:color="auto" w:fill="D6F3E8"/>
          </w:tcPr>
          <w:p>
            <w:pPr>
              <w:spacing w:after="0"/>
              <w:rPr>
                <w:sz w:val="21"/>
                <w:szCs w:val="21"/>
                <w:color w:val="auto"/>
              </w:rPr>
            </w:pPr>
          </w:p>
        </w:tc>
        <w:tc>
          <w:tcPr>
            <w:tcW w:w="300" w:type="dxa"/>
            <w:vAlign w:val="bottom"/>
            <w:shd w:val="clear" w:color="auto" w:fill="D6F3E8"/>
          </w:tcPr>
          <w:p>
            <w:pPr>
              <w:spacing w:after="0"/>
              <w:rPr>
                <w:sz w:val="21"/>
                <w:szCs w:val="21"/>
                <w:color w:val="auto"/>
              </w:rPr>
            </w:pPr>
          </w:p>
        </w:tc>
        <w:tc>
          <w:tcPr>
            <w:tcW w:w="106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(2,666)</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60" w:type="dxa"/>
            <w:vAlign w:val="bottom"/>
          </w:tcPr>
          <w:p>
            <w:pPr>
              <w:ind w:left="82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(2,879)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(2,666)</w:t>
            </w:r>
          </w:p>
        </w:tc>
        <w:tc>
          <w:tcPr>
            <w:tcW w:w="0" w:type="dxa"/>
            <w:vAlign w:val="bottom"/>
          </w:tcPr>
          <w:p>
            <w:pPr>
              <w:spacing w:after="0"/>
              <w:rPr>
                <w:sz w:val="1"/>
                <w:szCs w:val="1"/>
                <w:color w:val="auto"/>
              </w:rPr>
            </w:pPr>
          </w:p>
        </w:tc>
      </w:tr>
      <w:tr>
        <w:trPr>
          <w:trHeight w:val="223"/>
        </w:trPr>
        <w:tc>
          <w:tcPr>
            <w:tcW w:w="84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460" w:type="dxa"/>
            <w:vAlign w:val="bottom"/>
            <w:shd w:val="clear" w:color="auto" w:fill="D6F3E8"/>
          </w:tcPr>
          <w:p>
            <w:pPr>
              <w:spacing w:after="0"/>
              <w:rPr>
                <w:sz w:val="20"/>
                <w:szCs w:val="20"/>
                <w:color w:val="auto"/>
              </w:rPr>
            </w:pPr>
            <w:r>
              <w:rPr>
                <w:rFonts w:ascii="Arial" w:cs="Arial" w:eastAsia="Arial" w:hAnsi="Arial"/>
                <w:sz w:val="18"/>
                <w:szCs w:val="18"/>
                <w:color w:val="auto"/>
              </w:rPr>
              <w:t>NET INCREASE (DECREASE) IN CASH AND CASH EQUIVALENTS</w:t>
            </w:r>
          </w:p>
        </w:tc>
        <w:tc>
          <w:tcPr>
            <w:tcW w:w="300" w:type="dxa"/>
            <w:vAlign w:val="bottom"/>
            <w:shd w:val="clear" w:color="auto" w:fill="D6F3E8"/>
          </w:tcPr>
          <w:p>
            <w:pPr>
              <w:spacing w:after="0"/>
              <w:rPr>
                <w:sz w:val="21"/>
                <w:szCs w:val="21"/>
                <w:color w:val="auto"/>
              </w:rPr>
            </w:pPr>
          </w:p>
        </w:tc>
        <w:tc>
          <w:tcPr>
            <w:tcW w:w="118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798</w:t>
            </w:r>
          </w:p>
        </w:tc>
        <w:tc>
          <w:tcPr>
            <w:tcW w:w="120" w:type="dxa"/>
            <w:vAlign w:val="bottom"/>
            <w:shd w:val="clear" w:color="auto" w:fill="D6F3E8"/>
          </w:tcPr>
          <w:p>
            <w:pPr>
              <w:spacing w:after="0"/>
              <w:rPr>
                <w:sz w:val="21"/>
                <w:szCs w:val="21"/>
                <w:color w:val="auto"/>
              </w:rPr>
            </w:pPr>
          </w:p>
        </w:tc>
        <w:tc>
          <w:tcPr>
            <w:tcW w:w="300" w:type="dxa"/>
            <w:vAlign w:val="bottom"/>
            <w:shd w:val="clear" w:color="auto" w:fill="D6F3E8"/>
          </w:tcPr>
          <w:p>
            <w:pPr>
              <w:spacing w:after="0"/>
              <w:rPr>
                <w:sz w:val="21"/>
                <w:szCs w:val="21"/>
                <w:color w:val="auto"/>
              </w:rPr>
            </w:pPr>
          </w:p>
        </w:tc>
        <w:tc>
          <w:tcPr>
            <w:tcW w:w="106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(14,034)</w:t>
            </w:r>
          </w:p>
        </w:tc>
        <w:tc>
          <w:tcPr>
            <w:tcW w:w="0" w:type="dxa"/>
            <w:vAlign w:val="bottom"/>
          </w:tcPr>
          <w:p>
            <w:pPr>
              <w:spacing w:after="0"/>
              <w:rPr>
                <w:sz w:val="1"/>
                <w:szCs w:val="1"/>
                <w:color w:val="auto"/>
              </w:rPr>
            </w:pPr>
          </w:p>
        </w:tc>
      </w:tr>
      <w:tr>
        <w:trPr>
          <w:trHeight w:val="486"/>
        </w:trPr>
        <w:tc>
          <w:tcPr>
            <w:tcW w:w="846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300" w:type="dxa"/>
            <w:vAlign w:val="bottom"/>
          </w:tcPr>
          <w:p>
            <w:pPr>
              <w:spacing w:after="0"/>
              <w:rPr>
                <w:sz w:val="24"/>
                <w:szCs w:val="2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18,772</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29,536</w:t>
            </w:r>
          </w:p>
        </w:tc>
        <w:tc>
          <w:tcPr>
            <w:tcW w:w="0" w:type="dxa"/>
            <w:vAlign w:val="bottom"/>
          </w:tcPr>
          <w:p>
            <w:pPr>
              <w:spacing w:after="0"/>
              <w:rPr>
                <w:sz w:val="1"/>
                <w:szCs w:val="1"/>
                <w:color w:val="auto"/>
              </w:rPr>
            </w:pPr>
          </w:p>
        </w:tc>
      </w:tr>
      <w:tr>
        <w:trPr>
          <w:trHeight w:val="223"/>
        </w:trPr>
        <w:tc>
          <w:tcPr>
            <w:tcW w:w="84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60" w:type="dxa"/>
            <w:vAlign w:val="bottom"/>
            <w:shd w:val="clear" w:color="auto" w:fill="D6F3E8"/>
          </w:tcPr>
          <w:p>
            <w:pPr>
              <w:spacing w:after="0"/>
              <w:rPr>
                <w:sz w:val="20"/>
                <w:szCs w:val="20"/>
                <w:color w:val="auto"/>
              </w:rPr>
            </w:pPr>
            <w:r>
              <w:rPr>
                <w:rFonts w:ascii="Arial" w:cs="Arial" w:eastAsia="Arial" w:hAnsi="Arial"/>
                <w:sz w:val="18"/>
                <w:szCs w:val="18"/>
                <w:color w:val="auto"/>
              </w:rPr>
              <w:t>CASH AND CASH EQUIVALENTS, END OF PERIOD</w:t>
            </w:r>
          </w:p>
        </w:tc>
        <w:tc>
          <w:tcPr>
            <w:tcW w:w="300" w:type="dxa"/>
            <w:vAlign w:val="bottom"/>
            <w:shd w:val="clear" w:color="auto" w:fill="D6F3E8"/>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19,570</w:t>
            </w:r>
          </w:p>
        </w:tc>
        <w:tc>
          <w:tcPr>
            <w:tcW w:w="42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15,502</w:t>
            </w:r>
          </w:p>
        </w:tc>
        <w:tc>
          <w:tcPr>
            <w:tcW w:w="0" w:type="dxa"/>
            <w:vAlign w:val="bottom"/>
          </w:tcPr>
          <w:p>
            <w:pPr>
              <w:spacing w:after="0"/>
              <w:rPr>
                <w:sz w:val="1"/>
                <w:szCs w:val="1"/>
                <w:color w:val="auto"/>
              </w:rPr>
            </w:pPr>
          </w:p>
        </w:tc>
      </w:tr>
      <w:tr>
        <w:trPr>
          <w:trHeight w:val="20"/>
        </w:trPr>
        <w:tc>
          <w:tcPr>
            <w:tcW w:w="8460" w:type="dxa"/>
            <w:vAlign w:val="bottom"/>
            <w:tcBorders>
              <w:top w:val="single" w:sz="8" w:color="D6F3E8"/>
              <w:bottom w:val="single" w:sz="8" w:color="D6F3E8"/>
            </w:tcBorders>
            <w:vMerge w:val="restart"/>
          </w:tcPr>
          <w:p>
            <w:pPr>
              <w:spacing w:after="0"/>
              <w:rPr>
                <w:sz w:val="20"/>
                <w:szCs w:val="20"/>
                <w:color w:val="auto"/>
              </w:rPr>
            </w:pPr>
            <w:r>
              <w:rPr>
                <w:rFonts w:ascii="Arial" w:cs="Arial" w:eastAsia="Arial" w:hAnsi="Arial"/>
                <w:sz w:val="18"/>
                <w:szCs w:val="18"/>
                <w:color w:val="auto"/>
              </w:rPr>
              <w:t>SUPPLEMENTAL DISCLOSURES OF CASH FLOW INFORMATION</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6F3E8"/>
            </w:tcBorders>
          </w:tcPr>
          <w:p>
            <w:pPr>
              <w:spacing w:after="0" w:line="20" w:lineRule="exact"/>
              <w:rPr>
                <w:sz w:val="1"/>
                <w:szCs w:val="1"/>
                <w:color w:val="auto"/>
              </w:rPr>
            </w:pPr>
          </w:p>
        </w:tc>
        <w:tc>
          <w:tcPr>
            <w:tcW w:w="120" w:type="dxa"/>
            <w:vAlign w:val="bottom"/>
            <w:tcBorders>
              <w:top w:val="single" w:sz="8" w:color="D6F3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460" w:type="dxa"/>
            <w:vAlign w:val="bottom"/>
            <w:vMerge w:val="continue"/>
          </w:tcPr>
          <w:p>
            <w:pPr>
              <w:spacing w:after="0"/>
              <w:rPr>
                <w:sz w:val="24"/>
                <w:szCs w:val="24"/>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24"/>
                <w:szCs w:val="24"/>
                <w:color w:val="auto"/>
              </w:rPr>
            </w:pPr>
          </w:p>
        </w:tc>
        <w:tc>
          <w:tcPr>
            <w:tcW w:w="4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30"/>
        </w:trPr>
        <w:tc>
          <w:tcPr>
            <w:tcW w:w="8460" w:type="dxa"/>
            <w:vAlign w:val="bottom"/>
          </w:tcPr>
          <w:p>
            <w:pPr>
              <w:ind w:left="180"/>
              <w:spacing w:after="0"/>
              <w:rPr>
                <w:sz w:val="20"/>
                <w:szCs w:val="20"/>
                <w:color w:val="auto"/>
              </w:rPr>
            </w:pPr>
            <w:r>
              <w:rPr>
                <w:rFonts w:ascii="Arial" w:cs="Arial" w:eastAsia="Arial" w:hAnsi="Arial"/>
                <w:sz w:val="18"/>
                <w:szCs w:val="18"/>
                <w:color w:val="auto"/>
              </w:rPr>
              <w:t>Cash paid for income taxes</w:t>
            </w:r>
          </w:p>
        </w:tc>
        <w:tc>
          <w:tcPr>
            <w:tcW w:w="30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gridSpan w:val="2"/>
            <w:vMerge w:val="continue"/>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60" w:type="dxa"/>
            <w:vAlign w:val="bottom"/>
            <w:vMerge w:val="restart"/>
          </w:tcPr>
          <w:p>
            <w:pPr>
              <w:ind w:left="180"/>
              <w:spacing w:after="0"/>
              <w:rPr>
                <w:sz w:val="20"/>
                <w:szCs w:val="20"/>
                <w:color w:val="auto"/>
              </w:rPr>
            </w:pPr>
            <w:r>
              <w:rPr>
                <w:rFonts w:ascii="Arial" w:cs="Arial" w:eastAsia="Arial" w:hAnsi="Arial"/>
                <w:sz w:val="18"/>
                <w:szCs w:val="18"/>
                <w:color w:val="auto"/>
              </w:rPr>
              <w:t>Noncash investing activities-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4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60" w:type="dxa"/>
            <w:vAlign w:val="bottom"/>
            <w:shd w:val="clear" w:color="auto" w:fill="D6F3E8"/>
          </w:tcPr>
          <w:p>
            <w:pPr>
              <w:ind w:left="580"/>
              <w:spacing w:after="0"/>
              <w:rPr>
                <w:sz w:val="20"/>
                <w:szCs w:val="20"/>
                <w:color w:val="auto"/>
              </w:rPr>
            </w:pPr>
            <w:r>
              <w:rPr>
                <w:rFonts w:ascii="Arial" w:cs="Arial" w:eastAsia="Arial" w:hAnsi="Arial"/>
                <w:sz w:val="18"/>
                <w:szCs w:val="18"/>
                <w:color w:val="auto"/>
              </w:rPr>
              <w:t>Capital expenditures in accounts payable</w:t>
            </w:r>
          </w:p>
        </w:tc>
        <w:tc>
          <w:tcPr>
            <w:tcW w:w="300" w:type="dxa"/>
            <w:vAlign w:val="bottom"/>
            <w:shd w:val="clear" w:color="auto" w:fill="D6F3E8"/>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242</w:t>
            </w:r>
          </w:p>
        </w:tc>
        <w:tc>
          <w:tcPr>
            <w:tcW w:w="42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0"/>
        </w:trPr>
        <w:tc>
          <w:tcPr>
            <w:tcW w:w="8460" w:type="dxa"/>
            <w:vAlign w:val="bottom"/>
            <w:tcBorders>
              <w:top w:val="single" w:sz="8" w:color="D6F3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6F3E8"/>
            </w:tcBorders>
          </w:tcPr>
          <w:p>
            <w:pPr>
              <w:spacing w:after="0" w:line="20" w:lineRule="exact"/>
              <w:rPr>
                <w:sz w:val="1"/>
                <w:szCs w:val="1"/>
                <w:color w:val="auto"/>
              </w:rPr>
            </w:pPr>
          </w:p>
        </w:tc>
        <w:tc>
          <w:tcPr>
            <w:tcW w:w="120" w:type="dxa"/>
            <w:vAlign w:val="bottom"/>
            <w:tcBorders>
              <w:top w:val="single" w:sz="8" w:color="D6F3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0D0E00"/>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0D0E00"/>
        </w:rPr>
        <w:t>NOTES TO CONDENSED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0D0E00"/>
        </w:rPr>
        <w:t>Note 1 – Basis of Presentation</w:t>
      </w:r>
    </w:p>
    <w:p>
      <w:pPr>
        <w:spacing w:after="0" w:line="256" w:lineRule="exact"/>
        <w:rPr>
          <w:sz w:val="20"/>
          <w:szCs w:val="20"/>
          <w:color w:val="auto"/>
        </w:rPr>
      </w:pPr>
    </w:p>
    <w:p>
      <w:pPr>
        <w:spacing w:after="0" w:line="273" w:lineRule="auto"/>
        <w:rPr>
          <w:sz w:val="20"/>
          <w:szCs w:val="20"/>
          <w:color w:val="auto"/>
        </w:rPr>
      </w:pPr>
      <w:r>
        <w:rPr>
          <w:rFonts w:ascii="Arial" w:cs="Arial" w:eastAsia="Arial" w:hAnsi="Arial"/>
          <w:sz w:val="17"/>
          <w:szCs w:val="17"/>
          <w:color w:val="0D0E00"/>
        </w:rPr>
        <w:t>The accompanying unaudited condensed financial statements have been prepared in accordance with the instructions for Form 10-Q and, accordingly, do not include all information and footnotes required by generally accepted accounting principles for complete financial statements. These statements should be read in conjunction with the financial statements and footnotes included in our Annual Report on Form 10-K for the fiscal year ended March 28, 2010, previously filed with the Securities and Exchange Commission (“SEC”). In the opinion of management, the accompanying unaudited condensed financial statements contain all adjustments necessary to present fairly our financial position and the results of our operations and cash flows for the periods presented. All adjustments made to the interim financial statements were of a normal recurring nature.</w:t>
      </w:r>
    </w:p>
    <w:p>
      <w:pPr>
        <w:spacing w:after="0" w:line="20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0D0E00"/>
        </w:rPr>
        <w:t>The accounting policies we follow are set forth in “Item 8. Financial Statements and Supplementary Data, Note 1 – Nature of Business and Significant Accounting Policies” to our financial statements in our Annual Report on Form 10-K for the fiscal year ended March 28, 2010 (“fiscal 2010”) filed with the SEC on June 4, 2010.</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0D0E00"/>
        </w:rPr>
        <w:t>The results of operations for the period ended June 30, 2010 are not necessarily indicative of the results that may be expected for the full year.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0D0E00"/>
        </w:rPr>
        <w:t>Note 2 – Earnings per Share</w:t>
      </w:r>
    </w:p>
    <w:p>
      <w:pPr>
        <w:spacing w:after="0" w:line="256" w:lineRule="exact"/>
        <w:rPr>
          <w:sz w:val="20"/>
          <w:szCs w:val="20"/>
          <w:color w:val="auto"/>
        </w:rPr>
      </w:pPr>
    </w:p>
    <w:p>
      <w:pPr>
        <w:spacing w:after="0" w:line="264" w:lineRule="auto"/>
        <w:rPr>
          <w:sz w:val="20"/>
          <w:szCs w:val="20"/>
          <w:color w:val="auto"/>
        </w:rPr>
      </w:pPr>
      <w:r>
        <w:rPr>
          <w:rFonts w:ascii="Arial" w:cs="Arial" w:eastAsia="Arial" w:hAnsi="Arial"/>
          <w:sz w:val="18"/>
          <w:szCs w:val="18"/>
          <w:color w:val="0D0E00"/>
        </w:rPr>
        <w:t>Basic earnings per share (“EPS”) are computed by dividing net earnings by the weighted-average number of common shares outstanding. Diluted EPS includes the incremental shares assumed to be issued upon the exercise of stock options and the incremental shares assumed to be issued as performance units and restricted stock. Basic and diluted EPS were calculated using the following:</w:t>
      </w:r>
    </w:p>
    <w:p>
      <w:pPr>
        <w:sectPr>
          <w:pgSz w:w="11900" w:h="16838" w:orient="portrait"/>
          <w:cols w:equalWidth="0" w:num="1">
            <w:col w:w="11380"/>
          </w:cols>
          <w:pgMar w:left="240" w:top="368"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1060"/>
        <w:spacing w:after="0" w:line="310" w:lineRule="auto"/>
        <w:rPr>
          <w:sz w:val="20"/>
          <w:szCs w:val="20"/>
          <w:color w:val="auto"/>
        </w:rPr>
      </w:pPr>
      <w:r>
        <w:rPr>
          <w:rFonts w:ascii="Arial" w:cs="Arial" w:eastAsia="Arial" w:hAnsi="Arial"/>
          <w:sz w:val="15"/>
          <w:szCs w:val="15"/>
          <w:color w:val="auto"/>
        </w:rPr>
        <w:t>Weighted average common shares outstanding – basic Dilutive impact of stock options, performance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-290195</wp:posOffset>
            </wp:positionV>
            <wp:extent cx="506857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068570" cy="154305"/>
                    </a:xfrm>
                    <a:prstGeom prst="rect">
                      <a:avLst/>
                    </a:prstGeom>
                    <a:noFill/>
                  </pic:spPr>
                </pic:pic>
              </a:graphicData>
            </a:graphic>
          </wp:anchor>
        </w:drawing>
      </w:r>
    </w:p>
    <w:p>
      <w:pPr>
        <w:ind w:left="260"/>
        <w:spacing w:after="0"/>
        <w:rPr>
          <w:sz w:val="20"/>
          <w:szCs w:val="20"/>
          <w:color w:val="auto"/>
        </w:rPr>
      </w:pPr>
      <w:r>
        <w:rPr>
          <w:rFonts w:ascii="Arial" w:cs="Arial" w:eastAsia="Arial" w:hAnsi="Arial"/>
          <w:sz w:val="18"/>
          <w:szCs w:val="18"/>
          <w:color w:val="auto"/>
        </w:rPr>
        <w:t>and 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6857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068570" cy="171450"/>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Weighted average common shares outstanding - diluted</w:t>
      </w:r>
    </w:p>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Three months ended June 30,</w:t>
      </w:r>
    </w:p>
    <w:p>
      <w:pPr>
        <w:spacing w:after="0" w:line="123" w:lineRule="exact"/>
        <w:rPr>
          <w:sz w:val="20"/>
          <w:szCs w:val="20"/>
          <w:color w:val="auto"/>
        </w:rPr>
      </w:pPr>
    </w:p>
    <w:p>
      <w:pPr>
        <w:ind w:left="140"/>
        <w:spacing w:after="0"/>
        <w:tabs>
          <w:tab w:leader="none" w:pos="1520" w:val="left"/>
        </w:tabs>
        <w:rPr>
          <w:sz w:val="20"/>
          <w:szCs w:val="20"/>
          <w:color w:val="auto"/>
        </w:rPr>
      </w:pPr>
      <w:r>
        <w:rPr>
          <w:rFonts w:ascii="Arial" w:cs="Arial" w:eastAsia="Arial" w:hAnsi="Arial"/>
          <w:sz w:val="14"/>
          <w:szCs w:val="14"/>
          <w:b w:val="1"/>
          <w:bCs w:val="1"/>
          <w:color w:val="auto"/>
        </w:rPr>
        <w:t>2010</w:t>
      </w:r>
      <w:r>
        <w:rPr>
          <w:sz w:val="20"/>
          <w:szCs w:val="20"/>
          <w:color w:val="auto"/>
        </w:rPr>
        <w:tab/>
      </w:r>
      <w:r>
        <w:rPr>
          <w:rFonts w:ascii="Arial" w:cs="Arial" w:eastAsia="Arial" w:hAnsi="Arial"/>
          <w:sz w:val="14"/>
          <w:szCs w:val="14"/>
          <w:b w:val="1"/>
          <w:bCs w:val="1"/>
          <w:color w:val="auto"/>
        </w:rPr>
        <w:t>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6350</wp:posOffset>
            </wp:positionV>
            <wp:extent cx="15690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69085" cy="8890"/>
                    </a:xfrm>
                    <a:prstGeom prst="rect">
                      <a:avLst/>
                    </a:prstGeom>
                    <a:noFill/>
                  </pic:spPr>
                </pic:pic>
              </a:graphicData>
            </a:graphic>
          </wp:anchor>
        </w:drawing>
      </w:r>
    </w:p>
    <w:p>
      <w:pPr>
        <w:spacing w:after="0" w:line="16" w:lineRule="exact"/>
        <w:rPr>
          <w:sz w:val="20"/>
          <w:szCs w:val="20"/>
          <w:color w:val="auto"/>
        </w:rPr>
      </w:pPr>
    </w:p>
    <w:p>
      <w:pPr>
        <w:spacing w:after="0"/>
        <w:tabs>
          <w:tab w:leader="none" w:pos="1420" w:val="left"/>
        </w:tabs>
        <w:rPr>
          <w:sz w:val="20"/>
          <w:szCs w:val="20"/>
          <w:color w:val="auto"/>
        </w:rPr>
      </w:pPr>
      <w:r>
        <w:rPr>
          <w:rFonts w:ascii="Arial" w:cs="Arial" w:eastAsia="Arial" w:hAnsi="Arial"/>
          <w:sz w:val="15"/>
          <w:szCs w:val="15"/>
          <w:color w:val="auto"/>
        </w:rPr>
        <w:t>10,253,458</w:t>
      </w:r>
      <w:r>
        <w:rPr>
          <w:sz w:val="20"/>
          <w:szCs w:val="20"/>
          <w:color w:val="auto"/>
        </w:rPr>
        <w:tab/>
      </w:r>
      <w:r>
        <w:rPr>
          <w:rFonts w:ascii="Arial" w:cs="Arial" w:eastAsia="Arial" w:hAnsi="Arial"/>
          <w:sz w:val="15"/>
          <w:szCs w:val="15"/>
          <w:color w:val="auto"/>
        </w:rPr>
        <w:t>10,246,458</w:t>
      </w:r>
    </w:p>
    <w:p>
      <w:pPr>
        <w:spacing w:after="0" w:line="260" w:lineRule="exact"/>
        <w:rPr>
          <w:sz w:val="20"/>
          <w:szCs w:val="20"/>
          <w:color w:val="auto"/>
        </w:rPr>
      </w:pPr>
    </w:p>
    <w:p>
      <w:pPr>
        <w:jc w:val="both"/>
        <w:ind w:left="320"/>
        <w:spacing w:after="0"/>
        <w:tabs>
          <w:tab w:leader="none" w:pos="1720" w:val="left"/>
        </w:tabs>
        <w:rPr>
          <w:sz w:val="20"/>
          <w:szCs w:val="20"/>
          <w:color w:val="auto"/>
        </w:rPr>
      </w:pPr>
      <w:r>
        <w:rPr>
          <w:rFonts w:ascii="Arial" w:cs="Arial" w:eastAsia="Arial" w:hAnsi="Arial"/>
          <w:sz w:val="18"/>
          <w:szCs w:val="18"/>
          <w:color w:val="auto"/>
        </w:rPr>
        <w:t>54,812</w:t>
      </w:r>
      <w:r>
        <w:rPr>
          <w:sz w:val="20"/>
          <w:szCs w:val="20"/>
          <w:color w:val="auto"/>
        </w:rPr>
        <w:tab/>
      </w:r>
      <w:r>
        <w:rPr>
          <w:rFonts w:ascii="Arial" w:cs="Arial" w:eastAsia="Arial" w:hAnsi="Arial"/>
          <w:sz w:val="18"/>
          <w:szCs w:val="18"/>
          <w:color w:val="auto"/>
        </w:rPr>
        <w:t>18,899</w:t>
      </w:r>
    </w:p>
    <w:p>
      <w:pPr>
        <w:spacing w:after="0" w:line="23" w:lineRule="exact"/>
        <w:rPr>
          <w:sz w:val="20"/>
          <w:szCs w:val="20"/>
          <w:color w:val="auto"/>
        </w:rPr>
      </w:pPr>
    </w:p>
    <w:p>
      <w:pPr>
        <w:spacing w:after="0"/>
        <w:tabs>
          <w:tab w:leader="none" w:pos="1420" w:val="left"/>
        </w:tabs>
        <w:rPr>
          <w:sz w:val="20"/>
          <w:szCs w:val="20"/>
          <w:color w:val="auto"/>
        </w:rPr>
      </w:pPr>
      <w:r>
        <w:rPr>
          <w:rFonts w:ascii="Arial" w:cs="Arial" w:eastAsia="Arial" w:hAnsi="Arial"/>
          <w:sz w:val="15"/>
          <w:szCs w:val="15"/>
          <w:color w:val="auto"/>
        </w:rPr>
        <w:t>10,308,270</w:t>
      </w:r>
      <w:r>
        <w:rPr>
          <w:sz w:val="20"/>
          <w:szCs w:val="20"/>
          <w:color w:val="auto"/>
        </w:rPr>
        <w:tab/>
      </w:r>
      <w:r>
        <w:rPr>
          <w:rFonts w:ascii="Arial" w:cs="Arial" w:eastAsia="Arial" w:hAnsi="Arial"/>
          <w:sz w:val="15"/>
          <w:szCs w:val="15"/>
          <w:color w:val="auto"/>
        </w:rPr>
        <w:t>10,265,357</w:t>
      </w:r>
    </w:p>
    <w:p>
      <w:pPr>
        <w:spacing w:after="0" w:line="251" w:lineRule="exact"/>
        <w:rPr>
          <w:sz w:val="20"/>
          <w:szCs w:val="20"/>
          <w:color w:val="auto"/>
        </w:rPr>
      </w:pPr>
    </w:p>
    <w:p>
      <w:pPr>
        <w:sectPr>
          <w:pgSz w:w="11900" w:h="16838" w:orient="portrait"/>
          <w:cols w:equalWidth="0" w:num="2">
            <w:col w:w="4960" w:space="720"/>
            <w:col w:w="5700"/>
          </w:cols>
          <w:pgMar w:left="240" w:top="368" w:right="279" w:bottom="1440" w:gutter="0" w:footer="0" w:header="0"/>
          <w:type w:val="continuous"/>
        </w:sectPr>
      </w:pPr>
    </w:p>
    <w:p>
      <w:pPr>
        <w:spacing w:after="0" w:line="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0D0E00"/>
        </w:rPr>
        <w:t>For the period ended June 30, 2010, there were no shares or stock options excluded from the calculation of weighted average common shares for diluted EPS. The period ended June 30, 2009 excludes 70,665 stock options from the calculation of weighted average common shares for diluted EPS because their effects were antidilutive.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0D0E00"/>
        </w:rPr>
        <w:t>Note 3 – Discontinued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0D0E00"/>
        </w:rPr>
        <w:t>In February 2009, we agreed to sell our inventory and entered into a marketing agreement regarding the business of our Pharmaceutical segment, which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0D0E00"/>
        </w:rPr>
        <w:t>provided pharmaceutical chemicals to retail pharmacies and small-scale pharmaceutical manufacturers. On May 22, 2009 the majority of the inventory was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0D0E00"/>
        </w:rPr>
        <w:t>sold for cash of approximately $1.6 million which approximated its carrying value. The remaining inventory, with a carrying value of approximately $0.1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0D0E00"/>
        </w:rPr>
        <w:t>million, was sold during fiscal 2010. The agreement provides for annual payments based on a percentage of gross profit on future sales up to a maximum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0D0E00"/>
        </w:rPr>
        <w:t>approximately $3.7 million. We have no significant remaining obligation s to fulfill under the agreement. We have recorded a receivable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0D0E00"/>
        </w:rPr>
        <w:t>$1.7 million, equal to the carrying value of the assets that were related to this business. The first year payment under the agreement due in the second quarter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0D0E00"/>
        </w:rPr>
        <w:t>will be approximately $0.7 million and we have classified this portion of the receivable as current on the Condensed Balance Sheets. Amounts received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0D0E00"/>
        </w:rPr>
        <w:t>excess of the approximately $1.7 million will be recorded as a gain on sale of discontinued operations in future periods. The results of the Pharmaceutical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0D0E00"/>
        </w:rPr>
        <w:t>segment have been reported as discontinued operations for all periods presented.</w:t>
      </w: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0D0E00"/>
        </w:rPr>
        <w:t>Note 4 – Cash and Cash Equivalents and Investments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0D0E00"/>
        </w:rPr>
        <w:t>The following table presents information about our financial assets and liabilities that are measured at fair value on a recurring basis as of June 30, 2010, and indicates the fair value hierarchy of the valuation techniques utilized to determine such fair value.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Description</w:t>
            </w:r>
          </w:p>
        </w:tc>
        <w:tc>
          <w:tcPr>
            <w:tcW w:w="2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9"/>
                <w:szCs w:val="19"/>
                <w:color w:val="auto"/>
              </w:rPr>
            </w:pPr>
          </w:p>
        </w:tc>
        <w:tc>
          <w:tcPr>
            <w:tcW w:w="13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9"/>
                <w:szCs w:val="19"/>
                <w:color w:val="auto"/>
              </w:rPr>
            </w:pPr>
          </w:p>
        </w:tc>
        <w:tc>
          <w:tcPr>
            <w:tcW w:w="13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9"/>
                <w:szCs w:val="19"/>
                <w:color w:val="auto"/>
              </w:rPr>
            </w:pPr>
          </w:p>
        </w:tc>
        <w:tc>
          <w:tcPr>
            <w:tcW w:w="9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69"/>
        </w:trPr>
        <w:tc>
          <w:tcPr>
            <w:tcW w:w="31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ind w:right="377"/>
              <w:spacing w:after="0"/>
              <w:rPr>
                <w:sz w:val="20"/>
                <w:szCs w:val="20"/>
                <w:color w:val="auto"/>
              </w:rPr>
            </w:pPr>
            <w:r>
              <w:rPr>
                <w:rFonts w:ascii="Arial" w:cs="Arial" w:eastAsia="Arial" w:hAnsi="Arial"/>
                <w:sz w:val="14"/>
                <w:szCs w:val="14"/>
                <w:b w:val="1"/>
                <w:bCs w:val="1"/>
                <w:color w:val="auto"/>
              </w:rPr>
              <w:t>2010</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100" w:type="dxa"/>
            <w:vAlign w:val="bottom"/>
            <w:gridSpan w:val="2"/>
          </w:tcPr>
          <w:p>
            <w:pPr>
              <w:spacing w:after="0"/>
              <w:rPr>
                <w:sz w:val="20"/>
                <w:szCs w:val="20"/>
                <w:color w:val="auto"/>
              </w:rPr>
            </w:pPr>
            <w:r>
              <w:rPr>
                <w:rFonts w:ascii="Arial" w:cs="Arial" w:eastAsia="Arial" w:hAnsi="Arial"/>
                <w:sz w:val="18"/>
                <w:szCs w:val="18"/>
                <w:color w:val="auto"/>
              </w:rPr>
              <w:t>Assets:</w:t>
            </w:r>
          </w:p>
        </w:tc>
        <w:tc>
          <w:tcPr>
            <w:tcW w:w="8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00" w:type="dxa"/>
            <w:vAlign w:val="bottom"/>
            <w:gridSpan w:val="2"/>
            <w:shd w:val="clear" w:color="auto" w:fill="D6F3E8"/>
          </w:tcPr>
          <w:p>
            <w:pPr>
              <w:ind w:left="500"/>
              <w:spacing w:after="0"/>
              <w:rPr>
                <w:sz w:val="20"/>
                <w:szCs w:val="20"/>
                <w:color w:val="auto"/>
              </w:rPr>
            </w:pPr>
            <w:r>
              <w:rPr>
                <w:rFonts w:ascii="Arial" w:cs="Arial" w:eastAsia="Arial" w:hAnsi="Arial"/>
                <w:sz w:val="18"/>
                <w:szCs w:val="18"/>
                <w:color w:val="auto"/>
              </w:rPr>
              <w:t>Cash</w:t>
            </w:r>
          </w:p>
        </w:tc>
        <w:tc>
          <w:tcPr>
            <w:tcW w:w="102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D6F3E8"/>
          </w:tcPr>
          <w:p>
            <w:pPr>
              <w:jc w:val="right"/>
              <w:ind w:right="400"/>
              <w:spacing w:after="0"/>
              <w:rPr>
                <w:sz w:val="20"/>
                <w:szCs w:val="20"/>
                <w:color w:val="auto"/>
              </w:rPr>
            </w:pPr>
            <w:r>
              <w:rPr>
                <w:rFonts w:ascii="Arial" w:cs="Arial" w:eastAsia="Arial" w:hAnsi="Arial"/>
                <w:sz w:val="18"/>
                <w:szCs w:val="18"/>
                <w:color w:val="auto"/>
              </w:rPr>
              <w:t>19,350</w:t>
            </w:r>
          </w:p>
        </w:tc>
        <w:tc>
          <w:tcPr>
            <w:tcW w:w="220" w:type="dxa"/>
            <w:vAlign w:val="bottom"/>
            <w:shd w:val="clear" w:color="auto" w:fill="D6F3E8"/>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D6F3E8"/>
          </w:tcPr>
          <w:p>
            <w:pPr>
              <w:jc w:val="right"/>
              <w:ind w:right="380"/>
              <w:spacing w:after="0"/>
              <w:rPr>
                <w:sz w:val="20"/>
                <w:szCs w:val="20"/>
                <w:color w:val="auto"/>
              </w:rPr>
            </w:pPr>
            <w:r>
              <w:rPr>
                <w:rFonts w:ascii="Arial" w:cs="Arial" w:eastAsia="Arial" w:hAnsi="Arial"/>
                <w:sz w:val="18"/>
                <w:szCs w:val="18"/>
                <w:color w:val="auto"/>
              </w:rPr>
              <w:t>19,350</w:t>
            </w:r>
          </w:p>
        </w:tc>
        <w:tc>
          <w:tcPr>
            <w:tcW w:w="220" w:type="dxa"/>
            <w:vAlign w:val="bottom"/>
            <w:shd w:val="clear" w:color="auto" w:fill="D6F3E8"/>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D6F3E8"/>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D6F3E8"/>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D6F3E8"/>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00" w:type="dxa"/>
            <w:vAlign w:val="bottom"/>
            <w:gridSpan w:val="2"/>
          </w:tcPr>
          <w:p>
            <w:pPr>
              <w:ind w:left="500"/>
              <w:spacing w:after="0"/>
              <w:rPr>
                <w:sz w:val="20"/>
                <w:szCs w:val="20"/>
                <w:color w:val="auto"/>
              </w:rPr>
            </w:pPr>
            <w:r>
              <w:rPr>
                <w:rFonts w:ascii="Arial" w:cs="Arial" w:eastAsia="Arial" w:hAnsi="Arial"/>
                <w:sz w:val="18"/>
                <w:szCs w:val="18"/>
                <w:color w:val="auto"/>
              </w:rPr>
              <w:t>Certificates of deposit</w:t>
            </w: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32,544</w:t>
            </w:r>
          </w:p>
        </w:tc>
        <w:tc>
          <w:tcPr>
            <w:tcW w:w="220" w:type="dxa"/>
            <w:vAlign w:val="bottom"/>
          </w:tcPr>
          <w:p>
            <w:pPr>
              <w:spacing w:after="0"/>
              <w:rPr>
                <w:sz w:val="21"/>
                <w:szCs w:val="21"/>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32,544</w:t>
            </w:r>
          </w:p>
        </w:tc>
        <w:tc>
          <w:tcPr>
            <w:tcW w:w="200" w:type="dxa"/>
            <w:vAlign w:val="bottom"/>
          </w:tcPr>
          <w:p>
            <w:pPr>
              <w:spacing w:after="0"/>
              <w:rPr>
                <w:sz w:val="21"/>
                <w:szCs w:val="21"/>
                <w:color w:val="auto"/>
              </w:rPr>
            </w:pP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00" w:type="dxa"/>
            <w:vAlign w:val="bottom"/>
            <w:gridSpan w:val="2"/>
            <w:shd w:val="clear" w:color="auto" w:fill="D6F3E8"/>
          </w:tcPr>
          <w:p>
            <w:pPr>
              <w:ind w:left="500"/>
              <w:spacing w:after="0"/>
              <w:rPr>
                <w:sz w:val="20"/>
                <w:szCs w:val="20"/>
                <w:color w:val="auto"/>
              </w:rPr>
            </w:pPr>
            <w:r>
              <w:rPr>
                <w:rFonts w:ascii="Arial" w:cs="Arial" w:eastAsia="Arial" w:hAnsi="Arial"/>
                <w:sz w:val="18"/>
                <w:szCs w:val="18"/>
                <w:color w:val="auto"/>
              </w:rPr>
              <w:t>Money market securities</w:t>
            </w:r>
          </w:p>
        </w:tc>
        <w:tc>
          <w:tcPr>
            <w:tcW w:w="820" w:type="dxa"/>
            <w:vAlign w:val="bottom"/>
            <w:shd w:val="clear" w:color="auto" w:fill="D6F3E8"/>
          </w:tcPr>
          <w:p>
            <w:pPr>
              <w:spacing w:after="0"/>
              <w:rPr>
                <w:sz w:val="21"/>
                <w:szCs w:val="21"/>
                <w:color w:val="auto"/>
              </w:rPr>
            </w:pPr>
          </w:p>
        </w:tc>
        <w:tc>
          <w:tcPr>
            <w:tcW w:w="200" w:type="dxa"/>
            <w:vAlign w:val="bottom"/>
            <w:shd w:val="clear" w:color="auto" w:fill="D6F3E8"/>
          </w:tcPr>
          <w:p>
            <w:pPr>
              <w:spacing w:after="0"/>
              <w:rPr>
                <w:sz w:val="21"/>
                <w:szCs w:val="21"/>
                <w:color w:val="auto"/>
              </w:rPr>
            </w:pPr>
          </w:p>
        </w:tc>
        <w:tc>
          <w:tcPr>
            <w:tcW w:w="1380" w:type="dxa"/>
            <w:vAlign w:val="bottom"/>
            <w:gridSpan w:val="2"/>
            <w:shd w:val="clear" w:color="auto" w:fill="D6F3E8"/>
          </w:tcPr>
          <w:p>
            <w:pPr>
              <w:jc w:val="right"/>
              <w:ind w:right="400"/>
              <w:spacing w:after="0"/>
              <w:rPr>
                <w:sz w:val="20"/>
                <w:szCs w:val="20"/>
                <w:color w:val="auto"/>
              </w:rPr>
            </w:pPr>
            <w:r>
              <w:rPr>
                <w:rFonts w:ascii="Arial" w:cs="Arial" w:eastAsia="Arial" w:hAnsi="Arial"/>
                <w:sz w:val="18"/>
                <w:szCs w:val="18"/>
                <w:color w:val="auto"/>
              </w:rPr>
              <w:t>220</w:t>
            </w:r>
          </w:p>
        </w:tc>
        <w:tc>
          <w:tcPr>
            <w:tcW w:w="220" w:type="dxa"/>
            <w:vAlign w:val="bottom"/>
            <w:shd w:val="clear" w:color="auto" w:fill="D6F3E8"/>
          </w:tcPr>
          <w:p>
            <w:pPr>
              <w:spacing w:after="0"/>
              <w:rPr>
                <w:sz w:val="21"/>
                <w:szCs w:val="21"/>
                <w:color w:val="auto"/>
              </w:rPr>
            </w:pPr>
          </w:p>
        </w:tc>
        <w:tc>
          <w:tcPr>
            <w:tcW w:w="1320" w:type="dxa"/>
            <w:vAlign w:val="bottom"/>
            <w:gridSpan w:val="2"/>
            <w:shd w:val="clear" w:color="auto" w:fill="D6F3E8"/>
          </w:tcPr>
          <w:p>
            <w:pPr>
              <w:jc w:val="right"/>
              <w:ind w:right="380"/>
              <w:spacing w:after="0"/>
              <w:rPr>
                <w:sz w:val="20"/>
                <w:szCs w:val="20"/>
                <w:color w:val="auto"/>
              </w:rPr>
            </w:pPr>
            <w:r>
              <w:rPr>
                <w:rFonts w:ascii="Arial" w:cs="Arial" w:eastAsia="Arial" w:hAnsi="Arial"/>
                <w:sz w:val="18"/>
                <w:szCs w:val="18"/>
                <w:color w:val="auto"/>
              </w:rPr>
              <w:t>220</w:t>
            </w:r>
          </w:p>
        </w:tc>
        <w:tc>
          <w:tcPr>
            <w:tcW w:w="220" w:type="dxa"/>
            <w:vAlign w:val="bottom"/>
            <w:shd w:val="clear" w:color="auto" w:fill="D6F3E8"/>
          </w:tcPr>
          <w:p>
            <w:pPr>
              <w:spacing w:after="0"/>
              <w:rPr>
                <w:sz w:val="21"/>
                <w:szCs w:val="21"/>
                <w:color w:val="auto"/>
              </w:rPr>
            </w:pPr>
          </w:p>
        </w:tc>
        <w:tc>
          <w:tcPr>
            <w:tcW w:w="1320" w:type="dxa"/>
            <w:vAlign w:val="bottom"/>
            <w:gridSpan w:val="2"/>
            <w:shd w:val="clear" w:color="auto" w:fill="D6F3E8"/>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D6F3E8"/>
          </w:tcPr>
          <w:p>
            <w:pPr>
              <w:spacing w:after="0"/>
              <w:rPr>
                <w:sz w:val="21"/>
                <w:szCs w:val="21"/>
                <w:color w:val="auto"/>
              </w:rPr>
            </w:pPr>
          </w:p>
        </w:tc>
        <w:tc>
          <w:tcPr>
            <w:tcW w:w="960" w:type="dxa"/>
            <w:vAlign w:val="bottom"/>
            <w:gridSpan w:val="2"/>
            <w:shd w:val="clear" w:color="auto" w:fill="D6F3E8"/>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financial assets that are measured at fair value on a recurring basis are certificates of deposit (“CD’s”), with maturities ranging from three months to two years which fall within valuation technique Level 2. The CD’s are classified as investments in current assets and noncurrent assets on the Condensed Balance Sheets. As of June 30, 2010, the CD’s in current assets have a fair value of $27.3 million, and in noncurrent assets, the CD’s have a fair value of $5.2 million.</w:t>
      </w:r>
    </w:p>
    <w:p>
      <w:pPr>
        <w:spacing w:after="0" w:line="17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0D0E00"/>
        </w:rPr>
        <w:t>The carrying value of cash and cash equivalents accounts approximates fair value, as maturities are three months or less. We did not have any financial liability instruments subject to recurring fair value measurements as of June 30, 2010.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0D0E00"/>
        </w:rPr>
        <w:t>Note 5 – Inventories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0D0E00"/>
        </w:rPr>
        <w:t>Inventories at June 30, 2010 and March 28, 2010 consisted of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March 28,</w:t>
            </w:r>
          </w:p>
        </w:tc>
      </w:tr>
      <w:tr>
        <w:trPr>
          <w:trHeight w:val="171"/>
        </w:trPr>
        <w:tc>
          <w:tcPr>
            <w:tcW w:w="3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2010</w:t>
            </w:r>
          </w:p>
        </w:tc>
        <w:tc>
          <w:tcPr>
            <w:tcW w:w="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4"/>
                <w:szCs w:val="14"/>
                <w:color w:val="auto"/>
              </w:rPr>
            </w:pPr>
          </w:p>
        </w:tc>
      </w:tr>
      <w:tr>
        <w:trPr>
          <w:trHeight w:val="223"/>
        </w:trPr>
        <w:tc>
          <w:tcPr>
            <w:tcW w:w="31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3"/>
        </w:trPr>
        <w:tc>
          <w:tcPr>
            <w:tcW w:w="3140" w:type="dxa"/>
            <w:vAlign w:val="bottom"/>
            <w:shd w:val="clear" w:color="auto" w:fill="D6F3E8"/>
          </w:tcPr>
          <w:p>
            <w:pPr>
              <w:spacing w:after="0"/>
              <w:rPr>
                <w:sz w:val="20"/>
                <w:szCs w:val="20"/>
                <w:color w:val="auto"/>
              </w:rPr>
            </w:pPr>
            <w:r>
              <w:rPr>
                <w:rFonts w:ascii="Arial" w:cs="Arial" w:eastAsia="Arial" w:hAnsi="Arial"/>
                <w:sz w:val="18"/>
                <w:szCs w:val="18"/>
                <w:color w:val="auto"/>
              </w:rPr>
              <w:t>Finished goods (FIFO basis)</w:t>
            </w:r>
          </w:p>
        </w:tc>
        <w:tc>
          <w:tcPr>
            <w:tcW w:w="1280" w:type="dxa"/>
            <w:vAlign w:val="bottom"/>
            <w:gridSpan w:val="2"/>
            <w:shd w:val="clear" w:color="auto" w:fill="D6F3E8"/>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D6F3E8"/>
          </w:tcPr>
          <w:p>
            <w:pPr>
              <w:jc w:val="right"/>
              <w:ind w:right="400"/>
              <w:spacing w:after="0"/>
              <w:rPr>
                <w:sz w:val="20"/>
                <w:szCs w:val="20"/>
                <w:color w:val="auto"/>
              </w:rPr>
            </w:pPr>
            <w:r>
              <w:rPr>
                <w:rFonts w:ascii="Arial" w:cs="Arial" w:eastAsia="Arial" w:hAnsi="Arial"/>
                <w:sz w:val="18"/>
                <w:szCs w:val="18"/>
                <w:color w:val="auto"/>
              </w:rPr>
              <w:t>28,571</w:t>
            </w:r>
          </w:p>
        </w:tc>
        <w:tc>
          <w:tcPr>
            <w:tcW w:w="16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23,258</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LIFO reserve</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(2,727)</w:t>
            </w: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(1,931)</w:t>
            </w:r>
          </w:p>
        </w:tc>
      </w:tr>
      <w:tr>
        <w:trPr>
          <w:trHeight w:val="210"/>
        </w:trPr>
        <w:tc>
          <w:tcPr>
            <w:tcW w:w="3140" w:type="dxa"/>
            <w:vAlign w:val="bottom"/>
            <w:tcBorders>
              <w:top w:val="single" w:sz="8" w:color="D6F3E8"/>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Net inventory</w:t>
            </w:r>
          </w:p>
        </w:tc>
        <w:tc>
          <w:tcPr>
            <w:tcW w:w="1080" w:type="dxa"/>
            <w:vAlign w:val="bottom"/>
            <w:tcBorders>
              <w:top w:val="single" w:sz="8" w:color="D6F3E8"/>
              <w:bottom w:val="single" w:sz="8" w:color="D6F3E8"/>
            </w:tcBorders>
            <w:shd w:val="clear" w:color="auto" w:fill="D6F3E8"/>
          </w:tcPr>
          <w:p>
            <w:pPr>
              <w:spacing w:after="0"/>
              <w:rPr>
                <w:sz w:val="18"/>
                <w:szCs w:val="18"/>
                <w:color w:val="auto"/>
              </w:rPr>
            </w:pPr>
          </w:p>
        </w:tc>
        <w:tc>
          <w:tcPr>
            <w:tcW w:w="200" w:type="dxa"/>
            <w:vAlign w:val="bottom"/>
            <w:tcBorders>
              <w:top w:val="single" w:sz="8" w:color="auto"/>
              <w:bottom w:val="single" w:sz="8" w:color="auto"/>
            </w:tcBorders>
            <w:shd w:val="clear" w:color="auto" w:fill="D6F3E8"/>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25,844</w:t>
            </w:r>
          </w:p>
        </w:tc>
        <w:tc>
          <w:tcPr>
            <w:tcW w:w="400" w:type="dxa"/>
            <w:vAlign w:val="bottom"/>
            <w:tcBorders>
              <w:top w:val="single" w:sz="8" w:color="D6F3E8"/>
              <w:bottom w:val="single" w:sz="8" w:color="D6F3E8"/>
            </w:tcBorders>
            <w:shd w:val="clear" w:color="auto" w:fill="D6F3E8"/>
          </w:tcPr>
          <w:p>
            <w:pPr>
              <w:spacing w:after="0"/>
              <w:rPr>
                <w:sz w:val="18"/>
                <w:szCs w:val="18"/>
                <w:color w:val="auto"/>
              </w:rPr>
            </w:pPr>
          </w:p>
        </w:tc>
        <w:tc>
          <w:tcPr>
            <w:tcW w:w="16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21,327</w:t>
            </w:r>
          </w:p>
        </w:tc>
        <w:tc>
          <w:tcPr>
            <w:tcW w:w="80" w:type="dxa"/>
            <w:vAlign w:val="bottom"/>
            <w:tcBorders>
              <w:top w:val="single" w:sz="8" w:color="D6F3E8"/>
              <w:bottom w:val="single" w:sz="8" w:color="D6F3E8"/>
            </w:tcBorders>
            <w:shd w:val="clear" w:color="auto" w:fill="D6F3E8"/>
          </w:tcPr>
          <w:p>
            <w:pPr>
              <w:spacing w:after="0"/>
              <w:rPr>
                <w:sz w:val="18"/>
                <w:szCs w:val="18"/>
                <w:color w:val="auto"/>
              </w:rPr>
            </w:pPr>
          </w:p>
        </w:tc>
      </w:tr>
      <w:tr>
        <w:trPr>
          <w:trHeight w:val="20"/>
        </w:trPr>
        <w:tc>
          <w:tcPr>
            <w:tcW w:w="3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0D0E00"/>
        </w:rPr>
        <w:t>The first in, first out (“FIFO”) value of inventories accounted for under the last in, first out (“LIFO”) method were $28.4 million at June 30, 2010 and $23.1 million at March 28, 2010. The remainder of the inventory was valued and accounted for under the FIFO method. We increased the LIFO reserve by $0.8 million in the three months ended June 30, 2010 and decreased the LIFO reserve by $2.8 million in the three months ended June 30, 2009 as a result of the changes in inventory costs and inventory product mix. The valuation of LIFO inventory for interim periods is based on our estimates of year-end inventory levels and costs.</w:t>
      </w:r>
    </w:p>
    <w:p>
      <w:pPr>
        <w:spacing w:after="0" w:line="200" w:lineRule="exact"/>
        <w:rPr>
          <w:sz w:val="20"/>
          <w:szCs w:val="20"/>
          <w:color w:val="auto"/>
        </w:rPr>
      </w:pPr>
    </w:p>
    <w:p>
      <w:pPr>
        <w:spacing w:after="0" w:line="2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40"/>
          </w:cols>
          <w:pgMar w:left="240" w:top="368" w:right="31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0D0E00"/>
        </w:rPr>
        <w:t>Note 6 – Goodwill and Intangible Assets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0D0E00"/>
        </w:rPr>
        <w:t>The carrying amount of goodwill as of June 30, 2010 and March 28, 2010 was $1.2 million.</w:t>
      </w:r>
    </w:p>
    <w:p>
      <w:pPr>
        <w:spacing w:after="0" w:line="252"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0D0E00"/>
        </w:rPr>
        <w:t>Intangible assets consist primarily of customer lists, trade secrets and non-compete agreements classified as finite life and trademarks and trade names classified as indefinite life, related to previous business acquisitions. A summary of our intangible assets as of June 30, 2010 and March 28, 2010 were as follows: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87"/>
              </w:rPr>
              <w:t>June 30, 2010</w:t>
            </w: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0"/>
              </w:rPr>
              <w:t>Gross</w:t>
            </w:r>
          </w:p>
        </w:tc>
        <w:tc>
          <w:tcPr>
            <w:tcW w:w="140" w:type="dxa"/>
            <w:vAlign w:val="bottom"/>
          </w:tcPr>
          <w:p>
            <w:pPr>
              <w:spacing w:after="0"/>
              <w:rPr>
                <w:sz w:val="10"/>
                <w:szCs w:val="10"/>
                <w:color w:val="auto"/>
              </w:rPr>
            </w:pPr>
          </w:p>
        </w:tc>
        <w:tc>
          <w:tcPr>
            <w:tcW w:w="104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0"/>
              </w:rPr>
              <w:t>Accumulated</w:t>
            </w: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3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3"/>
              </w:rPr>
              <w:t>Amortization</w:t>
            </w:r>
          </w:p>
        </w:tc>
        <w:tc>
          <w:tcPr>
            <w:tcW w:w="2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88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80" w:type="dxa"/>
            <w:vAlign w:val="bottom"/>
            <w:shd w:val="clear" w:color="auto" w:fill="D6F3E8"/>
          </w:tcPr>
          <w:p>
            <w:pPr>
              <w:spacing w:after="0"/>
              <w:rPr>
                <w:sz w:val="20"/>
                <w:szCs w:val="20"/>
                <w:color w:val="auto"/>
              </w:rPr>
            </w:pPr>
            <w:r>
              <w:rPr>
                <w:rFonts w:ascii="Arial" w:cs="Arial" w:eastAsia="Arial" w:hAnsi="Arial"/>
                <w:sz w:val="18"/>
                <w:szCs w:val="18"/>
                <w:color w:val="auto"/>
              </w:rPr>
              <w:t>Finite-life intangible assets</w:t>
            </w:r>
          </w:p>
        </w:tc>
        <w:tc>
          <w:tcPr>
            <w:tcW w:w="10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D6F3E8"/>
          </w:tcPr>
          <w:p>
            <w:pPr>
              <w:ind w:left="320"/>
              <w:spacing w:after="0"/>
              <w:rPr>
                <w:sz w:val="20"/>
                <w:szCs w:val="20"/>
                <w:color w:val="auto"/>
              </w:rPr>
            </w:pPr>
            <w:r>
              <w:rPr>
                <w:rFonts w:ascii="Arial" w:cs="Arial" w:eastAsia="Arial" w:hAnsi="Arial"/>
                <w:sz w:val="18"/>
                <w:szCs w:val="18"/>
                <w:color w:val="auto"/>
              </w:rPr>
              <w:t>3,259</w:t>
            </w:r>
          </w:p>
        </w:tc>
        <w:tc>
          <w:tcPr>
            <w:tcW w:w="420" w:type="dxa"/>
            <w:vAlign w:val="bottom"/>
            <w:gridSpan w:val="2"/>
            <w:shd w:val="clear" w:color="auto" w:fill="D6F3E8"/>
          </w:tcPr>
          <w:p>
            <w:pPr>
              <w:jc w:val="right"/>
              <w:ind w:right="127"/>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(911)</w:t>
            </w:r>
          </w:p>
        </w:tc>
        <w:tc>
          <w:tcPr>
            <w:tcW w:w="200" w:type="dxa"/>
            <w:vAlign w:val="bottom"/>
            <w:shd w:val="clear" w:color="auto" w:fill="D6F3E8"/>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D6F3E8"/>
          </w:tcPr>
          <w:p>
            <w:pPr>
              <w:ind w:left="220"/>
              <w:spacing w:after="0"/>
              <w:rPr>
                <w:sz w:val="20"/>
                <w:szCs w:val="20"/>
                <w:color w:val="auto"/>
              </w:rPr>
            </w:pPr>
            <w:r>
              <w:rPr>
                <w:rFonts w:ascii="Arial" w:cs="Arial" w:eastAsia="Arial" w:hAnsi="Arial"/>
                <w:sz w:val="18"/>
                <w:szCs w:val="18"/>
                <w:color w:val="auto"/>
              </w:rPr>
              <w:t>2,348</w:t>
            </w:r>
          </w:p>
        </w:tc>
        <w:tc>
          <w:tcPr>
            <w:tcW w:w="0" w:type="dxa"/>
            <w:vAlign w:val="bottom"/>
          </w:tcPr>
          <w:p>
            <w:pPr>
              <w:spacing w:after="0"/>
              <w:rPr>
                <w:sz w:val="1"/>
                <w:szCs w:val="1"/>
                <w:color w:val="auto"/>
              </w:rPr>
            </w:pPr>
          </w:p>
        </w:tc>
      </w:tr>
      <w:tr>
        <w:trPr>
          <w:trHeight w:val="243"/>
        </w:trPr>
        <w:tc>
          <w:tcPr>
            <w:tcW w:w="3880" w:type="dxa"/>
            <w:vAlign w:val="bottom"/>
          </w:tcPr>
          <w:p>
            <w:pPr>
              <w:spacing w:after="0"/>
              <w:rPr>
                <w:sz w:val="20"/>
                <w:szCs w:val="20"/>
                <w:color w:val="auto"/>
              </w:rPr>
            </w:pPr>
            <w:r>
              <w:rPr>
                <w:rFonts w:ascii="Arial" w:cs="Arial" w:eastAsia="Arial" w:hAnsi="Arial"/>
                <w:sz w:val="18"/>
                <w:szCs w:val="18"/>
                <w:color w:val="auto"/>
              </w:rPr>
              <w:t>Indefinite-life intangible assets</w:t>
            </w:r>
          </w:p>
        </w:tc>
        <w:tc>
          <w:tcPr>
            <w:tcW w:w="100" w:type="dxa"/>
            <w:vAlign w:val="bottom"/>
          </w:tcPr>
          <w:p>
            <w:pPr>
              <w:spacing w:after="0"/>
              <w:rPr>
                <w:sz w:val="21"/>
                <w:szCs w:val="21"/>
                <w:color w:val="auto"/>
              </w:rPr>
            </w:pP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1,227</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gridSpan w:val="2"/>
          </w:tcPr>
          <w:p>
            <w:pPr>
              <w:ind w:left="220"/>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10"/>
        </w:trPr>
        <w:tc>
          <w:tcPr>
            <w:tcW w:w="3880" w:type="dxa"/>
            <w:vAlign w:val="bottom"/>
            <w:tcBorders>
              <w:top w:val="single" w:sz="8" w:color="D6F3E8"/>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Total intangible assets, net</w:t>
            </w:r>
          </w:p>
        </w:tc>
        <w:tc>
          <w:tcPr>
            <w:tcW w:w="1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D6F3E8"/>
          </w:tcPr>
          <w:p>
            <w:pPr>
              <w:ind w:left="320"/>
              <w:spacing w:after="0"/>
              <w:rPr>
                <w:sz w:val="20"/>
                <w:szCs w:val="20"/>
                <w:color w:val="auto"/>
              </w:rPr>
            </w:pPr>
            <w:r>
              <w:rPr>
                <w:rFonts w:ascii="Arial" w:cs="Arial" w:eastAsia="Arial" w:hAnsi="Arial"/>
                <w:sz w:val="18"/>
                <w:szCs w:val="18"/>
                <w:color w:val="auto"/>
                <w:w w:val="84"/>
              </w:rPr>
              <w:t>4,486</w:t>
            </w:r>
          </w:p>
        </w:tc>
        <w:tc>
          <w:tcPr>
            <w:tcW w:w="80" w:type="dxa"/>
            <w:vAlign w:val="bottom"/>
            <w:tcBorders>
              <w:top w:val="single" w:sz="8" w:color="D6F3E8"/>
              <w:bottom w:val="single" w:sz="8" w:color="D6F3E8"/>
            </w:tcBorders>
            <w:shd w:val="clear" w:color="auto" w:fill="D6F3E8"/>
          </w:tcPr>
          <w:p>
            <w:pPr>
              <w:spacing w:after="0"/>
              <w:rPr>
                <w:sz w:val="18"/>
                <w:szCs w:val="18"/>
                <w:color w:val="auto"/>
              </w:rPr>
            </w:pPr>
          </w:p>
        </w:tc>
        <w:tc>
          <w:tcPr>
            <w:tcW w:w="140" w:type="dxa"/>
            <w:vAlign w:val="bottom"/>
            <w:tcBorders>
              <w:top w:val="single" w:sz="8" w:color="D6F3E8"/>
              <w:bottom w:val="single" w:sz="8" w:color="D6F3E8"/>
            </w:tcBorders>
            <w:shd w:val="clear" w:color="auto" w:fill="D6F3E8"/>
          </w:tcPr>
          <w:p>
            <w:pPr>
              <w:spacing w:after="0"/>
              <w:rPr>
                <w:sz w:val="18"/>
                <w:szCs w:val="18"/>
                <w:color w:val="auto"/>
              </w:rPr>
            </w:pPr>
          </w:p>
        </w:tc>
        <w:tc>
          <w:tcPr>
            <w:tcW w:w="280" w:type="dxa"/>
            <w:vAlign w:val="bottom"/>
            <w:tcBorders>
              <w:top w:val="single" w:sz="8" w:color="auto"/>
              <w:bottom w:val="single" w:sz="8" w:color="auto"/>
            </w:tcBorders>
            <w:shd w:val="clear" w:color="auto" w:fill="D6F3E8"/>
          </w:tcPr>
          <w:p>
            <w:pPr>
              <w:jc w:val="right"/>
              <w:ind w:right="12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(911</w:t>
            </w:r>
          </w:p>
        </w:tc>
        <w:tc>
          <w:tcPr>
            <w:tcW w:w="220" w:type="dxa"/>
            <w:vAlign w:val="bottom"/>
            <w:tcBorders>
              <w:top w:val="single" w:sz="8" w:color="D6F3E8"/>
              <w:bottom w:val="single" w:sz="8" w:color="D6F3E8"/>
            </w:tcBorders>
            <w:shd w:val="clear" w:color="auto" w:fill="D6F3E8"/>
          </w:tcPr>
          <w:p>
            <w:pPr>
              <w:jc w:val="right"/>
              <w:ind w:right="8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D6F3E8"/>
          </w:tcPr>
          <w:p>
            <w:pPr>
              <w:jc w:val="right"/>
              <w:ind w:right="4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D6F3E8"/>
          </w:tcPr>
          <w:p>
            <w:pPr>
              <w:ind w:left="220"/>
              <w:spacing w:after="0"/>
              <w:rPr>
                <w:sz w:val="20"/>
                <w:szCs w:val="20"/>
                <w:color w:val="auto"/>
              </w:rPr>
            </w:pPr>
            <w:r>
              <w:rPr>
                <w:rFonts w:ascii="Arial" w:cs="Arial" w:eastAsia="Arial" w:hAnsi="Arial"/>
                <w:sz w:val="18"/>
                <w:szCs w:val="18"/>
                <w:color w:val="auto"/>
                <w:w w:val="84"/>
              </w:rPr>
              <w:t>3,575</w:t>
            </w:r>
          </w:p>
        </w:tc>
        <w:tc>
          <w:tcPr>
            <w:tcW w:w="80" w:type="dxa"/>
            <w:vAlign w:val="bottom"/>
            <w:tcBorders>
              <w:top w:val="single" w:sz="8" w:color="D6F3E8"/>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0"/>
        </w:trPr>
        <w:tc>
          <w:tcPr>
            <w:tcW w:w="38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March 28, 2010</w:t>
            </w: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0"/>
              </w:rPr>
              <w:t>Gross</w:t>
            </w:r>
          </w:p>
        </w:tc>
        <w:tc>
          <w:tcPr>
            <w:tcW w:w="140" w:type="dxa"/>
            <w:vAlign w:val="bottom"/>
          </w:tcPr>
          <w:p>
            <w:pPr>
              <w:spacing w:after="0"/>
              <w:rPr>
                <w:sz w:val="10"/>
                <w:szCs w:val="10"/>
                <w:color w:val="auto"/>
              </w:rPr>
            </w:pPr>
          </w:p>
        </w:tc>
        <w:tc>
          <w:tcPr>
            <w:tcW w:w="104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0"/>
              </w:rPr>
              <w:t>Accumulated</w:t>
            </w: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3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3"/>
              </w:rPr>
              <w:t>Amortization</w:t>
            </w:r>
          </w:p>
        </w:tc>
        <w:tc>
          <w:tcPr>
            <w:tcW w:w="2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88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80" w:type="dxa"/>
            <w:vAlign w:val="bottom"/>
            <w:shd w:val="clear" w:color="auto" w:fill="D6F3E8"/>
          </w:tcPr>
          <w:p>
            <w:pPr>
              <w:spacing w:after="0"/>
              <w:rPr>
                <w:sz w:val="20"/>
                <w:szCs w:val="20"/>
                <w:color w:val="auto"/>
              </w:rPr>
            </w:pPr>
            <w:r>
              <w:rPr>
                <w:rFonts w:ascii="Arial" w:cs="Arial" w:eastAsia="Arial" w:hAnsi="Arial"/>
                <w:sz w:val="18"/>
                <w:szCs w:val="18"/>
                <w:color w:val="auto"/>
              </w:rPr>
              <w:t>Finite-life intangible assets</w:t>
            </w:r>
          </w:p>
        </w:tc>
        <w:tc>
          <w:tcPr>
            <w:tcW w:w="10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D6F3E8"/>
          </w:tcPr>
          <w:p>
            <w:pPr>
              <w:ind w:left="320"/>
              <w:spacing w:after="0"/>
              <w:rPr>
                <w:sz w:val="20"/>
                <w:szCs w:val="20"/>
                <w:color w:val="auto"/>
              </w:rPr>
            </w:pPr>
            <w:r>
              <w:rPr>
                <w:rFonts w:ascii="Arial" w:cs="Arial" w:eastAsia="Arial" w:hAnsi="Arial"/>
                <w:sz w:val="18"/>
                <w:szCs w:val="18"/>
                <w:color w:val="auto"/>
              </w:rPr>
              <w:t>3,259</w:t>
            </w:r>
          </w:p>
        </w:tc>
        <w:tc>
          <w:tcPr>
            <w:tcW w:w="420" w:type="dxa"/>
            <w:vAlign w:val="bottom"/>
            <w:gridSpan w:val="2"/>
            <w:shd w:val="clear" w:color="auto" w:fill="D6F3E8"/>
          </w:tcPr>
          <w:p>
            <w:pPr>
              <w:jc w:val="right"/>
              <w:ind w:right="127"/>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(851)</w:t>
            </w:r>
          </w:p>
        </w:tc>
        <w:tc>
          <w:tcPr>
            <w:tcW w:w="200" w:type="dxa"/>
            <w:vAlign w:val="bottom"/>
            <w:shd w:val="clear" w:color="auto" w:fill="D6F3E8"/>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D6F3E8"/>
          </w:tcPr>
          <w:p>
            <w:pPr>
              <w:ind w:left="220"/>
              <w:spacing w:after="0"/>
              <w:rPr>
                <w:sz w:val="20"/>
                <w:szCs w:val="20"/>
                <w:color w:val="auto"/>
              </w:rPr>
            </w:pPr>
            <w:r>
              <w:rPr>
                <w:rFonts w:ascii="Arial" w:cs="Arial" w:eastAsia="Arial" w:hAnsi="Arial"/>
                <w:sz w:val="18"/>
                <w:szCs w:val="18"/>
                <w:color w:val="auto"/>
              </w:rPr>
              <w:t>2,408</w:t>
            </w:r>
          </w:p>
        </w:tc>
        <w:tc>
          <w:tcPr>
            <w:tcW w:w="0" w:type="dxa"/>
            <w:vAlign w:val="bottom"/>
          </w:tcPr>
          <w:p>
            <w:pPr>
              <w:spacing w:after="0"/>
              <w:rPr>
                <w:sz w:val="1"/>
                <w:szCs w:val="1"/>
                <w:color w:val="auto"/>
              </w:rPr>
            </w:pPr>
          </w:p>
        </w:tc>
      </w:tr>
      <w:tr>
        <w:trPr>
          <w:trHeight w:val="243"/>
        </w:trPr>
        <w:tc>
          <w:tcPr>
            <w:tcW w:w="3880" w:type="dxa"/>
            <w:vAlign w:val="bottom"/>
          </w:tcPr>
          <w:p>
            <w:pPr>
              <w:spacing w:after="0"/>
              <w:rPr>
                <w:sz w:val="20"/>
                <w:szCs w:val="20"/>
                <w:color w:val="auto"/>
              </w:rPr>
            </w:pPr>
            <w:r>
              <w:rPr>
                <w:rFonts w:ascii="Arial" w:cs="Arial" w:eastAsia="Arial" w:hAnsi="Arial"/>
                <w:sz w:val="18"/>
                <w:szCs w:val="18"/>
                <w:color w:val="auto"/>
              </w:rPr>
              <w:t>Indefinite-life intangible assets</w:t>
            </w:r>
          </w:p>
        </w:tc>
        <w:tc>
          <w:tcPr>
            <w:tcW w:w="100" w:type="dxa"/>
            <w:vAlign w:val="bottom"/>
          </w:tcPr>
          <w:p>
            <w:pPr>
              <w:spacing w:after="0"/>
              <w:rPr>
                <w:sz w:val="21"/>
                <w:szCs w:val="21"/>
                <w:color w:val="auto"/>
              </w:rPr>
            </w:pP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1,227</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gridSpan w:val="2"/>
          </w:tcPr>
          <w:p>
            <w:pPr>
              <w:ind w:left="220"/>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10"/>
        </w:trPr>
        <w:tc>
          <w:tcPr>
            <w:tcW w:w="3880" w:type="dxa"/>
            <w:vAlign w:val="bottom"/>
            <w:tcBorders>
              <w:top w:val="single" w:sz="8" w:color="D6F3E8"/>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Total intangible assets, net</w:t>
            </w:r>
          </w:p>
        </w:tc>
        <w:tc>
          <w:tcPr>
            <w:tcW w:w="1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D6F3E8"/>
          </w:tcPr>
          <w:p>
            <w:pPr>
              <w:ind w:left="320"/>
              <w:spacing w:after="0"/>
              <w:rPr>
                <w:sz w:val="20"/>
                <w:szCs w:val="20"/>
                <w:color w:val="auto"/>
              </w:rPr>
            </w:pPr>
            <w:r>
              <w:rPr>
                <w:rFonts w:ascii="Arial" w:cs="Arial" w:eastAsia="Arial" w:hAnsi="Arial"/>
                <w:sz w:val="18"/>
                <w:szCs w:val="18"/>
                <w:color w:val="auto"/>
                <w:w w:val="84"/>
              </w:rPr>
              <w:t>4,486</w:t>
            </w:r>
          </w:p>
        </w:tc>
        <w:tc>
          <w:tcPr>
            <w:tcW w:w="80" w:type="dxa"/>
            <w:vAlign w:val="bottom"/>
            <w:tcBorders>
              <w:top w:val="single" w:sz="8" w:color="D6F3E8"/>
              <w:bottom w:val="single" w:sz="8" w:color="D6F3E8"/>
            </w:tcBorders>
            <w:shd w:val="clear" w:color="auto" w:fill="D6F3E8"/>
          </w:tcPr>
          <w:p>
            <w:pPr>
              <w:spacing w:after="0"/>
              <w:rPr>
                <w:sz w:val="18"/>
                <w:szCs w:val="18"/>
                <w:color w:val="auto"/>
              </w:rPr>
            </w:pPr>
          </w:p>
        </w:tc>
        <w:tc>
          <w:tcPr>
            <w:tcW w:w="140" w:type="dxa"/>
            <w:vAlign w:val="bottom"/>
            <w:tcBorders>
              <w:top w:val="single" w:sz="8" w:color="D6F3E8"/>
              <w:bottom w:val="single" w:sz="8" w:color="D6F3E8"/>
            </w:tcBorders>
            <w:shd w:val="clear" w:color="auto" w:fill="D6F3E8"/>
          </w:tcPr>
          <w:p>
            <w:pPr>
              <w:spacing w:after="0"/>
              <w:rPr>
                <w:sz w:val="18"/>
                <w:szCs w:val="18"/>
                <w:color w:val="auto"/>
              </w:rPr>
            </w:pPr>
          </w:p>
        </w:tc>
        <w:tc>
          <w:tcPr>
            <w:tcW w:w="280" w:type="dxa"/>
            <w:vAlign w:val="bottom"/>
            <w:tcBorders>
              <w:top w:val="single" w:sz="8" w:color="auto"/>
              <w:bottom w:val="single" w:sz="8" w:color="auto"/>
            </w:tcBorders>
            <w:shd w:val="clear" w:color="auto" w:fill="D6F3E8"/>
          </w:tcPr>
          <w:p>
            <w:pPr>
              <w:jc w:val="right"/>
              <w:ind w:right="12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(851</w:t>
            </w:r>
          </w:p>
        </w:tc>
        <w:tc>
          <w:tcPr>
            <w:tcW w:w="220" w:type="dxa"/>
            <w:vAlign w:val="bottom"/>
            <w:tcBorders>
              <w:top w:val="single" w:sz="8" w:color="D6F3E8"/>
              <w:bottom w:val="single" w:sz="8" w:color="D6F3E8"/>
            </w:tcBorders>
            <w:shd w:val="clear" w:color="auto" w:fill="D6F3E8"/>
          </w:tcPr>
          <w:p>
            <w:pPr>
              <w:jc w:val="right"/>
              <w:ind w:right="8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D6F3E8"/>
          </w:tcPr>
          <w:p>
            <w:pPr>
              <w:jc w:val="right"/>
              <w:ind w:right="4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D6F3E8"/>
          </w:tcPr>
          <w:p>
            <w:pPr>
              <w:ind w:left="220"/>
              <w:spacing w:after="0"/>
              <w:rPr>
                <w:sz w:val="20"/>
                <w:szCs w:val="20"/>
                <w:color w:val="auto"/>
              </w:rPr>
            </w:pPr>
            <w:r>
              <w:rPr>
                <w:rFonts w:ascii="Arial" w:cs="Arial" w:eastAsia="Arial" w:hAnsi="Arial"/>
                <w:sz w:val="18"/>
                <w:szCs w:val="18"/>
                <w:color w:val="auto"/>
                <w:w w:val="84"/>
              </w:rPr>
              <w:t>3,635</w:t>
            </w:r>
          </w:p>
        </w:tc>
        <w:tc>
          <w:tcPr>
            <w:tcW w:w="80" w:type="dxa"/>
            <w:vAlign w:val="bottom"/>
            <w:tcBorders>
              <w:top w:val="single" w:sz="8" w:color="D6F3E8"/>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0D0E00"/>
        </w:rPr>
        <w:t>Note 7 – Income Taxes</w:t>
      </w:r>
    </w:p>
    <w:p>
      <w:pPr>
        <w:spacing w:after="0" w:line="256"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0D0E00"/>
        </w:rPr>
        <w:t>In the preparation of our financial statements, management calculates income taxes based upon the estimated effective rate applicable to operating results for the full fiscal year. This includes estimating the current tax liability as well as assessing differences resulting from different treatment of items for tax and book accounting purposes. These differences result in deferred tax assets and liabilities, which are recorded on the balance sheet. These assets and liabilities are analyzed regularly and management assesses the likelihood that deferred tax assets will be recovered from future taxable income. We record any interest and penalties related to income taxes as income tax expense in the statements of income.</w:t>
      </w:r>
    </w:p>
    <w:p>
      <w:pPr>
        <w:spacing w:after="0" w:line="200" w:lineRule="exact"/>
        <w:rPr>
          <w:sz w:val="20"/>
          <w:szCs w:val="20"/>
          <w:color w:val="auto"/>
        </w:rPr>
      </w:pPr>
    </w:p>
    <w:p>
      <w:pPr>
        <w:spacing w:after="0" w:line="277" w:lineRule="auto"/>
        <w:rPr>
          <w:sz w:val="20"/>
          <w:szCs w:val="20"/>
          <w:color w:val="auto"/>
        </w:rPr>
      </w:pPr>
      <w:r>
        <w:rPr>
          <w:rFonts w:ascii="Arial" w:cs="Arial" w:eastAsia="Arial" w:hAnsi="Arial"/>
          <w:sz w:val="18"/>
          <w:szCs w:val="18"/>
          <w:color w:val="0D0E00"/>
        </w:rPr>
        <w:t>We recognize the effect of income tax positions only if those positions are more likely than not of being sustained. Changes in recognition or measurement are reflected in the period in which the change in judgment occurs.</w:t>
      </w:r>
    </w:p>
    <w:p>
      <w:pPr>
        <w:spacing w:after="0" w:line="197"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0D0E00"/>
        </w:rPr>
        <w:t>We are subject to U.S. federal income tax as well as income tax of multiple state jurisdictions. The tax years beginning with 2006 remain open to examination by the Internal Revenue Service, and with few exceptions, state and local income tax jurisdictions.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0D0E00"/>
        </w:rPr>
        <w:t>Note 8 – Accumulated Other Comprehensive Income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0D0E00"/>
        </w:rPr>
        <w:t>Components of accumulated other comprehensive income were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March 28,</w:t>
            </w:r>
          </w:p>
        </w:tc>
        <w:tc>
          <w:tcPr>
            <w:tcW w:w="0" w:type="dxa"/>
            <w:vAlign w:val="bottom"/>
          </w:tcPr>
          <w:p>
            <w:pPr>
              <w:spacing w:after="0"/>
              <w:rPr>
                <w:sz w:val="1"/>
                <w:szCs w:val="1"/>
                <w:color w:val="auto"/>
              </w:rPr>
            </w:pPr>
          </w:p>
        </w:tc>
      </w:tr>
      <w:tr>
        <w:trPr>
          <w:trHeight w:val="171"/>
        </w:trPr>
        <w:tc>
          <w:tcPr>
            <w:tcW w:w="3700" w:type="dxa"/>
            <w:vAlign w:val="bottom"/>
            <w:vMerge w:val="continue"/>
          </w:tcPr>
          <w:p>
            <w:pPr>
              <w:spacing w:after="0"/>
              <w:rPr>
                <w:sz w:val="14"/>
                <w:szCs w:val="14"/>
                <w:color w:val="auto"/>
              </w:rPr>
            </w:pPr>
          </w:p>
        </w:tc>
        <w:tc>
          <w:tcPr>
            <w:tcW w:w="138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277"/>
              <w:spacing w:after="0"/>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700" w:type="dxa"/>
            <w:vAlign w:val="bottom"/>
          </w:tcPr>
          <w:p>
            <w:pPr>
              <w:spacing w:after="0"/>
              <w:rPr>
                <w:sz w:val="20"/>
                <w:szCs w:val="20"/>
                <w:color w:val="auto"/>
              </w:rPr>
            </w:pPr>
            <w:r>
              <w:rPr>
                <w:rFonts w:ascii="Arial" w:cs="Arial" w:eastAsia="Arial" w:hAnsi="Arial"/>
                <w:sz w:val="18"/>
                <w:szCs w:val="18"/>
                <w:color w:val="auto"/>
              </w:rPr>
              <w:t>Unrealized gain (loss) on:</w:t>
            </w:r>
          </w:p>
        </w:tc>
        <w:tc>
          <w:tcPr>
            <w:tcW w:w="52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00" w:type="dxa"/>
            <w:vAlign w:val="bottom"/>
            <w:shd w:val="clear" w:color="auto" w:fill="D6F3E8"/>
          </w:tcPr>
          <w:p>
            <w:pPr>
              <w:ind w:left="180"/>
              <w:spacing w:after="0"/>
              <w:rPr>
                <w:sz w:val="20"/>
                <w:szCs w:val="20"/>
                <w:color w:val="auto"/>
              </w:rPr>
            </w:pPr>
            <w:r>
              <w:rPr>
                <w:rFonts w:ascii="Arial" w:cs="Arial" w:eastAsia="Arial" w:hAnsi="Arial"/>
                <w:sz w:val="18"/>
                <w:szCs w:val="18"/>
                <w:color w:val="auto"/>
              </w:rPr>
              <w:t>Available-for-sale investments</w:t>
            </w:r>
          </w:p>
        </w:tc>
        <w:tc>
          <w:tcPr>
            <w:tcW w:w="1380" w:type="dxa"/>
            <w:vAlign w:val="bottom"/>
            <w:gridSpan w:val="2"/>
            <w:shd w:val="clear" w:color="auto" w:fill="D6F3E8"/>
          </w:tcPr>
          <w:p>
            <w:pPr>
              <w:jc w:val="right"/>
              <w:ind w:right="679"/>
              <w:spacing w:after="0"/>
              <w:rPr>
                <w:sz w:val="20"/>
                <w:szCs w:val="20"/>
                <w:color w:val="auto"/>
              </w:rPr>
            </w:pPr>
            <w:r>
              <w:rPr>
                <w:rFonts w:ascii="Arial" w:cs="Arial" w:eastAsia="Arial" w:hAnsi="Arial"/>
                <w:sz w:val="18"/>
                <w:szCs w:val="18"/>
                <w:color w:val="auto"/>
              </w:rPr>
              <w:t>$</w:t>
            </w:r>
          </w:p>
        </w:tc>
        <w:tc>
          <w:tcPr>
            <w:tcW w:w="2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41</w:t>
            </w:r>
          </w:p>
        </w:tc>
        <w:tc>
          <w:tcPr>
            <w:tcW w:w="400" w:type="dxa"/>
            <w:vAlign w:val="bottom"/>
            <w:shd w:val="clear" w:color="auto" w:fill="D6F3E8"/>
          </w:tcPr>
          <w:p>
            <w:pPr>
              <w:spacing w:after="0"/>
              <w:rPr>
                <w:sz w:val="21"/>
                <w:szCs w:val="21"/>
                <w:color w:val="auto"/>
              </w:rPr>
            </w:pPr>
          </w:p>
        </w:tc>
        <w:tc>
          <w:tcPr>
            <w:tcW w:w="16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D6F3E8"/>
          </w:tcPr>
          <w:p>
            <w:pPr>
              <w:jc w:val="center"/>
              <w:ind w:left="617"/>
              <w:spacing w:after="0"/>
              <w:rPr>
                <w:sz w:val="20"/>
                <w:szCs w:val="20"/>
                <w:color w:val="auto"/>
              </w:rPr>
            </w:pPr>
            <w:r>
              <w:rPr>
                <w:rFonts w:ascii="Arial" w:cs="Arial" w:eastAsia="Arial" w:hAnsi="Arial"/>
                <w:sz w:val="18"/>
                <w:szCs w:val="18"/>
                <w:color w:val="auto"/>
                <w:w w:val="89"/>
              </w:rPr>
              <w:t>66</w:t>
            </w:r>
          </w:p>
        </w:tc>
        <w:tc>
          <w:tcPr>
            <w:tcW w:w="8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180"/>
              <w:spacing w:after="0"/>
              <w:rPr>
                <w:sz w:val="20"/>
                <w:szCs w:val="20"/>
                <w:color w:val="auto"/>
              </w:rPr>
            </w:pPr>
            <w:r>
              <w:rPr>
                <w:rFonts w:ascii="Arial" w:cs="Arial" w:eastAsia="Arial" w:hAnsi="Arial"/>
                <w:sz w:val="18"/>
                <w:szCs w:val="18"/>
                <w:color w:val="auto"/>
              </w:rPr>
              <w:t>Post-retirement plan liability adjustments</w:t>
            </w:r>
          </w:p>
        </w:tc>
        <w:tc>
          <w:tcPr>
            <w:tcW w:w="5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(29)</w:t>
            </w:r>
          </w:p>
        </w:tc>
        <w:tc>
          <w:tcPr>
            <w:tcW w:w="160" w:type="dxa"/>
            <w:vAlign w:val="bottom"/>
          </w:tcPr>
          <w:p>
            <w:pPr>
              <w:spacing w:after="0"/>
              <w:rPr>
                <w:sz w:val="21"/>
                <w:szCs w:val="21"/>
                <w:color w:val="auto"/>
              </w:rPr>
            </w:pPr>
          </w:p>
        </w:tc>
        <w:tc>
          <w:tcPr>
            <w:tcW w:w="960" w:type="dxa"/>
            <w:vAlign w:val="bottom"/>
            <w:gridSpan w:val="2"/>
          </w:tcPr>
          <w:p>
            <w:pPr>
              <w:jc w:val="center"/>
              <w:ind w:left="537"/>
              <w:spacing w:after="0"/>
              <w:rPr>
                <w:sz w:val="20"/>
                <w:szCs w:val="20"/>
                <w:color w:val="auto"/>
              </w:rPr>
            </w:pPr>
            <w:r>
              <w:rPr>
                <w:rFonts w:ascii="Arial" w:cs="Arial" w:eastAsia="Arial" w:hAnsi="Arial"/>
                <w:sz w:val="18"/>
                <w:szCs w:val="18"/>
                <w:color w:val="auto"/>
                <w:w w:val="93"/>
              </w:rPr>
              <w:t>(29)</w:t>
            </w:r>
          </w:p>
        </w:tc>
        <w:tc>
          <w:tcPr>
            <w:tcW w:w="0" w:type="dxa"/>
            <w:vAlign w:val="bottom"/>
          </w:tcPr>
          <w:p>
            <w:pPr>
              <w:spacing w:after="0"/>
              <w:rPr>
                <w:sz w:val="1"/>
                <w:szCs w:val="1"/>
                <w:color w:val="auto"/>
              </w:rPr>
            </w:pPr>
          </w:p>
        </w:tc>
      </w:tr>
      <w:tr>
        <w:trPr>
          <w:trHeight w:val="210"/>
        </w:trPr>
        <w:tc>
          <w:tcPr>
            <w:tcW w:w="3700" w:type="dxa"/>
            <w:vAlign w:val="bottom"/>
            <w:tcBorders>
              <w:top w:val="single" w:sz="8" w:color="D6F3E8"/>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Accumulated other comprehensive income</w:t>
            </w:r>
          </w:p>
        </w:tc>
        <w:tc>
          <w:tcPr>
            <w:tcW w:w="520" w:type="dxa"/>
            <w:vAlign w:val="bottom"/>
            <w:tcBorders>
              <w:top w:val="single" w:sz="8" w:color="D6F3E8"/>
              <w:bottom w:val="single" w:sz="8" w:color="D6F3E8"/>
            </w:tcBorders>
            <w:shd w:val="clear" w:color="auto" w:fill="D6F3E8"/>
          </w:tcPr>
          <w:p>
            <w:pPr>
              <w:spacing w:after="0"/>
              <w:rPr>
                <w:sz w:val="18"/>
                <w:szCs w:val="18"/>
                <w:color w:val="auto"/>
              </w:rPr>
            </w:pPr>
          </w:p>
        </w:tc>
        <w:tc>
          <w:tcPr>
            <w:tcW w:w="860" w:type="dxa"/>
            <w:vAlign w:val="bottom"/>
            <w:tcBorders>
              <w:top w:val="single" w:sz="8" w:color="auto"/>
              <w:bottom w:val="single" w:sz="8" w:color="auto"/>
            </w:tcBorders>
            <w:shd w:val="clear" w:color="auto" w:fill="D6F3E8"/>
          </w:tcPr>
          <w:p>
            <w:pPr>
              <w:jc w:val="right"/>
              <w:ind w:right="679"/>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12</w:t>
            </w:r>
          </w:p>
        </w:tc>
        <w:tc>
          <w:tcPr>
            <w:tcW w:w="400" w:type="dxa"/>
            <w:vAlign w:val="bottom"/>
            <w:tcBorders>
              <w:top w:val="single" w:sz="8" w:color="D6F3E8"/>
              <w:bottom w:val="single" w:sz="8" w:color="D6F3E8"/>
            </w:tcBorders>
            <w:shd w:val="clear" w:color="auto" w:fill="D6F3E8"/>
          </w:tcPr>
          <w:p>
            <w:pPr>
              <w:spacing w:after="0"/>
              <w:rPr>
                <w:sz w:val="18"/>
                <w:szCs w:val="18"/>
                <w:color w:val="auto"/>
              </w:rPr>
            </w:pPr>
          </w:p>
        </w:tc>
        <w:tc>
          <w:tcPr>
            <w:tcW w:w="16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D6F3E8"/>
          </w:tcPr>
          <w:p>
            <w:pPr>
              <w:jc w:val="center"/>
              <w:ind w:left="617"/>
              <w:spacing w:after="0"/>
              <w:rPr>
                <w:sz w:val="20"/>
                <w:szCs w:val="20"/>
                <w:color w:val="auto"/>
              </w:rPr>
            </w:pPr>
            <w:r>
              <w:rPr>
                <w:rFonts w:ascii="Arial" w:cs="Arial" w:eastAsia="Arial" w:hAnsi="Arial"/>
                <w:sz w:val="18"/>
                <w:szCs w:val="18"/>
                <w:color w:val="auto"/>
                <w:w w:val="89"/>
              </w:rPr>
              <w:t>37</w:t>
            </w:r>
          </w:p>
        </w:tc>
        <w:tc>
          <w:tcPr>
            <w:tcW w:w="80" w:type="dxa"/>
            <w:vAlign w:val="bottom"/>
            <w:tcBorders>
              <w:top w:val="single" w:sz="8" w:color="D6F3E8"/>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0D0E00"/>
        </w:rPr>
        <w:t>Note 9 – Stock Based Compensation</w:t>
      </w:r>
    </w:p>
    <w:p>
      <w:pPr>
        <w:spacing w:after="0" w:line="2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0D0E00"/>
        </w:rPr>
        <w:t xml:space="preserve">Stock Option Awards. </w:t>
      </w:r>
      <w:r>
        <w:rPr>
          <w:rFonts w:ascii="Arial" w:cs="Arial" w:eastAsia="Arial" w:hAnsi="Arial"/>
          <w:sz w:val="18"/>
          <w:szCs w:val="18"/>
          <w:color w:val="0D0E00"/>
        </w:rPr>
        <w:t>Our Board of Directors approved a long-term incentive equity compensation arrangement for our executive officers during the first</w:t>
      </w:r>
      <w:r>
        <w:rPr>
          <w:rFonts w:ascii="Arial" w:cs="Arial" w:eastAsia="Arial" w:hAnsi="Arial"/>
          <w:sz w:val="18"/>
          <w:szCs w:val="18"/>
          <w:i w:val="1"/>
          <w:iCs w:val="1"/>
          <w:color w:val="0D0E00"/>
        </w:rPr>
        <w:t xml:space="preserve"> </w:t>
      </w:r>
      <w:r>
        <w:rPr>
          <w:rFonts w:ascii="Arial" w:cs="Arial" w:eastAsia="Arial" w:hAnsi="Arial"/>
          <w:sz w:val="18"/>
          <w:szCs w:val="18"/>
          <w:color w:val="0D0E00"/>
        </w:rPr>
        <w:t>quarter of fiscal 2009. This long-term incentive arrangement provides for the grant of nonqualified stock options that vest at the end of a three-year period and expire no later than 10 years after the grant date. We used the Black-Scholes valuation model to estimate the fair value of the options at grant date based on the following assumptions:</w:t>
      </w:r>
    </w:p>
    <w:p>
      <w:pPr>
        <w:spacing w:after="0" w:line="300" w:lineRule="exact"/>
        <w:rPr>
          <w:sz w:val="20"/>
          <w:szCs w:val="20"/>
          <w:color w:val="auto"/>
        </w:rPr>
      </w:pPr>
    </w:p>
    <w:tbl>
      <w:tblPr>
        <w:tblLayout w:type="fixed"/>
        <w:tblInd w:w="3280" w:type="dxa"/>
        <w:tblCellMar>
          <w:top w:w="0" w:type="dxa"/>
          <w:left w:w="0" w:type="dxa"/>
          <w:bottom w:w="0" w:type="dxa"/>
          <w:right w:w="0" w:type="dxa"/>
        </w:tblCellMar>
      </w:tblPr>
      <w:tr>
        <w:trPr>
          <w:trHeight w:val="171"/>
        </w:trPr>
        <w:tc>
          <w:tcPr>
            <w:tcW w:w="3080" w:type="dxa"/>
            <w:vAlign w:val="bottom"/>
            <w:tcBorders>
              <w:bottom w:val="single" w:sz="8" w:color="D6F3E8"/>
            </w:tcBorders>
          </w:tcPr>
          <w:p>
            <w:pPr>
              <w:spacing w:after="0"/>
              <w:rPr>
                <w:sz w:val="14"/>
                <w:szCs w:val="14"/>
                <w:color w:val="auto"/>
              </w:rPr>
            </w:pPr>
          </w:p>
        </w:tc>
        <w:tc>
          <w:tcPr>
            <w:tcW w:w="18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0D0E00"/>
              </w:rPr>
              <w:t>June 10, 2009 issuance</w:t>
            </w:r>
          </w:p>
        </w:tc>
      </w:tr>
      <w:tr>
        <w:trPr>
          <w:trHeight w:val="210"/>
        </w:trPr>
        <w:tc>
          <w:tcPr>
            <w:tcW w:w="3080" w:type="dxa"/>
            <w:vAlign w:val="bottom"/>
            <w:shd w:val="clear" w:color="auto" w:fill="D6F3E8"/>
          </w:tcPr>
          <w:p>
            <w:pPr>
              <w:spacing w:after="0"/>
              <w:rPr>
                <w:sz w:val="20"/>
                <w:szCs w:val="20"/>
                <w:color w:val="auto"/>
              </w:rPr>
            </w:pPr>
            <w:r>
              <w:rPr>
                <w:rFonts w:ascii="Arial" w:cs="Arial" w:eastAsia="Arial" w:hAnsi="Arial"/>
                <w:sz w:val="18"/>
                <w:szCs w:val="18"/>
                <w:color w:val="0D0E00"/>
              </w:rPr>
              <w:t>Dividend yield</w:t>
            </w:r>
          </w:p>
        </w:tc>
        <w:tc>
          <w:tcPr>
            <w:tcW w:w="1800" w:type="dxa"/>
            <w:vAlign w:val="bottom"/>
            <w:shd w:val="clear" w:color="auto" w:fill="D6F3E8"/>
          </w:tcPr>
          <w:p>
            <w:pPr>
              <w:jc w:val="center"/>
              <w:spacing w:after="0"/>
              <w:rPr>
                <w:sz w:val="20"/>
                <w:szCs w:val="20"/>
                <w:color w:val="auto"/>
              </w:rPr>
            </w:pPr>
            <w:r>
              <w:rPr>
                <w:rFonts w:ascii="Arial" w:cs="Arial" w:eastAsia="Arial" w:hAnsi="Arial"/>
                <w:sz w:val="18"/>
                <w:szCs w:val="18"/>
                <w:color w:val="0D0E00"/>
                <w:w w:val="92"/>
              </w:rPr>
              <w:t>2.5%</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0D0E00"/>
              </w:rPr>
              <w:t>Volatility</w:t>
            </w:r>
          </w:p>
        </w:tc>
        <w:tc>
          <w:tcPr>
            <w:tcW w:w="1800" w:type="dxa"/>
            <w:vAlign w:val="bottom"/>
          </w:tcPr>
          <w:p>
            <w:pPr>
              <w:jc w:val="center"/>
              <w:spacing w:after="0"/>
              <w:rPr>
                <w:sz w:val="20"/>
                <w:szCs w:val="20"/>
                <w:color w:val="auto"/>
              </w:rPr>
            </w:pPr>
            <w:r>
              <w:rPr>
                <w:rFonts w:ascii="Arial" w:cs="Arial" w:eastAsia="Arial" w:hAnsi="Arial"/>
                <w:sz w:val="18"/>
                <w:szCs w:val="18"/>
                <w:color w:val="0D0E00"/>
                <w:w w:val="90"/>
              </w:rPr>
              <w:t>31.4%</w:t>
            </w:r>
          </w:p>
        </w:tc>
      </w:tr>
      <w:tr>
        <w:trPr>
          <w:trHeight w:val="216"/>
        </w:trPr>
        <w:tc>
          <w:tcPr>
            <w:tcW w:w="3080" w:type="dxa"/>
            <w:vAlign w:val="bottom"/>
            <w:shd w:val="clear" w:color="auto" w:fill="D6F3E8"/>
          </w:tcPr>
          <w:p>
            <w:pPr>
              <w:spacing w:after="0"/>
              <w:rPr>
                <w:sz w:val="20"/>
                <w:szCs w:val="20"/>
                <w:color w:val="auto"/>
              </w:rPr>
            </w:pPr>
            <w:r>
              <w:rPr>
                <w:rFonts w:ascii="Arial" w:cs="Arial" w:eastAsia="Arial" w:hAnsi="Arial"/>
                <w:sz w:val="18"/>
                <w:szCs w:val="18"/>
                <w:color w:val="0D0E00"/>
              </w:rPr>
              <w:t>Risk-free interest rate</w:t>
            </w:r>
          </w:p>
        </w:tc>
        <w:tc>
          <w:tcPr>
            <w:tcW w:w="1800" w:type="dxa"/>
            <w:vAlign w:val="bottom"/>
            <w:shd w:val="clear" w:color="auto" w:fill="D6F3E8"/>
          </w:tcPr>
          <w:p>
            <w:pPr>
              <w:jc w:val="center"/>
              <w:spacing w:after="0"/>
              <w:rPr>
                <w:sz w:val="20"/>
                <w:szCs w:val="20"/>
                <w:color w:val="auto"/>
              </w:rPr>
            </w:pPr>
            <w:r>
              <w:rPr>
                <w:rFonts w:ascii="Arial" w:cs="Arial" w:eastAsia="Arial" w:hAnsi="Arial"/>
                <w:sz w:val="18"/>
                <w:szCs w:val="18"/>
                <w:color w:val="0D0E00"/>
                <w:w w:val="92"/>
              </w:rPr>
              <w:t>2.1%</w:t>
            </w: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0D0E00"/>
              </w:rPr>
              <w:t>Expected life in years</w:t>
            </w:r>
          </w:p>
        </w:tc>
        <w:tc>
          <w:tcPr>
            <w:tcW w:w="1800" w:type="dxa"/>
            <w:vAlign w:val="bottom"/>
          </w:tcPr>
          <w:p>
            <w:pPr>
              <w:jc w:val="center"/>
              <w:spacing w:after="0"/>
              <w:rPr>
                <w:sz w:val="20"/>
                <w:szCs w:val="20"/>
                <w:color w:val="auto"/>
              </w:rPr>
            </w:pPr>
            <w:r>
              <w:rPr>
                <w:rFonts w:ascii="Arial" w:cs="Arial" w:eastAsia="Arial" w:hAnsi="Arial"/>
                <w:sz w:val="18"/>
                <w:szCs w:val="18"/>
                <w:color w:val="0D0E00"/>
                <w:w w:val="99"/>
              </w:rPr>
              <w:t>4</w:t>
            </w:r>
          </w:p>
        </w:tc>
      </w:tr>
    </w:tbl>
    <w:p>
      <w:pPr>
        <w:spacing w:after="0" w:line="21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0D0E00"/>
        </w:rPr>
        <w:t>Volatility was calculated using the past four years of historical stock prices of our common stock. The expected life is estimated based on expected future trends and the terms and vesting periods of the options granted. The risk-free interest rate is an interpolation of the relevant U.S. Treasury Bond Rate as of the grant date.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0D0E00"/>
        </w:rPr>
        <w:t>The following table represents the stock option activity for the quarter ended June 30, 2010:</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0D0E00"/>
                <w:w w:val="91"/>
              </w:rPr>
              <w:t>Weighted-</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0D0E00"/>
                <w:w w:val="90"/>
              </w:rPr>
              <w:t>Average</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vMerge w:val="restart"/>
          </w:tcPr>
          <w:p>
            <w:pPr>
              <w:spacing w:after="0"/>
              <w:rPr>
                <w:sz w:val="20"/>
                <w:szCs w:val="20"/>
                <w:color w:val="auto"/>
              </w:rPr>
            </w:pPr>
            <w:r>
              <w:rPr>
                <w:rFonts w:ascii="Arial" w:cs="Arial" w:eastAsia="Arial" w:hAnsi="Arial"/>
                <w:sz w:val="14"/>
                <w:szCs w:val="14"/>
                <w:b w:val="1"/>
                <w:bCs w:val="1"/>
                <w:color w:val="0D0E00"/>
              </w:rPr>
              <w:t>(In thousands, except share data)</w:t>
            </w:r>
          </w:p>
        </w:tc>
        <w:tc>
          <w:tcPr>
            <w:tcW w:w="800" w:type="dxa"/>
            <w:vAlign w:val="bottom"/>
            <w:vMerge w:val="restart"/>
          </w:tcPr>
          <w:p>
            <w:pPr>
              <w:ind w:left="200"/>
              <w:spacing w:after="0"/>
              <w:rPr>
                <w:sz w:val="20"/>
                <w:szCs w:val="20"/>
                <w:color w:val="auto"/>
              </w:rPr>
            </w:pPr>
            <w:r>
              <w:rPr>
                <w:rFonts w:ascii="Arial" w:cs="Arial" w:eastAsia="Arial" w:hAnsi="Arial"/>
                <w:sz w:val="14"/>
                <w:szCs w:val="14"/>
                <w:b w:val="1"/>
                <w:bCs w:val="1"/>
                <w:color w:val="0D0E00"/>
              </w:rPr>
              <w:t>Shares</w:t>
            </w:r>
          </w:p>
        </w:tc>
        <w:tc>
          <w:tcPr>
            <w:tcW w:w="28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0D0E00"/>
                <w:w w:val="86"/>
              </w:rPr>
              <w:t>Exercise</w:t>
            </w:r>
          </w:p>
        </w:tc>
        <w:tc>
          <w:tcPr>
            <w:tcW w:w="740" w:type="dxa"/>
            <w:vAlign w:val="bottom"/>
            <w:vMerge w:val="restart"/>
          </w:tcPr>
          <w:p>
            <w:pPr>
              <w:ind w:left="20"/>
              <w:spacing w:after="0"/>
              <w:rPr>
                <w:sz w:val="20"/>
                <w:szCs w:val="20"/>
                <w:color w:val="auto"/>
              </w:rPr>
            </w:pPr>
            <w:r>
              <w:rPr>
                <w:rFonts w:ascii="Arial" w:cs="Arial" w:eastAsia="Arial" w:hAnsi="Arial"/>
                <w:sz w:val="14"/>
                <w:szCs w:val="14"/>
                <w:b w:val="1"/>
                <w:bCs w:val="1"/>
                <w:color w:val="0D0E00"/>
                <w:w w:val="89"/>
              </w:rPr>
              <w:t>Exercisable</w:t>
            </w:r>
          </w:p>
        </w:tc>
        <w:tc>
          <w:tcPr>
            <w:tcW w:w="8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00" w:type="dxa"/>
            <w:vAlign w:val="bottom"/>
            <w:tcBorders>
              <w:bottom w:val="single" w:sz="8" w:color="D6F3E8"/>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D6F3E8"/>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D0E00"/>
                <w:w w:val="93"/>
              </w:rPr>
              <w:t>Price</w:t>
            </w:r>
          </w:p>
        </w:tc>
        <w:tc>
          <w:tcPr>
            <w:tcW w:w="140" w:type="dxa"/>
            <w:vAlign w:val="bottom"/>
            <w:tcBorders>
              <w:bottom w:val="single" w:sz="8" w:color="D6F3E8"/>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D6F3E8"/>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000" w:type="dxa"/>
            <w:vAlign w:val="bottom"/>
            <w:shd w:val="clear" w:color="auto" w:fill="D6F3E8"/>
          </w:tcPr>
          <w:p>
            <w:pPr>
              <w:spacing w:after="0"/>
              <w:rPr>
                <w:sz w:val="20"/>
                <w:szCs w:val="20"/>
                <w:color w:val="auto"/>
              </w:rPr>
            </w:pPr>
            <w:r>
              <w:rPr>
                <w:rFonts w:ascii="Arial" w:cs="Arial" w:eastAsia="Arial" w:hAnsi="Arial"/>
                <w:sz w:val="18"/>
                <w:szCs w:val="18"/>
                <w:color w:val="0D0E00"/>
              </w:rPr>
              <w:t>Outstanding at beginning of period</w:t>
            </w:r>
          </w:p>
        </w:tc>
        <w:tc>
          <w:tcPr>
            <w:tcW w:w="108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0D0E00"/>
              </w:rPr>
              <w:t>131,997</w:t>
            </w:r>
          </w:p>
        </w:tc>
        <w:tc>
          <w:tcPr>
            <w:tcW w:w="80" w:type="dxa"/>
            <w:vAlign w:val="bottom"/>
            <w:shd w:val="clear" w:color="auto" w:fill="D6F3E8"/>
          </w:tcPr>
          <w:p>
            <w:pPr>
              <w:jc w:val="right"/>
              <w:spacing w:after="0"/>
              <w:rPr>
                <w:sz w:val="20"/>
                <w:szCs w:val="20"/>
                <w:color w:val="auto"/>
              </w:rPr>
            </w:pPr>
            <w:r>
              <w:rPr>
                <w:rFonts w:ascii="Arial" w:cs="Arial" w:eastAsia="Arial" w:hAnsi="Arial"/>
                <w:sz w:val="15"/>
                <w:szCs w:val="15"/>
                <w:color w:val="0D0E00"/>
                <w:w w:val="71"/>
              </w:rPr>
              <w:t>$</w:t>
            </w:r>
          </w:p>
        </w:tc>
        <w:tc>
          <w:tcPr>
            <w:tcW w:w="740" w:type="dxa"/>
            <w:vAlign w:val="bottom"/>
            <w:shd w:val="clear" w:color="auto" w:fill="D6F3E8"/>
          </w:tcPr>
          <w:p>
            <w:pPr>
              <w:jc w:val="right"/>
              <w:spacing w:after="0"/>
              <w:rPr>
                <w:sz w:val="20"/>
                <w:szCs w:val="20"/>
                <w:color w:val="auto"/>
              </w:rPr>
            </w:pPr>
            <w:r>
              <w:rPr>
                <w:rFonts w:ascii="Arial" w:cs="Arial" w:eastAsia="Arial" w:hAnsi="Arial"/>
                <w:sz w:val="18"/>
                <w:szCs w:val="18"/>
                <w:color w:val="0D0E00"/>
              </w:rPr>
              <w:t>17.82</w:t>
            </w:r>
          </w:p>
        </w:tc>
        <w:tc>
          <w:tcPr>
            <w:tcW w:w="140" w:type="dxa"/>
            <w:vAlign w:val="bottom"/>
            <w:shd w:val="clear" w:color="auto" w:fill="D6F3E8"/>
          </w:tcPr>
          <w:p>
            <w:pPr>
              <w:spacing w:after="0"/>
              <w:rPr>
                <w:sz w:val="20"/>
                <w:szCs w:val="20"/>
                <w:color w:val="auto"/>
              </w:rPr>
            </w:pPr>
          </w:p>
        </w:tc>
        <w:tc>
          <w:tcPr>
            <w:tcW w:w="740" w:type="dxa"/>
            <w:vAlign w:val="bottom"/>
            <w:shd w:val="clear" w:color="auto" w:fill="D6F3E8"/>
          </w:tcPr>
          <w:p>
            <w:pPr>
              <w:ind w:left="56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00" w:type="dxa"/>
            <w:vAlign w:val="bottom"/>
          </w:tcPr>
          <w:p>
            <w:pPr>
              <w:spacing w:after="0"/>
              <w:rPr>
                <w:sz w:val="20"/>
                <w:szCs w:val="20"/>
                <w:color w:val="auto"/>
              </w:rPr>
            </w:pPr>
            <w:r>
              <w:rPr>
                <w:rFonts w:ascii="Arial" w:cs="Arial" w:eastAsia="Arial" w:hAnsi="Arial"/>
                <w:sz w:val="18"/>
                <w:szCs w:val="18"/>
                <w:color w:val="0D0E00"/>
              </w:rPr>
              <w:t>Granted</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shd w:val="clear" w:color="auto" w:fill="D6F3E8"/>
          </w:tcPr>
          <w:p>
            <w:pPr>
              <w:spacing w:after="0"/>
              <w:rPr>
                <w:sz w:val="20"/>
                <w:szCs w:val="20"/>
                <w:color w:val="auto"/>
              </w:rPr>
            </w:pPr>
            <w:r>
              <w:rPr>
                <w:rFonts w:ascii="Arial" w:cs="Arial" w:eastAsia="Arial" w:hAnsi="Arial"/>
                <w:sz w:val="18"/>
                <w:szCs w:val="18"/>
                <w:color w:val="0D0E00"/>
              </w:rPr>
              <w:t>Exercised</w:t>
            </w:r>
          </w:p>
        </w:tc>
        <w:tc>
          <w:tcPr>
            <w:tcW w:w="108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D6F3E8"/>
          </w:tcPr>
          <w:p>
            <w:pPr>
              <w:spacing w:after="0"/>
              <w:rPr>
                <w:sz w:val="21"/>
                <w:szCs w:val="21"/>
                <w:color w:val="auto"/>
              </w:rPr>
            </w:pPr>
          </w:p>
        </w:tc>
        <w:tc>
          <w:tcPr>
            <w:tcW w:w="88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D6F3E8"/>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spacing w:after="0"/>
              <w:rPr>
                <w:sz w:val="20"/>
                <w:szCs w:val="20"/>
                <w:color w:val="auto"/>
              </w:rPr>
            </w:pPr>
            <w:r>
              <w:rPr>
                <w:rFonts w:ascii="Arial" w:cs="Arial" w:eastAsia="Arial" w:hAnsi="Arial"/>
                <w:sz w:val="18"/>
                <w:szCs w:val="18"/>
                <w:color w:val="0D0E00"/>
              </w:rPr>
              <w:t>Forfeited or expired</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00" w:type="dxa"/>
            <w:vAlign w:val="bottom"/>
            <w:shd w:val="clear" w:color="auto" w:fill="D6F3E8"/>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D6F3E8"/>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D6F3E8"/>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00" w:type="dxa"/>
            <w:vAlign w:val="bottom"/>
            <w:shd w:val="clear" w:color="auto" w:fill="D6F3E8"/>
          </w:tcPr>
          <w:p>
            <w:pPr>
              <w:spacing w:after="0"/>
              <w:rPr>
                <w:sz w:val="20"/>
                <w:szCs w:val="20"/>
                <w:color w:val="auto"/>
              </w:rPr>
            </w:pPr>
            <w:r>
              <w:rPr>
                <w:rFonts w:ascii="Arial" w:cs="Arial" w:eastAsia="Arial" w:hAnsi="Arial"/>
                <w:sz w:val="18"/>
                <w:szCs w:val="18"/>
                <w:color w:val="0D0E00"/>
              </w:rPr>
              <w:t>Outstanding at end of period</w:t>
            </w:r>
          </w:p>
        </w:tc>
        <w:tc>
          <w:tcPr>
            <w:tcW w:w="108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0D0E00"/>
              </w:rPr>
              <w:t>131,997</w:t>
            </w:r>
          </w:p>
        </w:tc>
        <w:tc>
          <w:tcPr>
            <w:tcW w:w="80" w:type="dxa"/>
            <w:vAlign w:val="bottom"/>
            <w:shd w:val="clear" w:color="auto" w:fill="D6F3E8"/>
          </w:tcPr>
          <w:p>
            <w:pPr>
              <w:jc w:val="right"/>
              <w:spacing w:after="0"/>
              <w:rPr>
                <w:sz w:val="20"/>
                <w:szCs w:val="20"/>
                <w:color w:val="auto"/>
              </w:rPr>
            </w:pPr>
            <w:r>
              <w:rPr>
                <w:rFonts w:ascii="Arial" w:cs="Arial" w:eastAsia="Arial" w:hAnsi="Arial"/>
                <w:sz w:val="15"/>
                <w:szCs w:val="15"/>
                <w:color w:val="0D0E00"/>
                <w:w w:val="71"/>
              </w:rPr>
              <w:t>$</w:t>
            </w:r>
          </w:p>
        </w:tc>
        <w:tc>
          <w:tcPr>
            <w:tcW w:w="740" w:type="dxa"/>
            <w:vAlign w:val="bottom"/>
            <w:shd w:val="clear" w:color="auto" w:fill="D6F3E8"/>
          </w:tcPr>
          <w:p>
            <w:pPr>
              <w:jc w:val="right"/>
              <w:spacing w:after="0"/>
              <w:rPr>
                <w:sz w:val="20"/>
                <w:szCs w:val="20"/>
                <w:color w:val="auto"/>
              </w:rPr>
            </w:pPr>
            <w:r>
              <w:rPr>
                <w:rFonts w:ascii="Arial" w:cs="Arial" w:eastAsia="Arial" w:hAnsi="Arial"/>
                <w:sz w:val="18"/>
                <w:szCs w:val="18"/>
                <w:color w:val="0D0E00"/>
              </w:rPr>
              <w:t>17.82</w:t>
            </w:r>
          </w:p>
        </w:tc>
        <w:tc>
          <w:tcPr>
            <w:tcW w:w="140" w:type="dxa"/>
            <w:vAlign w:val="bottom"/>
            <w:shd w:val="clear" w:color="auto" w:fill="D6F3E8"/>
          </w:tcPr>
          <w:p>
            <w:pPr>
              <w:spacing w:after="0"/>
              <w:rPr>
                <w:sz w:val="20"/>
                <w:szCs w:val="20"/>
                <w:color w:val="auto"/>
              </w:rPr>
            </w:pPr>
          </w:p>
        </w:tc>
        <w:tc>
          <w:tcPr>
            <w:tcW w:w="820" w:type="dxa"/>
            <w:vAlign w:val="bottom"/>
            <w:gridSpan w:val="2"/>
            <w:shd w:val="clear" w:color="auto" w:fill="D6F3E8"/>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00" w:type="dxa"/>
            <w:vAlign w:val="bottom"/>
            <w:tcBorders>
              <w:top w:val="single" w:sz="8" w:color="D6F3E8"/>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D6F3E8"/>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D6F3E8"/>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i w:val="1"/>
          <w:iCs w:val="1"/>
          <w:color w:val="0D0E00"/>
        </w:rPr>
        <w:t xml:space="preserve">Performance-Based Restricted Stock Units. </w:t>
      </w:r>
      <w:r>
        <w:rPr>
          <w:rFonts w:ascii="Arial" w:cs="Arial" w:eastAsia="Arial" w:hAnsi="Arial"/>
          <w:sz w:val="17"/>
          <w:szCs w:val="17"/>
          <w:color w:val="0D0E00"/>
        </w:rPr>
        <w:t>Our Board of Directors approved a performance-based equity compensation arrangement for our executive</w:t>
      </w:r>
      <w:r>
        <w:rPr>
          <w:rFonts w:ascii="Arial" w:cs="Arial" w:eastAsia="Arial" w:hAnsi="Arial"/>
          <w:sz w:val="17"/>
          <w:szCs w:val="17"/>
          <w:i w:val="1"/>
          <w:iCs w:val="1"/>
          <w:color w:val="0D0E00"/>
        </w:rPr>
        <w:t xml:space="preserve"> </w:t>
      </w:r>
      <w:r>
        <w:rPr>
          <w:rFonts w:ascii="Arial" w:cs="Arial" w:eastAsia="Arial" w:hAnsi="Arial"/>
          <w:sz w:val="17"/>
          <w:szCs w:val="17"/>
          <w:color w:val="0D0E00"/>
        </w:rPr>
        <w:t>officers during the first quarter of fiscal 2009. This performance-based arrangement provides for the grant of performance-based restricted stock units that represent a possible future issuance of restricted shares of our common stock based on our pre-tax income target for the applicable fiscal year. The actual number of restricted shares to be issued to each executive officer will be determined when our final financial information becomes available after the applicable fiscal year and will be between zero shares and 73,387 shares in the aggregate for the year ended April 3, 2011 (“fiscal 2011”). The restricted shares issued will fully ve st two years after the last day of the fiscal year on which the performance is based. We are recording the compensation expense for the outstanding performance share units and then-converted restricted stock over the life of the awards.</w:t>
      </w:r>
    </w:p>
    <w:p>
      <w:pPr>
        <w:spacing w:after="0" w:line="20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0D0E00"/>
        </w:rPr>
        <w:t>On June 2, 2010 and June 10, 2009, we awarded performance-based restricted stock units to our executive officers under this arrangement. The following table represents the restricted stock activity for the quarter ended June 30, 2010:</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0D0E00"/>
                <w:w w:val="91"/>
              </w:rPr>
              <w:t>Weighted-</w:t>
            </w:r>
          </w:p>
        </w:tc>
        <w:tc>
          <w:tcPr>
            <w:tcW w:w="4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280" w:type="dxa"/>
            <w:vAlign w:val="bottom"/>
            <w:vMerge w:val="restart"/>
          </w:tcPr>
          <w:p>
            <w:pPr>
              <w:ind w:left="440"/>
              <w:spacing w:after="0"/>
              <w:rPr>
                <w:sz w:val="20"/>
                <w:szCs w:val="20"/>
                <w:color w:val="auto"/>
              </w:rPr>
            </w:pPr>
            <w:r>
              <w:rPr>
                <w:rFonts w:ascii="Arial" w:cs="Arial" w:eastAsia="Arial" w:hAnsi="Arial"/>
                <w:sz w:val="14"/>
                <w:szCs w:val="14"/>
                <w:b w:val="1"/>
                <w:bCs w:val="1"/>
                <w:color w:val="0D0E00"/>
              </w:rPr>
              <w:t>Shares</w:t>
            </w:r>
          </w:p>
        </w:tc>
        <w:tc>
          <w:tcPr>
            <w:tcW w:w="34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0D0E00"/>
                <w:w w:val="95"/>
              </w:rPr>
              <w:t>Average Grant</w:t>
            </w:r>
          </w:p>
        </w:tc>
        <w:tc>
          <w:tcPr>
            <w:tcW w:w="4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40" w:type="dxa"/>
            <w:vAlign w:val="bottom"/>
            <w:tcBorders>
              <w:bottom w:val="single" w:sz="8" w:color="D6F3E8"/>
            </w:tcBorders>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D6F3E8"/>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0D0E00"/>
                <w:w w:val="96"/>
              </w:rPr>
              <w:t>Date Fair Value</w:t>
            </w:r>
          </w:p>
        </w:tc>
        <w:tc>
          <w:tcPr>
            <w:tcW w:w="80" w:type="dxa"/>
            <w:vAlign w:val="bottom"/>
            <w:tcBorders>
              <w:bottom w:val="single" w:sz="8" w:color="D6F3E8"/>
            </w:tcBorders>
          </w:tcPr>
          <w:p>
            <w:pPr>
              <w:spacing w:after="0"/>
              <w:rPr>
                <w:sz w:val="14"/>
                <w:szCs w:val="14"/>
                <w:color w:val="auto"/>
              </w:rPr>
            </w:pPr>
          </w:p>
        </w:tc>
        <w:tc>
          <w:tcPr>
            <w:tcW w:w="4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840" w:type="dxa"/>
            <w:vAlign w:val="bottom"/>
            <w:shd w:val="clear" w:color="auto" w:fill="D6F3E8"/>
          </w:tcPr>
          <w:p>
            <w:pPr>
              <w:spacing w:after="0"/>
              <w:rPr>
                <w:sz w:val="20"/>
                <w:szCs w:val="20"/>
                <w:color w:val="auto"/>
              </w:rPr>
            </w:pPr>
            <w:r>
              <w:rPr>
                <w:rFonts w:ascii="Arial" w:cs="Arial" w:eastAsia="Arial" w:hAnsi="Arial"/>
                <w:sz w:val="18"/>
                <w:szCs w:val="18"/>
                <w:color w:val="0D0E00"/>
              </w:rPr>
              <w:t>Outstanding at beginning of period</w:t>
            </w:r>
          </w:p>
        </w:tc>
        <w:tc>
          <w:tcPr>
            <w:tcW w:w="162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0D0E00"/>
              </w:rPr>
              <w:t>23,000</w:t>
            </w:r>
          </w:p>
        </w:tc>
        <w:tc>
          <w:tcPr>
            <w:tcW w:w="140" w:type="dxa"/>
            <w:vAlign w:val="bottom"/>
            <w:shd w:val="clear" w:color="auto" w:fill="D6F3E8"/>
          </w:tcPr>
          <w:p>
            <w:pPr>
              <w:jc w:val="right"/>
              <w:spacing w:after="0"/>
              <w:rPr>
                <w:sz w:val="20"/>
                <w:szCs w:val="20"/>
                <w:color w:val="auto"/>
              </w:rPr>
            </w:pPr>
            <w:r>
              <w:rPr>
                <w:rFonts w:ascii="Arial" w:cs="Arial" w:eastAsia="Arial" w:hAnsi="Arial"/>
                <w:sz w:val="18"/>
                <w:szCs w:val="18"/>
                <w:color w:val="0D0E00"/>
                <w:w w:val="79"/>
              </w:rPr>
              <w:t>$</w:t>
            </w:r>
          </w:p>
        </w:tc>
        <w:tc>
          <w:tcPr>
            <w:tcW w:w="126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0D0E00"/>
              </w:rPr>
              <w:t>19.90</w:t>
            </w:r>
          </w:p>
        </w:tc>
        <w:tc>
          <w:tcPr>
            <w:tcW w:w="4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Arial" w:cs="Arial" w:eastAsia="Arial" w:hAnsi="Arial"/>
                <w:sz w:val="18"/>
                <w:szCs w:val="18"/>
                <w:color w:val="0D0E00"/>
              </w:rPr>
              <w:t>Granted</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0D0E00"/>
              </w:rPr>
              <w:t>26,500</w:t>
            </w:r>
          </w:p>
        </w:tc>
        <w:tc>
          <w:tcPr>
            <w:tcW w:w="140" w:type="dxa"/>
            <w:vAlign w:val="bottom"/>
          </w:tcPr>
          <w:p>
            <w:pPr>
              <w:spacing w:after="0"/>
              <w:rPr>
                <w:sz w:val="21"/>
                <w:szCs w:val="21"/>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0D0E00"/>
              </w:rPr>
              <w:t>25.81</w:t>
            </w:r>
          </w:p>
        </w:tc>
        <w:tc>
          <w:tcPr>
            <w:tcW w:w="4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shd w:val="clear" w:color="auto" w:fill="D6F3E8"/>
          </w:tcPr>
          <w:p>
            <w:pPr>
              <w:spacing w:after="0"/>
              <w:rPr>
                <w:sz w:val="20"/>
                <w:szCs w:val="20"/>
                <w:color w:val="auto"/>
              </w:rPr>
            </w:pPr>
            <w:r>
              <w:rPr>
                <w:rFonts w:ascii="Arial" w:cs="Arial" w:eastAsia="Arial" w:hAnsi="Arial"/>
                <w:sz w:val="18"/>
                <w:szCs w:val="18"/>
                <w:color w:val="0D0E00"/>
              </w:rPr>
              <w:t>Vested</w:t>
            </w:r>
          </w:p>
        </w:tc>
        <w:tc>
          <w:tcPr>
            <w:tcW w:w="162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D6F3E8"/>
          </w:tcPr>
          <w:p>
            <w:pPr>
              <w:spacing w:after="0"/>
              <w:rPr>
                <w:sz w:val="21"/>
                <w:szCs w:val="21"/>
                <w:color w:val="auto"/>
              </w:rPr>
            </w:pPr>
          </w:p>
        </w:tc>
        <w:tc>
          <w:tcPr>
            <w:tcW w:w="126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w:t>
            </w:r>
          </w:p>
        </w:tc>
        <w:tc>
          <w:tcPr>
            <w:tcW w:w="4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Arial" w:cs="Arial" w:eastAsia="Arial" w:hAnsi="Arial"/>
                <w:sz w:val="18"/>
                <w:szCs w:val="18"/>
                <w:color w:val="0D0E00"/>
              </w:rPr>
              <w:t>Forfeited or expired</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40" w:type="dxa"/>
            <w:vAlign w:val="bottom"/>
            <w:shd w:val="clear" w:color="auto" w:fill="D6F3E8"/>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D6F3E8"/>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40" w:type="dxa"/>
            <w:vAlign w:val="bottom"/>
            <w:shd w:val="clear" w:color="auto" w:fill="D6F3E8"/>
          </w:tcPr>
          <w:p>
            <w:pPr>
              <w:spacing w:after="0"/>
              <w:rPr>
                <w:sz w:val="20"/>
                <w:szCs w:val="20"/>
                <w:color w:val="auto"/>
              </w:rPr>
            </w:pPr>
            <w:r>
              <w:rPr>
                <w:rFonts w:ascii="Arial" w:cs="Arial" w:eastAsia="Arial" w:hAnsi="Arial"/>
                <w:sz w:val="18"/>
                <w:szCs w:val="18"/>
                <w:color w:val="0D0E00"/>
              </w:rPr>
              <w:t>Outstanding at end of period</w:t>
            </w:r>
          </w:p>
        </w:tc>
        <w:tc>
          <w:tcPr>
            <w:tcW w:w="162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0D0E00"/>
              </w:rPr>
              <w:t>49,500</w:t>
            </w:r>
          </w:p>
        </w:tc>
        <w:tc>
          <w:tcPr>
            <w:tcW w:w="140" w:type="dxa"/>
            <w:vAlign w:val="bottom"/>
            <w:shd w:val="clear" w:color="auto" w:fill="D6F3E8"/>
          </w:tcPr>
          <w:p>
            <w:pPr>
              <w:jc w:val="right"/>
              <w:spacing w:after="0"/>
              <w:rPr>
                <w:sz w:val="20"/>
                <w:szCs w:val="20"/>
                <w:color w:val="auto"/>
              </w:rPr>
            </w:pPr>
            <w:r>
              <w:rPr>
                <w:rFonts w:ascii="Arial" w:cs="Arial" w:eastAsia="Arial" w:hAnsi="Arial"/>
                <w:sz w:val="18"/>
                <w:szCs w:val="18"/>
                <w:color w:val="0D0E00"/>
                <w:w w:val="79"/>
              </w:rPr>
              <w:t>$</w:t>
            </w:r>
          </w:p>
        </w:tc>
        <w:tc>
          <w:tcPr>
            <w:tcW w:w="126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0D0E00"/>
              </w:rPr>
              <w:t>23.06</w:t>
            </w:r>
          </w:p>
        </w:tc>
        <w:tc>
          <w:tcPr>
            <w:tcW w:w="4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40" w:type="dxa"/>
            <w:vAlign w:val="bottom"/>
            <w:tcBorders>
              <w:top w:val="single" w:sz="8" w:color="D6F3E8"/>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6F3E8"/>
            </w:tcBorders>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3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jc w:val="right"/>
              <w:ind w:right="936"/>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38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5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68" w:right="21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i w:val="1"/>
          <w:iCs w:val="1"/>
          <w:color w:val="0D0E00"/>
        </w:rPr>
        <w:t xml:space="preserve">Restricted Stock Awards. </w:t>
      </w:r>
      <w:r>
        <w:rPr>
          <w:rFonts w:ascii="Arial" w:cs="Arial" w:eastAsia="Arial" w:hAnsi="Arial"/>
          <w:sz w:val="16"/>
          <w:szCs w:val="16"/>
          <w:color w:val="0D0E00"/>
        </w:rPr>
        <w:t>As part of their retainer, each non-employee Director receives restricted stock for their Board services. The restricted stock awards</w:t>
      </w:r>
      <w:r>
        <w:rPr>
          <w:rFonts w:ascii="Arial" w:cs="Arial" w:eastAsia="Arial" w:hAnsi="Arial"/>
          <w:sz w:val="16"/>
          <w:szCs w:val="16"/>
          <w:i w:val="1"/>
          <w:iCs w:val="1"/>
          <w:color w:val="0D0E00"/>
        </w:rPr>
        <w:t xml:space="preserve"> </w:t>
      </w:r>
      <w:r>
        <w:rPr>
          <w:rFonts w:ascii="Arial" w:cs="Arial" w:eastAsia="Arial" w:hAnsi="Arial"/>
          <w:sz w:val="16"/>
          <w:szCs w:val="16"/>
          <w:color w:val="0D0E00"/>
        </w:rPr>
        <w:t>are expensed over the requisite vesting period, which begins on the date of issuance and ends on the date of the next Annual Meeting of Shareholders, based on the market value on the date of grant. The following table represents the Board’s restricted stock activity for the quarter ended June 30, 2010:</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0D0E00"/>
                <w:w w:val="91"/>
              </w:rPr>
              <w:t>Weighted-</w:t>
            </w: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860" w:type="dxa"/>
            <w:vAlign w:val="bottom"/>
            <w:vMerge w:val="restart"/>
          </w:tcPr>
          <w:p>
            <w:pPr>
              <w:ind w:left="440"/>
              <w:spacing w:after="0"/>
              <w:rPr>
                <w:sz w:val="20"/>
                <w:szCs w:val="20"/>
                <w:color w:val="auto"/>
              </w:rPr>
            </w:pPr>
            <w:r>
              <w:rPr>
                <w:rFonts w:ascii="Arial" w:cs="Arial" w:eastAsia="Arial" w:hAnsi="Arial"/>
                <w:sz w:val="14"/>
                <w:szCs w:val="14"/>
                <w:b w:val="1"/>
                <w:bCs w:val="1"/>
                <w:color w:val="0D0E00"/>
                <w:w w:val="85"/>
              </w:rPr>
              <w:t>Shares</w:t>
            </w: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0D0E00"/>
                <w:w w:val="95"/>
              </w:rPr>
              <w:t>Average Grant</w:t>
            </w:r>
          </w:p>
        </w:tc>
        <w:tc>
          <w:tcPr>
            <w:tcW w:w="0" w:type="dxa"/>
            <w:vAlign w:val="bottom"/>
          </w:tcPr>
          <w:p>
            <w:pPr>
              <w:spacing w:after="0"/>
              <w:rPr>
                <w:sz w:val="1"/>
                <w:szCs w:val="1"/>
                <w:color w:val="auto"/>
              </w:rPr>
            </w:pPr>
          </w:p>
        </w:tc>
      </w:tr>
      <w:tr>
        <w:trPr>
          <w:trHeight w:val="171"/>
        </w:trPr>
        <w:tc>
          <w:tcPr>
            <w:tcW w:w="3840" w:type="dxa"/>
            <w:vAlign w:val="bottom"/>
            <w:tcBorders>
              <w:bottom w:val="single" w:sz="8" w:color="D6F3E8"/>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40" w:type="dxa"/>
            <w:vAlign w:val="bottom"/>
            <w:tcBorders>
              <w:bottom w:val="single" w:sz="8" w:color="D6F3E8"/>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0D0E00"/>
                <w:w w:val="96"/>
              </w:rPr>
              <w:t>Date Fair Value</w:t>
            </w:r>
          </w:p>
        </w:tc>
        <w:tc>
          <w:tcPr>
            <w:tcW w:w="80" w:type="dxa"/>
            <w:vAlign w:val="bottom"/>
            <w:tcBorders>
              <w:bottom w:val="single" w:sz="8" w:color="D6F3E8"/>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700" w:type="dxa"/>
            <w:vAlign w:val="bottom"/>
            <w:gridSpan w:val="2"/>
            <w:shd w:val="clear" w:color="auto" w:fill="D6F3E8"/>
          </w:tcPr>
          <w:p>
            <w:pPr>
              <w:spacing w:after="0"/>
              <w:rPr>
                <w:sz w:val="20"/>
                <w:szCs w:val="20"/>
                <w:color w:val="auto"/>
              </w:rPr>
            </w:pPr>
            <w:r>
              <w:rPr>
                <w:rFonts w:ascii="Arial" w:cs="Arial" w:eastAsia="Arial" w:hAnsi="Arial"/>
                <w:sz w:val="18"/>
                <w:szCs w:val="18"/>
                <w:color w:val="0D0E00"/>
              </w:rPr>
              <w:t>Outstanding at beginning of period</w:t>
            </w:r>
          </w:p>
        </w:tc>
        <w:tc>
          <w:tcPr>
            <w:tcW w:w="76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0D0E00"/>
                <w:w w:val="88"/>
              </w:rPr>
              <w:t>6,000</w:t>
            </w:r>
          </w:p>
        </w:tc>
        <w:tc>
          <w:tcPr>
            <w:tcW w:w="140" w:type="dxa"/>
            <w:vAlign w:val="bottom"/>
            <w:shd w:val="clear" w:color="auto" w:fill="D6F3E8"/>
          </w:tcPr>
          <w:p>
            <w:pPr>
              <w:jc w:val="right"/>
              <w:spacing w:after="0"/>
              <w:rPr>
                <w:sz w:val="20"/>
                <w:szCs w:val="20"/>
                <w:color w:val="auto"/>
              </w:rPr>
            </w:pPr>
            <w:r>
              <w:rPr>
                <w:rFonts w:ascii="Arial" w:cs="Arial" w:eastAsia="Arial" w:hAnsi="Arial"/>
                <w:sz w:val="18"/>
                <w:szCs w:val="18"/>
                <w:color w:val="0D0E00"/>
                <w:w w:val="79"/>
              </w:rPr>
              <w:t>$</w:t>
            </w:r>
          </w:p>
        </w:tc>
        <w:tc>
          <w:tcPr>
            <w:tcW w:w="126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0D0E00"/>
              </w:rPr>
              <w:t>18.68</w:t>
            </w:r>
          </w:p>
        </w:tc>
        <w:tc>
          <w:tcPr>
            <w:tcW w:w="0" w:type="dxa"/>
            <w:vAlign w:val="bottom"/>
          </w:tcPr>
          <w:p>
            <w:pPr>
              <w:spacing w:after="0"/>
              <w:rPr>
                <w:sz w:val="1"/>
                <w:szCs w:val="1"/>
                <w:color w:val="auto"/>
              </w:rPr>
            </w:pPr>
          </w:p>
        </w:tc>
      </w:tr>
      <w:tr>
        <w:trPr>
          <w:trHeight w:val="243"/>
        </w:trPr>
        <w:tc>
          <w:tcPr>
            <w:tcW w:w="4700" w:type="dxa"/>
            <w:vAlign w:val="bottom"/>
            <w:gridSpan w:val="2"/>
          </w:tcPr>
          <w:p>
            <w:pPr>
              <w:spacing w:after="0"/>
              <w:rPr>
                <w:sz w:val="20"/>
                <w:szCs w:val="20"/>
                <w:color w:val="auto"/>
              </w:rPr>
            </w:pPr>
            <w:r>
              <w:rPr>
                <w:rFonts w:ascii="Arial" w:cs="Arial" w:eastAsia="Arial" w:hAnsi="Arial"/>
                <w:sz w:val="18"/>
                <w:szCs w:val="18"/>
                <w:color w:val="0D0E00"/>
              </w:rPr>
              <w:t>Granted</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gridSpan w:val="2"/>
            <w:shd w:val="clear" w:color="auto" w:fill="D6F3E8"/>
          </w:tcPr>
          <w:p>
            <w:pPr>
              <w:spacing w:after="0"/>
              <w:rPr>
                <w:sz w:val="20"/>
                <w:szCs w:val="20"/>
                <w:color w:val="auto"/>
              </w:rPr>
            </w:pPr>
            <w:r>
              <w:rPr>
                <w:rFonts w:ascii="Arial" w:cs="Arial" w:eastAsia="Arial" w:hAnsi="Arial"/>
                <w:sz w:val="18"/>
                <w:szCs w:val="18"/>
                <w:color w:val="0D0E00"/>
              </w:rPr>
              <w:t>Vested</w:t>
            </w:r>
          </w:p>
        </w:tc>
        <w:tc>
          <w:tcPr>
            <w:tcW w:w="76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D6F3E8"/>
          </w:tcPr>
          <w:p>
            <w:pPr>
              <w:spacing w:after="0"/>
              <w:rPr>
                <w:sz w:val="21"/>
                <w:szCs w:val="21"/>
                <w:color w:val="auto"/>
              </w:rPr>
            </w:pPr>
          </w:p>
        </w:tc>
        <w:tc>
          <w:tcPr>
            <w:tcW w:w="126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Arial" w:cs="Arial" w:eastAsia="Arial" w:hAnsi="Arial"/>
                <w:sz w:val="18"/>
                <w:szCs w:val="18"/>
                <w:color w:val="0D0E00"/>
              </w:rPr>
              <w:t>Forfeited or expired</w:t>
            </w:r>
          </w:p>
        </w:tc>
        <w:tc>
          <w:tcPr>
            <w:tcW w:w="860" w:type="dxa"/>
            <w:vAlign w:val="bottom"/>
          </w:tcPr>
          <w:p>
            <w:pPr>
              <w:spacing w:after="0"/>
              <w:rPr>
                <w:sz w:val="21"/>
                <w:szCs w:val="21"/>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40" w:type="dxa"/>
            <w:vAlign w:val="bottom"/>
            <w:shd w:val="clear" w:color="auto" w:fill="D6F3E8"/>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40" w:type="dxa"/>
            <w:vAlign w:val="bottom"/>
            <w:shd w:val="clear" w:color="auto" w:fill="D6F3E8"/>
          </w:tcPr>
          <w:p>
            <w:pPr>
              <w:spacing w:after="0"/>
              <w:rPr>
                <w:sz w:val="20"/>
                <w:szCs w:val="20"/>
                <w:color w:val="auto"/>
              </w:rPr>
            </w:pPr>
            <w:r>
              <w:rPr>
                <w:rFonts w:ascii="Arial" w:cs="Arial" w:eastAsia="Arial" w:hAnsi="Arial"/>
                <w:sz w:val="18"/>
                <w:szCs w:val="18"/>
                <w:color w:val="0D0E00"/>
              </w:rPr>
              <w:t>Outstanding at end of period</w:t>
            </w:r>
          </w:p>
        </w:tc>
        <w:tc>
          <w:tcPr>
            <w:tcW w:w="860" w:type="dxa"/>
            <w:vAlign w:val="bottom"/>
            <w:shd w:val="clear" w:color="auto" w:fill="D6F3E8"/>
          </w:tcPr>
          <w:p>
            <w:pPr>
              <w:spacing w:after="0"/>
              <w:rPr>
                <w:sz w:val="20"/>
                <w:szCs w:val="20"/>
                <w:color w:val="auto"/>
              </w:rPr>
            </w:pPr>
          </w:p>
        </w:tc>
        <w:tc>
          <w:tcPr>
            <w:tcW w:w="76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0D0E00"/>
                <w:w w:val="88"/>
              </w:rPr>
              <w:t>6,000</w:t>
            </w:r>
          </w:p>
        </w:tc>
        <w:tc>
          <w:tcPr>
            <w:tcW w:w="140" w:type="dxa"/>
            <w:vAlign w:val="bottom"/>
            <w:shd w:val="clear" w:color="auto" w:fill="D6F3E8"/>
          </w:tcPr>
          <w:p>
            <w:pPr>
              <w:jc w:val="right"/>
              <w:spacing w:after="0"/>
              <w:rPr>
                <w:sz w:val="20"/>
                <w:szCs w:val="20"/>
                <w:color w:val="auto"/>
              </w:rPr>
            </w:pPr>
            <w:r>
              <w:rPr>
                <w:rFonts w:ascii="Arial" w:cs="Arial" w:eastAsia="Arial" w:hAnsi="Arial"/>
                <w:sz w:val="18"/>
                <w:szCs w:val="18"/>
                <w:color w:val="0D0E00"/>
                <w:w w:val="79"/>
              </w:rPr>
              <w:t>$</w:t>
            </w:r>
          </w:p>
        </w:tc>
        <w:tc>
          <w:tcPr>
            <w:tcW w:w="126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0D0E00"/>
              </w:rPr>
              <w:t>18.68</w:t>
            </w:r>
          </w:p>
        </w:tc>
        <w:tc>
          <w:tcPr>
            <w:tcW w:w="0" w:type="dxa"/>
            <w:vAlign w:val="bottom"/>
          </w:tcPr>
          <w:p>
            <w:pPr>
              <w:spacing w:after="0"/>
              <w:rPr>
                <w:sz w:val="1"/>
                <w:szCs w:val="1"/>
                <w:color w:val="auto"/>
              </w:rPr>
            </w:pPr>
          </w:p>
        </w:tc>
      </w:tr>
      <w:tr>
        <w:trPr>
          <w:trHeight w:val="20"/>
        </w:trPr>
        <w:tc>
          <w:tcPr>
            <w:tcW w:w="3840" w:type="dxa"/>
            <w:vAlign w:val="bottom"/>
            <w:tcBorders>
              <w:top w:val="single" w:sz="8" w:color="D6F3E8"/>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0D0E00"/>
        </w:rPr>
        <w:t>Note 10 – Commitments and Contingencies</w:t>
      </w:r>
    </w:p>
    <w:p>
      <w:pPr>
        <w:spacing w:after="0" w:line="252"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i w:val="1"/>
          <w:iCs w:val="1"/>
          <w:color w:val="0D0E00"/>
        </w:rPr>
        <w:t xml:space="preserve">Litigation </w:t>
      </w:r>
      <w:r>
        <w:rPr>
          <w:rFonts w:ascii="Arial" w:cs="Arial" w:eastAsia="Arial" w:hAnsi="Arial"/>
          <w:sz w:val="18"/>
          <w:szCs w:val="18"/>
          <w:b w:val="1"/>
          <w:bCs w:val="1"/>
          <w:color w:val="0D0E00"/>
        </w:rPr>
        <w:t>—</w:t>
      </w:r>
      <w:r>
        <w:rPr>
          <w:rFonts w:ascii="Arial" w:cs="Arial" w:eastAsia="Arial" w:hAnsi="Arial"/>
          <w:sz w:val="18"/>
          <w:szCs w:val="18"/>
          <w:color w:val="0D0E00"/>
        </w:rPr>
        <w:t>We are a party from time to time in various legal proceedings arising in the ordinary course of our business. None of the pending proceedings</w:t>
      </w:r>
      <w:r>
        <w:rPr>
          <w:rFonts w:ascii="Arial" w:cs="Arial" w:eastAsia="Arial" w:hAnsi="Arial"/>
          <w:sz w:val="18"/>
          <w:szCs w:val="18"/>
          <w:b w:val="1"/>
          <w:bCs w:val="1"/>
          <w:i w:val="1"/>
          <w:iCs w:val="1"/>
          <w:color w:val="0D0E00"/>
        </w:rPr>
        <w:t xml:space="preserve"> </w:t>
      </w:r>
      <w:r>
        <w:rPr>
          <w:rFonts w:ascii="Arial" w:cs="Arial" w:eastAsia="Arial" w:hAnsi="Arial"/>
          <w:sz w:val="18"/>
          <w:szCs w:val="18"/>
          <w:color w:val="0D0E00"/>
        </w:rPr>
        <w:t>are expected to have a material effect on us.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0D0E00"/>
        </w:rPr>
        <w:t>Note 11 – Segment Information</w:t>
      </w:r>
    </w:p>
    <w:p>
      <w:pPr>
        <w:spacing w:after="0" w:line="25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0D0E00"/>
        </w:rPr>
        <w:t>We have two reportable segments: Industrial and Water Treatment. The accounting policies of the segments are the same as those described in the summary of significant accounting policies. Product costs and expenses for each segment are based on actual costs incurred along with cost allocation of shared and centralized functions. We evaluate performance based on profit or loss from operations before income taxes not including nonrecurring gains and losses. Reportable segments are defined by product and type of customer. Segments are responsible for the sales, marketing and development of their products and services. The segments do not have separate accounting, administration, customer service or purchasing functions. There are no intersegment sales and no operating segments have been aggregated. Given our nature, it is not practical to disclose revenues from external customers for each prod uct or each group of similar products. No single customer represents 10 percent or more of our revenue. Sales are primarily within the United States and all assets are located within the United States.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vMerge w:val="restart"/>
          </w:tcPr>
          <w:p>
            <w:pPr>
              <w:spacing w:after="0"/>
              <w:rPr>
                <w:sz w:val="20"/>
                <w:szCs w:val="20"/>
                <w:color w:val="auto"/>
              </w:rPr>
            </w:pPr>
            <w:r>
              <w:rPr>
                <w:rFonts w:ascii="Arial" w:cs="Arial" w:eastAsia="Arial" w:hAnsi="Arial"/>
                <w:sz w:val="14"/>
                <w:szCs w:val="14"/>
                <w:b w:val="1"/>
                <w:bCs w:val="1"/>
                <w:color w:val="auto"/>
              </w:rPr>
              <w:t>Reportable Segments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Industrial</w:t>
            </w:r>
          </w:p>
        </w:tc>
        <w:tc>
          <w:tcPr>
            <w:tcW w:w="10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Water</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4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8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Treatment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4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32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Three Months Ended June 30, 2010:</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80" w:type="dxa"/>
            <w:vAlign w:val="bottom"/>
            <w:shd w:val="clear" w:color="auto" w:fill="D6F3E8"/>
          </w:tcPr>
          <w:p>
            <w:pPr>
              <w:ind w:left="420"/>
              <w:spacing w:after="0"/>
              <w:rPr>
                <w:sz w:val="20"/>
                <w:szCs w:val="20"/>
                <w:color w:val="auto"/>
              </w:rPr>
            </w:pPr>
            <w:r>
              <w:rPr>
                <w:rFonts w:ascii="Arial" w:cs="Arial" w:eastAsia="Arial" w:hAnsi="Arial"/>
                <w:sz w:val="18"/>
                <w:szCs w:val="18"/>
                <w:color w:val="auto"/>
              </w:rPr>
              <w:t>Sales</w:t>
            </w:r>
          </w:p>
        </w:tc>
        <w:tc>
          <w:tcPr>
            <w:tcW w:w="76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49,806</w:t>
            </w:r>
          </w:p>
        </w:tc>
        <w:tc>
          <w:tcPr>
            <w:tcW w:w="10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24,859</w:t>
            </w:r>
          </w:p>
        </w:tc>
        <w:tc>
          <w:tcPr>
            <w:tcW w:w="26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74,665</w:t>
            </w:r>
          </w:p>
        </w:tc>
        <w:tc>
          <w:tcPr>
            <w:tcW w:w="4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420"/>
              <w:spacing w:after="0"/>
              <w:rPr>
                <w:sz w:val="20"/>
                <w:szCs w:val="20"/>
                <w:color w:val="auto"/>
              </w:rPr>
            </w:pPr>
            <w:r>
              <w:rPr>
                <w:rFonts w:ascii="Arial" w:cs="Arial" w:eastAsia="Arial" w:hAnsi="Arial"/>
                <w:sz w:val="18"/>
                <w:szCs w:val="18"/>
                <w:color w:val="auto"/>
              </w:rPr>
              <w:t>Gross profit</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10,340</w:t>
            </w:r>
          </w:p>
        </w:tc>
        <w:tc>
          <w:tcPr>
            <w:tcW w:w="10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8,107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18,447</w:t>
            </w:r>
          </w:p>
        </w:tc>
        <w:tc>
          <w:tcPr>
            <w:tcW w:w="4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80" w:type="dxa"/>
            <w:vAlign w:val="bottom"/>
            <w:shd w:val="clear" w:color="auto" w:fill="D6F3E8"/>
          </w:tcPr>
          <w:p>
            <w:pPr>
              <w:ind w:left="420"/>
              <w:spacing w:after="0"/>
              <w:rPr>
                <w:sz w:val="20"/>
                <w:szCs w:val="20"/>
                <w:color w:val="auto"/>
              </w:rPr>
            </w:pPr>
            <w:r>
              <w:rPr>
                <w:rFonts w:ascii="Arial" w:cs="Arial" w:eastAsia="Arial" w:hAnsi="Arial"/>
                <w:sz w:val="18"/>
                <w:szCs w:val="18"/>
                <w:color w:val="auto"/>
              </w:rPr>
              <w:t>Operating income</w:t>
            </w:r>
          </w:p>
        </w:tc>
        <w:tc>
          <w:tcPr>
            <w:tcW w:w="660" w:type="dxa"/>
            <w:vAlign w:val="bottom"/>
            <w:shd w:val="clear" w:color="auto" w:fill="D6F3E8"/>
          </w:tcPr>
          <w:p>
            <w:pPr>
              <w:spacing w:after="0"/>
              <w:rPr>
                <w:sz w:val="21"/>
                <w:szCs w:val="21"/>
                <w:color w:val="auto"/>
              </w:rPr>
            </w:pPr>
          </w:p>
        </w:tc>
        <w:tc>
          <w:tcPr>
            <w:tcW w:w="100" w:type="dxa"/>
            <w:vAlign w:val="bottom"/>
            <w:shd w:val="clear" w:color="auto" w:fill="D6F3E8"/>
          </w:tcPr>
          <w:p>
            <w:pPr>
              <w:spacing w:after="0"/>
              <w:rPr>
                <w:sz w:val="21"/>
                <w:szCs w:val="21"/>
                <w:color w:val="auto"/>
              </w:rPr>
            </w:pPr>
          </w:p>
        </w:tc>
        <w:tc>
          <w:tcPr>
            <w:tcW w:w="94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6,412</w:t>
            </w:r>
          </w:p>
        </w:tc>
        <w:tc>
          <w:tcPr>
            <w:tcW w:w="100" w:type="dxa"/>
            <w:vAlign w:val="bottom"/>
            <w:shd w:val="clear" w:color="auto" w:fill="D6F3E8"/>
          </w:tcPr>
          <w:p>
            <w:pPr>
              <w:spacing w:after="0"/>
              <w:rPr>
                <w:sz w:val="21"/>
                <w:szCs w:val="21"/>
                <w:color w:val="auto"/>
              </w:rPr>
            </w:pPr>
          </w:p>
        </w:tc>
        <w:tc>
          <w:tcPr>
            <w:tcW w:w="8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5,374</w:t>
            </w:r>
          </w:p>
        </w:tc>
        <w:tc>
          <w:tcPr>
            <w:tcW w:w="100" w:type="dxa"/>
            <w:vAlign w:val="bottom"/>
            <w:shd w:val="clear" w:color="auto" w:fill="D6F3E8"/>
          </w:tcPr>
          <w:p>
            <w:pPr>
              <w:spacing w:after="0"/>
              <w:rPr>
                <w:sz w:val="21"/>
                <w:szCs w:val="21"/>
                <w:color w:val="auto"/>
              </w:rPr>
            </w:pPr>
          </w:p>
        </w:tc>
        <w:tc>
          <w:tcPr>
            <w:tcW w:w="160" w:type="dxa"/>
            <w:vAlign w:val="bottom"/>
            <w:shd w:val="clear" w:color="auto" w:fill="D6F3E8"/>
          </w:tcPr>
          <w:p>
            <w:pPr>
              <w:spacing w:after="0"/>
              <w:rPr>
                <w:sz w:val="21"/>
                <w:szCs w:val="21"/>
                <w:color w:val="auto"/>
              </w:rPr>
            </w:pPr>
          </w:p>
        </w:tc>
        <w:tc>
          <w:tcPr>
            <w:tcW w:w="6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11,786</w:t>
            </w:r>
          </w:p>
        </w:tc>
        <w:tc>
          <w:tcPr>
            <w:tcW w:w="80" w:type="dxa"/>
            <w:vAlign w:val="bottom"/>
            <w:shd w:val="clear" w:color="auto" w:fill="D6F3E8"/>
          </w:tcPr>
          <w:p>
            <w:pPr>
              <w:spacing w:after="0"/>
              <w:rPr>
                <w:sz w:val="21"/>
                <w:szCs w:val="21"/>
                <w:color w:val="auto"/>
              </w:rPr>
            </w:pPr>
          </w:p>
        </w:tc>
        <w:tc>
          <w:tcPr>
            <w:tcW w:w="4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3280" w:type="dxa"/>
            <w:vAlign w:val="bottom"/>
          </w:tcPr>
          <w:p>
            <w:pPr>
              <w:spacing w:after="0"/>
              <w:rPr>
                <w:sz w:val="20"/>
                <w:szCs w:val="20"/>
                <w:color w:val="auto"/>
              </w:rPr>
            </w:pPr>
            <w:r>
              <w:rPr>
                <w:rFonts w:ascii="Arial" w:cs="Arial" w:eastAsia="Arial" w:hAnsi="Arial"/>
                <w:sz w:val="18"/>
                <w:szCs w:val="18"/>
                <w:color w:val="auto"/>
              </w:rPr>
              <w:t>Three Months Ended June 30, 2009:</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420"/>
              <w:spacing w:after="0"/>
              <w:rPr>
                <w:sz w:val="20"/>
                <w:szCs w:val="20"/>
                <w:color w:val="auto"/>
              </w:rPr>
            </w:pPr>
            <w:r>
              <w:rPr>
                <w:rFonts w:ascii="Arial" w:cs="Arial" w:eastAsia="Arial" w:hAnsi="Arial"/>
                <w:sz w:val="18"/>
                <w:szCs w:val="18"/>
                <w:color w:val="auto"/>
              </w:rPr>
              <w:t>Sales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49,720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23,866</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73,586</w:t>
            </w:r>
          </w:p>
        </w:tc>
        <w:tc>
          <w:tcPr>
            <w:tcW w:w="4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80" w:type="dxa"/>
            <w:vAlign w:val="bottom"/>
            <w:shd w:val="clear" w:color="auto" w:fill="D6F3E8"/>
          </w:tcPr>
          <w:p>
            <w:pPr>
              <w:ind w:left="420"/>
              <w:spacing w:after="0"/>
              <w:rPr>
                <w:sz w:val="20"/>
                <w:szCs w:val="20"/>
                <w:color w:val="auto"/>
              </w:rPr>
            </w:pPr>
            <w:r>
              <w:rPr>
                <w:rFonts w:ascii="Arial" w:cs="Arial" w:eastAsia="Arial" w:hAnsi="Arial"/>
                <w:sz w:val="18"/>
                <w:szCs w:val="18"/>
                <w:color w:val="auto"/>
              </w:rPr>
              <w:t>Gross profit</w:t>
            </w:r>
          </w:p>
        </w:tc>
        <w:tc>
          <w:tcPr>
            <w:tcW w:w="660" w:type="dxa"/>
            <w:vAlign w:val="bottom"/>
            <w:shd w:val="clear" w:color="auto" w:fill="D6F3E8"/>
          </w:tcPr>
          <w:p>
            <w:pPr>
              <w:spacing w:after="0"/>
              <w:rPr>
                <w:sz w:val="21"/>
                <w:szCs w:val="21"/>
                <w:color w:val="auto"/>
              </w:rPr>
            </w:pPr>
          </w:p>
        </w:tc>
        <w:tc>
          <w:tcPr>
            <w:tcW w:w="100" w:type="dxa"/>
            <w:vAlign w:val="bottom"/>
            <w:shd w:val="clear" w:color="auto" w:fill="D6F3E8"/>
          </w:tcPr>
          <w:p>
            <w:pPr>
              <w:spacing w:after="0"/>
              <w:rPr>
                <w:sz w:val="21"/>
                <w:szCs w:val="21"/>
                <w:color w:val="auto"/>
              </w:rPr>
            </w:pPr>
          </w:p>
        </w:tc>
        <w:tc>
          <w:tcPr>
            <w:tcW w:w="94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8,441</w:t>
            </w:r>
          </w:p>
        </w:tc>
        <w:tc>
          <w:tcPr>
            <w:tcW w:w="100" w:type="dxa"/>
            <w:vAlign w:val="bottom"/>
            <w:shd w:val="clear" w:color="auto" w:fill="D6F3E8"/>
          </w:tcPr>
          <w:p>
            <w:pPr>
              <w:spacing w:after="0"/>
              <w:rPr>
                <w:sz w:val="21"/>
                <w:szCs w:val="21"/>
                <w:color w:val="auto"/>
              </w:rPr>
            </w:pPr>
          </w:p>
        </w:tc>
        <w:tc>
          <w:tcPr>
            <w:tcW w:w="8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7,415</w:t>
            </w:r>
          </w:p>
        </w:tc>
        <w:tc>
          <w:tcPr>
            <w:tcW w:w="100" w:type="dxa"/>
            <w:vAlign w:val="bottom"/>
            <w:shd w:val="clear" w:color="auto" w:fill="D6F3E8"/>
          </w:tcPr>
          <w:p>
            <w:pPr>
              <w:spacing w:after="0"/>
              <w:rPr>
                <w:sz w:val="21"/>
                <w:szCs w:val="21"/>
                <w:color w:val="auto"/>
              </w:rPr>
            </w:pPr>
          </w:p>
        </w:tc>
        <w:tc>
          <w:tcPr>
            <w:tcW w:w="160" w:type="dxa"/>
            <w:vAlign w:val="bottom"/>
            <w:shd w:val="clear" w:color="auto" w:fill="D6F3E8"/>
          </w:tcPr>
          <w:p>
            <w:pPr>
              <w:spacing w:after="0"/>
              <w:rPr>
                <w:sz w:val="21"/>
                <w:szCs w:val="21"/>
                <w:color w:val="auto"/>
              </w:rPr>
            </w:pPr>
          </w:p>
        </w:tc>
        <w:tc>
          <w:tcPr>
            <w:tcW w:w="68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15,856</w:t>
            </w:r>
          </w:p>
        </w:tc>
        <w:tc>
          <w:tcPr>
            <w:tcW w:w="4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420"/>
              <w:spacing w:after="0"/>
              <w:rPr>
                <w:sz w:val="20"/>
                <w:szCs w:val="20"/>
                <w:color w:val="auto"/>
              </w:rPr>
            </w:pPr>
            <w:r>
              <w:rPr>
                <w:rFonts w:ascii="Arial" w:cs="Arial" w:eastAsia="Arial" w:hAnsi="Arial"/>
                <w:sz w:val="18"/>
                <w:szCs w:val="18"/>
                <w:color w:val="auto"/>
              </w:rPr>
              <w:t>Operating income</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4,515</w:t>
            </w:r>
          </w:p>
        </w:tc>
        <w:tc>
          <w:tcPr>
            <w:tcW w:w="10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4,986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9,501</w:t>
            </w:r>
          </w:p>
        </w:tc>
        <w:tc>
          <w:tcPr>
            <w:tcW w:w="4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45"/>
        </w:trPr>
        <w:tc>
          <w:tcPr>
            <w:tcW w:w="3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328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5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68" w:right="21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5" w:lineRule="exact"/>
        <w:rPr>
          <w:sz w:val="20"/>
          <w:szCs w:val="20"/>
          <w:color w:val="auto"/>
        </w:rPr>
      </w:pPr>
    </w:p>
    <w:p>
      <w:pPr>
        <w:ind w:right="860"/>
        <w:spacing w:after="0" w:line="251" w:lineRule="auto"/>
        <w:rPr>
          <w:sz w:val="20"/>
          <w:szCs w:val="20"/>
          <w:color w:val="auto"/>
        </w:rPr>
      </w:pPr>
      <w:r>
        <w:rPr>
          <w:rFonts w:ascii="Arial" w:cs="Arial" w:eastAsia="Arial" w:hAnsi="Arial"/>
          <w:sz w:val="22"/>
          <w:szCs w:val="22"/>
          <w:color w:val="0D0E00"/>
        </w:rPr>
        <w:t>ITEM 2. MANAGEMENT’S DISCUSSION AND ANALYSIS OF FINANCIAL CONDITION AND RESULTS OF OPERATIONS</w:t>
      </w:r>
    </w:p>
    <w:p>
      <w:pPr>
        <w:spacing w:after="0" w:line="207"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0D0E00"/>
        </w:rPr>
        <w:t>The following is a discussion and analysis of our financial condition and results of operations for the three months ended June 30, 2010 as compared to June 30, 2009. This discussion should be read in conjunction with the Condensed Financial Statements and Notes to Condensed Financial Statements included in this Form 10-Q and Item 8 of our Annual Report on Form 10-K for the fiscal year ended March 28, 2010 (“fiscal 2010”).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0D0E00"/>
        </w:rPr>
        <w:t>Overview</w:t>
      </w:r>
    </w:p>
    <w:p>
      <w:pPr>
        <w:spacing w:after="0" w:line="25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0D0E00"/>
        </w:rPr>
        <w:t>We derive substantially all of our revenues from the sale of bulk and specialty chemicals to our customers in a wide variety of industries. We began our operations primarily as a distributor of bulk chemicals with a strong customer focus. Over the years we have maintained our strong customer focus and have expanded our business by increasing our sales of value-added specialty chemical products, including repackaging, blending and manufacturing certain products. In recent years, we significantly expanded the sales of our higher-margin blended and manufactured products. We expect this specialty chemical portion of our business to continue to grow.</w:t>
      </w:r>
    </w:p>
    <w:p>
      <w:pPr>
        <w:spacing w:after="0" w:line="215" w:lineRule="exact"/>
        <w:rPr>
          <w:sz w:val="20"/>
          <w:szCs w:val="20"/>
          <w:color w:val="auto"/>
        </w:rPr>
      </w:pPr>
    </w:p>
    <w:p>
      <w:pPr>
        <w:spacing w:after="0" w:line="297" w:lineRule="auto"/>
        <w:rPr>
          <w:sz w:val="20"/>
          <w:szCs w:val="20"/>
          <w:color w:val="auto"/>
        </w:rPr>
      </w:pPr>
      <w:r>
        <w:rPr>
          <w:rFonts w:ascii="Arial" w:cs="Arial" w:eastAsia="Arial" w:hAnsi="Arial"/>
          <w:sz w:val="16"/>
          <w:szCs w:val="16"/>
          <w:color w:val="0D0E00"/>
        </w:rPr>
        <w:t>We have continued to invest in growing our business. In fiscal 2010, we invested in two new facilities, which expanded our ability to service our customers and facilitate growth within our Industrial Group. Our new facility in Centralia, Illinois began operations in July 2009 and primarily serves our food-grade products business. Additionally, our new facility in Minneapolis, Minnesota, built to handle bulk chemicals sold to pharmaceutical manufacturers, became operational in June 2009. We opened one branch for our Water Treatment Group in the first quarters of each of fiscal 2010 and 2011 and expect to continue to invest in new branches to expand our geographic coverage. The cost of these new branches is not expected to be material.</w:t>
      </w:r>
    </w:p>
    <w:p>
      <w:pPr>
        <w:spacing w:after="0" w:line="185"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0D0E00"/>
        </w:rPr>
        <w:t>In February 2009, we agreed to sell our inventory and entered into a marketing agreement regarding the business of our Pharmaceutical segment, which provided pharmaceutical chemicals to retail pharmacies and small-scale pharmaceutical manufacturers. The transaction closed in May 2009 and we have no significant obligations to fulfill under the agreement. The results of the Pharmaceutical Segment have been reported as discontinued operations in our Condensed Financial Statements and Notes to Condensed Financial Statements for all periods presented in this Report on Form 10-Q.</w:t>
      </w:r>
    </w:p>
    <w:p>
      <w:pPr>
        <w:spacing w:after="0" w:line="18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0D0E00"/>
        </w:rPr>
        <w:t>We seek to maintain relatively constant gross profit dollars on each of our products as the cost of our raw materials increase or decrease. Since we expect that we will continue to experience fluctuations in our raw material costs and resulting prices in the future, we believe that gross profit dollars is the best measure of our profitability from the sale of our products. If we maintain relatively stable profit dollars on each of our products, our reported gross profit percentage will decrease when the cost of the product increases and will increase when the cost of the product decreases.</w:t>
      </w:r>
    </w:p>
    <w:p>
      <w:pPr>
        <w:spacing w:after="0" w:line="198" w:lineRule="exact"/>
        <w:rPr>
          <w:sz w:val="20"/>
          <w:szCs w:val="20"/>
          <w:color w:val="auto"/>
        </w:rPr>
      </w:pPr>
    </w:p>
    <w:p>
      <w:pPr>
        <w:spacing w:after="0" w:line="288" w:lineRule="auto"/>
        <w:rPr>
          <w:sz w:val="20"/>
          <w:szCs w:val="20"/>
          <w:color w:val="auto"/>
        </w:rPr>
      </w:pPr>
      <w:r>
        <w:rPr>
          <w:rFonts w:ascii="Arial" w:cs="Arial" w:eastAsia="Arial" w:hAnsi="Arial"/>
          <w:sz w:val="16"/>
          <w:szCs w:val="16"/>
          <w:color w:val="0D0E00"/>
        </w:rPr>
        <w:t>We use the last in, first out (“LIFO”) method of valuing inventory, which causes the most recent product costs to be recognized in our income statement. The valuation of LIFO inventory for interim periods is based on our estimates of fiscal year-end inventory levels and costs. The LIFO inventory valuation method and the resulting cost of sales are consistent with our business practices of pricing to current commodity chemical raw material prices. Our raw material costs declined significantly in the first quarter of fiscal 2010, negatively impacting the results for that period due to selling higher cost inventory on hand at lower market prices. Our use o f LIFO partially offsets the impact of the rapidly changing prices, and our LIFO reserve decreased significantly in fiscal 2010 due to declining costs. This decrease in the reserve increased our reported gross profit in the first quarter of fiscal 2010 by $2.8 million. Recent raw material costs have been more stable, although we expect some increases in commodity costs in fiscal 2011 compared to the levels we experienced at the end of fiscal 2010. As a result of the projected higher costs, we have recorded a $0.8 million increase in our LIFO reserve, reducing our reported gross profit by that amount in the first quarter of fiscal 2011. We anticipate that stabilizing raw material costs and a slower economic growth environment will heighten competitive pricing pressure, which may have a negative effect on our margins in the remainder of fiscal 2011.</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0E00"/>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0D0E00"/>
        </w:rPr>
        <w:t>The following table sets forth the percentage relationship of certain items to sales for the period indicated: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80" w:type="dxa"/>
            <w:vAlign w:val="bottom"/>
          </w:tcPr>
          <w:p>
            <w:pPr>
              <w:spacing w:after="0"/>
              <w:rPr>
                <w:sz w:val="16"/>
                <w:szCs w:val="16"/>
                <w:color w:val="auto"/>
              </w:rPr>
            </w:pPr>
          </w:p>
        </w:tc>
        <w:tc>
          <w:tcPr>
            <w:tcW w:w="260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28"/>
        </w:trPr>
        <w:tc>
          <w:tcPr>
            <w:tcW w:w="6660" w:type="dxa"/>
            <w:vAlign w:val="bottom"/>
            <w:gridSpan w:val="2"/>
          </w:tcPr>
          <w:p>
            <w:pPr>
              <w:ind w:left="6320"/>
              <w:spacing w:after="0"/>
              <w:rPr>
                <w:sz w:val="20"/>
                <w:szCs w:val="20"/>
                <w:color w:val="auto"/>
              </w:rPr>
            </w:pPr>
            <w:r>
              <w:rPr>
                <w:rFonts w:ascii="Arial" w:cs="Arial" w:eastAsia="Arial" w:hAnsi="Arial"/>
                <w:sz w:val="14"/>
                <w:szCs w:val="14"/>
                <w:b w:val="1"/>
                <w:bCs w:val="1"/>
                <w:color w:val="auto"/>
              </w:rPr>
              <w:t>2010</w:t>
            </w:r>
          </w:p>
        </w:tc>
        <w:tc>
          <w:tcPr>
            <w:tcW w:w="17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2009</w:t>
            </w: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23"/>
        </w:trPr>
        <w:tc>
          <w:tcPr>
            <w:tcW w:w="5780" w:type="dxa"/>
            <w:vAlign w:val="bottom"/>
            <w:tcBorders>
              <w:top w:val="single" w:sz="8" w:color="D6F3E8"/>
            </w:tcBorders>
            <w:shd w:val="clear" w:color="auto" w:fill="D6F3E8"/>
          </w:tcPr>
          <w:p>
            <w:pPr>
              <w:spacing w:after="0"/>
              <w:rPr>
                <w:sz w:val="20"/>
                <w:szCs w:val="20"/>
                <w:color w:val="auto"/>
              </w:rPr>
            </w:pPr>
            <w:r>
              <w:rPr>
                <w:rFonts w:ascii="Arial" w:cs="Arial" w:eastAsia="Arial" w:hAnsi="Arial"/>
                <w:sz w:val="18"/>
                <w:szCs w:val="18"/>
                <w:color w:val="auto"/>
              </w:rPr>
              <w:t>Sales</w:t>
            </w:r>
          </w:p>
        </w:tc>
        <w:tc>
          <w:tcPr>
            <w:tcW w:w="880" w:type="dxa"/>
            <w:vAlign w:val="bottom"/>
            <w:tcBorders>
              <w:top w:val="single" w:sz="8" w:color="auto"/>
            </w:tcBorders>
            <w:shd w:val="clear" w:color="auto" w:fill="D6F3E8"/>
          </w:tcPr>
          <w:p>
            <w:pPr>
              <w:spacing w:after="0"/>
              <w:rPr>
                <w:sz w:val="19"/>
                <w:szCs w:val="19"/>
                <w:color w:val="auto"/>
              </w:rPr>
            </w:pPr>
          </w:p>
        </w:tc>
        <w:tc>
          <w:tcPr>
            <w:tcW w:w="4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top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D6F3E8"/>
          </w:tcPr>
          <w:p>
            <w:pPr>
              <w:spacing w:after="0"/>
              <w:rPr>
                <w:sz w:val="19"/>
                <w:szCs w:val="19"/>
                <w:color w:val="auto"/>
              </w:rPr>
            </w:pPr>
          </w:p>
        </w:tc>
        <w:tc>
          <w:tcPr>
            <w:tcW w:w="4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top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66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(75.3)%</w:t>
            </w:r>
          </w:p>
        </w:tc>
        <w:tc>
          <w:tcPr>
            <w:tcW w:w="98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(78.5)%</w:t>
            </w:r>
          </w:p>
        </w:tc>
      </w:tr>
      <w:tr>
        <w:trPr>
          <w:trHeight w:val="223"/>
        </w:trPr>
        <w:tc>
          <w:tcPr>
            <w:tcW w:w="5780" w:type="dxa"/>
            <w:vAlign w:val="bottom"/>
            <w:tcBorders>
              <w:top w:val="single" w:sz="8" w:color="D6F3E8"/>
            </w:tcBorders>
            <w:shd w:val="clear" w:color="auto" w:fill="D6F3E8"/>
          </w:tcPr>
          <w:p>
            <w:pPr>
              <w:spacing w:after="0"/>
              <w:rPr>
                <w:sz w:val="20"/>
                <w:szCs w:val="20"/>
                <w:color w:val="auto"/>
              </w:rPr>
            </w:pPr>
            <w:r>
              <w:rPr>
                <w:rFonts w:ascii="Arial" w:cs="Arial" w:eastAsia="Arial" w:hAnsi="Arial"/>
                <w:sz w:val="18"/>
                <w:szCs w:val="18"/>
                <w:color w:val="auto"/>
              </w:rPr>
              <w:t>Gross profit</w:t>
            </w:r>
          </w:p>
        </w:tc>
        <w:tc>
          <w:tcPr>
            <w:tcW w:w="880" w:type="dxa"/>
            <w:vAlign w:val="bottom"/>
            <w:tcBorders>
              <w:top w:val="single" w:sz="8" w:color="auto"/>
            </w:tcBorders>
            <w:shd w:val="clear" w:color="auto" w:fill="D6F3E8"/>
          </w:tcPr>
          <w:p>
            <w:pPr>
              <w:spacing w:after="0"/>
              <w:rPr>
                <w:sz w:val="19"/>
                <w:szCs w:val="19"/>
                <w:color w:val="auto"/>
              </w:rPr>
            </w:pPr>
          </w:p>
        </w:tc>
        <w:tc>
          <w:tcPr>
            <w:tcW w:w="4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24.7</w:t>
            </w:r>
          </w:p>
        </w:tc>
        <w:tc>
          <w:tcPr>
            <w:tcW w:w="260" w:type="dxa"/>
            <w:vAlign w:val="bottom"/>
            <w:tcBorders>
              <w:top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D6F3E8"/>
          </w:tcPr>
          <w:p>
            <w:pPr>
              <w:spacing w:after="0"/>
              <w:rPr>
                <w:sz w:val="19"/>
                <w:szCs w:val="19"/>
                <w:color w:val="auto"/>
              </w:rPr>
            </w:pPr>
          </w:p>
        </w:tc>
        <w:tc>
          <w:tcPr>
            <w:tcW w:w="4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21.5</w:t>
            </w:r>
          </w:p>
        </w:tc>
        <w:tc>
          <w:tcPr>
            <w:tcW w:w="280" w:type="dxa"/>
            <w:vAlign w:val="bottom"/>
            <w:tcBorders>
              <w:top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66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98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(8.6)%</w:t>
            </w:r>
          </w:p>
        </w:tc>
      </w:tr>
      <w:tr>
        <w:trPr>
          <w:trHeight w:val="223"/>
        </w:trPr>
        <w:tc>
          <w:tcPr>
            <w:tcW w:w="5780" w:type="dxa"/>
            <w:vAlign w:val="bottom"/>
            <w:tcBorders>
              <w:top w:val="single" w:sz="8" w:color="D6F3E8"/>
            </w:tcBorders>
            <w:shd w:val="clear" w:color="auto" w:fill="D6F3E8"/>
          </w:tcPr>
          <w:p>
            <w:pPr>
              <w:spacing w:after="0"/>
              <w:rPr>
                <w:sz w:val="20"/>
                <w:szCs w:val="20"/>
                <w:color w:val="auto"/>
              </w:rPr>
            </w:pPr>
            <w:r>
              <w:rPr>
                <w:rFonts w:ascii="Arial" w:cs="Arial" w:eastAsia="Arial" w:hAnsi="Arial"/>
                <w:sz w:val="18"/>
                <w:szCs w:val="18"/>
                <w:color w:val="auto"/>
              </w:rPr>
              <w:t>Operating income</w:t>
            </w:r>
          </w:p>
        </w:tc>
        <w:tc>
          <w:tcPr>
            <w:tcW w:w="880" w:type="dxa"/>
            <w:vAlign w:val="bottom"/>
            <w:tcBorders>
              <w:top w:val="single" w:sz="8" w:color="auto"/>
            </w:tcBorders>
            <w:shd w:val="clear" w:color="auto" w:fill="D6F3E8"/>
          </w:tcPr>
          <w:p>
            <w:pPr>
              <w:spacing w:after="0"/>
              <w:rPr>
                <w:sz w:val="19"/>
                <w:szCs w:val="19"/>
                <w:color w:val="auto"/>
              </w:rPr>
            </w:pPr>
          </w:p>
        </w:tc>
        <w:tc>
          <w:tcPr>
            <w:tcW w:w="4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15.8</w:t>
            </w:r>
          </w:p>
        </w:tc>
        <w:tc>
          <w:tcPr>
            <w:tcW w:w="260" w:type="dxa"/>
            <w:vAlign w:val="bottom"/>
            <w:tcBorders>
              <w:top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D6F3E8"/>
          </w:tcPr>
          <w:p>
            <w:pPr>
              <w:spacing w:after="0"/>
              <w:rPr>
                <w:sz w:val="19"/>
                <w:szCs w:val="19"/>
                <w:color w:val="auto"/>
              </w:rPr>
            </w:pPr>
          </w:p>
        </w:tc>
        <w:tc>
          <w:tcPr>
            <w:tcW w:w="4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12.9</w:t>
            </w:r>
          </w:p>
        </w:tc>
        <w:tc>
          <w:tcPr>
            <w:tcW w:w="280" w:type="dxa"/>
            <w:vAlign w:val="bottom"/>
            <w:tcBorders>
              <w:top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660" w:type="dxa"/>
            <w:vAlign w:val="bottom"/>
            <w:gridSpan w:val="2"/>
          </w:tcPr>
          <w:p>
            <w:pPr>
              <w:spacing w:after="0"/>
              <w:rPr>
                <w:sz w:val="20"/>
                <w:szCs w:val="20"/>
                <w:color w:val="auto"/>
              </w:rPr>
            </w:pPr>
            <w:r>
              <w:rPr>
                <w:rFonts w:ascii="Arial" w:cs="Arial" w:eastAsia="Arial" w:hAnsi="Arial"/>
                <w:sz w:val="18"/>
                <w:szCs w:val="18"/>
                <w:color w:val="auto"/>
              </w:rPr>
              <w:t>Investment income</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98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5780" w:type="dxa"/>
            <w:vAlign w:val="bottom"/>
            <w:tcBorders>
              <w:top w:val="single" w:sz="8" w:color="D6F3E8"/>
            </w:tcBorders>
            <w:shd w:val="clear" w:color="auto" w:fill="D6F3E8"/>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880" w:type="dxa"/>
            <w:vAlign w:val="bottom"/>
            <w:tcBorders>
              <w:top w:val="single" w:sz="8" w:color="auto"/>
            </w:tcBorders>
            <w:shd w:val="clear" w:color="auto" w:fill="D6F3E8"/>
          </w:tcPr>
          <w:p>
            <w:pPr>
              <w:spacing w:after="0"/>
              <w:rPr>
                <w:sz w:val="19"/>
                <w:szCs w:val="19"/>
                <w:color w:val="auto"/>
              </w:rPr>
            </w:pPr>
          </w:p>
        </w:tc>
        <w:tc>
          <w:tcPr>
            <w:tcW w:w="4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15.9</w:t>
            </w:r>
          </w:p>
        </w:tc>
        <w:tc>
          <w:tcPr>
            <w:tcW w:w="260" w:type="dxa"/>
            <w:vAlign w:val="bottom"/>
            <w:tcBorders>
              <w:top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D6F3E8"/>
          </w:tcPr>
          <w:p>
            <w:pPr>
              <w:spacing w:after="0"/>
              <w:rPr>
                <w:sz w:val="19"/>
                <w:szCs w:val="19"/>
                <w:color w:val="auto"/>
              </w:rPr>
            </w:pPr>
          </w:p>
        </w:tc>
        <w:tc>
          <w:tcPr>
            <w:tcW w:w="4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12.9</w:t>
            </w:r>
          </w:p>
        </w:tc>
        <w:tc>
          <w:tcPr>
            <w:tcW w:w="280" w:type="dxa"/>
            <w:vAlign w:val="bottom"/>
            <w:tcBorders>
              <w:top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66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98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(4.8)%</w:t>
            </w:r>
          </w:p>
        </w:tc>
      </w:tr>
      <w:tr>
        <w:trPr>
          <w:trHeight w:val="223"/>
        </w:trPr>
        <w:tc>
          <w:tcPr>
            <w:tcW w:w="5780" w:type="dxa"/>
            <w:vAlign w:val="bottom"/>
            <w:tcBorders>
              <w:top w:val="single" w:sz="8" w:color="D6F3E8"/>
            </w:tcBorders>
            <w:shd w:val="clear" w:color="auto" w:fill="D6F3E8"/>
          </w:tcPr>
          <w:p>
            <w:pPr>
              <w:spacing w:after="0"/>
              <w:rPr>
                <w:sz w:val="20"/>
                <w:szCs w:val="20"/>
                <w:color w:val="auto"/>
              </w:rPr>
            </w:pPr>
            <w:r>
              <w:rPr>
                <w:rFonts w:ascii="Arial" w:cs="Arial" w:eastAsia="Arial" w:hAnsi="Arial"/>
                <w:sz w:val="18"/>
                <w:szCs w:val="18"/>
                <w:color w:val="auto"/>
              </w:rPr>
              <w:t>Incoming from continuing operations</w:t>
            </w:r>
          </w:p>
        </w:tc>
        <w:tc>
          <w:tcPr>
            <w:tcW w:w="880" w:type="dxa"/>
            <w:vAlign w:val="bottom"/>
            <w:tcBorders>
              <w:top w:val="single" w:sz="8" w:color="auto"/>
            </w:tcBorders>
            <w:shd w:val="clear" w:color="auto" w:fill="D6F3E8"/>
          </w:tcPr>
          <w:p>
            <w:pPr>
              <w:spacing w:after="0"/>
              <w:rPr>
                <w:sz w:val="19"/>
                <w:szCs w:val="19"/>
                <w:color w:val="auto"/>
              </w:rPr>
            </w:pPr>
          </w:p>
        </w:tc>
        <w:tc>
          <w:tcPr>
            <w:tcW w:w="4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9.8</w:t>
            </w:r>
          </w:p>
        </w:tc>
        <w:tc>
          <w:tcPr>
            <w:tcW w:w="260" w:type="dxa"/>
            <w:vAlign w:val="bottom"/>
            <w:tcBorders>
              <w:top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D6F3E8"/>
          </w:tcPr>
          <w:p>
            <w:pPr>
              <w:spacing w:after="0"/>
              <w:rPr>
                <w:sz w:val="19"/>
                <w:szCs w:val="19"/>
                <w:color w:val="auto"/>
              </w:rPr>
            </w:pPr>
          </w:p>
        </w:tc>
        <w:tc>
          <w:tcPr>
            <w:tcW w:w="4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8.1</w:t>
            </w:r>
          </w:p>
        </w:tc>
        <w:tc>
          <w:tcPr>
            <w:tcW w:w="280" w:type="dxa"/>
            <w:vAlign w:val="bottom"/>
            <w:tcBorders>
              <w:top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660" w:type="dxa"/>
            <w:vAlign w:val="bottom"/>
            <w:gridSpan w:val="2"/>
          </w:tcPr>
          <w:p>
            <w:pPr>
              <w:spacing w:after="0"/>
              <w:rPr>
                <w:sz w:val="20"/>
                <w:szCs w:val="20"/>
                <w:color w:val="auto"/>
              </w:rPr>
            </w:pPr>
            <w:r>
              <w:rPr>
                <w:rFonts w:ascii="Arial" w:cs="Arial" w:eastAsia="Arial" w:hAnsi="Arial"/>
                <w:sz w:val="18"/>
                <w:szCs w:val="18"/>
                <w:color w:val="auto"/>
              </w:rPr>
              <w:t>Income from discontinued operations, net of tax</w:t>
            </w:r>
          </w:p>
        </w:tc>
        <w:tc>
          <w:tcPr>
            <w:tcW w:w="1720" w:type="dxa"/>
            <w:vAlign w:val="bottom"/>
            <w:gridSpan w:val="3"/>
          </w:tcPr>
          <w:p>
            <w:pPr>
              <w:jc w:val="right"/>
              <w:ind w:right="1040"/>
              <w:spacing w:after="0"/>
              <w:rPr>
                <w:sz w:val="20"/>
                <w:szCs w:val="20"/>
                <w:color w:val="auto"/>
              </w:rPr>
            </w:pPr>
            <w:r>
              <w:rPr>
                <w:rFonts w:ascii="Arial" w:cs="Arial" w:eastAsia="Arial" w:hAnsi="Arial"/>
                <w:sz w:val="18"/>
                <w:szCs w:val="18"/>
                <w:color w:val="auto"/>
              </w:rPr>
              <w:t>— %</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0.1 %</w:t>
            </w:r>
          </w:p>
        </w:tc>
      </w:tr>
      <w:tr>
        <w:trPr>
          <w:trHeight w:val="203"/>
        </w:trPr>
        <w:tc>
          <w:tcPr>
            <w:tcW w:w="5780" w:type="dxa"/>
            <w:vAlign w:val="bottom"/>
            <w:tcBorders>
              <w:top w:val="single" w:sz="8" w:color="D6F3E8"/>
              <w:bottom w:val="single" w:sz="8" w:color="D6F3E8"/>
            </w:tcBorders>
            <w:shd w:val="clear" w:color="auto" w:fill="D6F3E8"/>
          </w:tcPr>
          <w:p>
            <w:pPr>
              <w:spacing w:after="0" w:line="196" w:lineRule="exact"/>
              <w:rPr>
                <w:sz w:val="20"/>
                <w:szCs w:val="20"/>
                <w:color w:val="auto"/>
              </w:rPr>
            </w:pPr>
            <w:r>
              <w:rPr>
                <w:rFonts w:ascii="Arial" w:cs="Arial" w:eastAsia="Arial" w:hAnsi="Arial"/>
                <w:sz w:val="18"/>
                <w:szCs w:val="18"/>
                <w:color w:val="auto"/>
              </w:rPr>
              <w:t>Net income</w:t>
            </w:r>
          </w:p>
        </w:tc>
        <w:tc>
          <w:tcPr>
            <w:tcW w:w="880" w:type="dxa"/>
            <w:vAlign w:val="bottom"/>
            <w:tcBorders>
              <w:top w:val="single" w:sz="8" w:color="auto"/>
              <w:bottom w:val="single" w:sz="8" w:color="auto"/>
            </w:tcBorders>
            <w:shd w:val="clear" w:color="auto" w:fill="D6F3E8"/>
          </w:tcPr>
          <w:p>
            <w:pPr>
              <w:spacing w:after="0"/>
              <w:rPr>
                <w:sz w:val="17"/>
                <w:szCs w:val="17"/>
                <w:color w:val="auto"/>
              </w:rPr>
            </w:pPr>
          </w:p>
        </w:tc>
        <w:tc>
          <w:tcPr>
            <w:tcW w:w="480" w:type="dxa"/>
            <w:vAlign w:val="bottom"/>
            <w:tcBorders>
              <w:top w:val="single" w:sz="8" w:color="auto"/>
              <w:bottom w:val="single" w:sz="8" w:color="auto"/>
            </w:tcBorders>
            <w:shd w:val="clear" w:color="auto" w:fill="D6F3E8"/>
          </w:tcPr>
          <w:p>
            <w:pPr>
              <w:jc w:val="right"/>
              <w:spacing w:after="0" w:line="202" w:lineRule="exact"/>
              <w:rPr>
                <w:sz w:val="20"/>
                <w:szCs w:val="20"/>
                <w:color w:val="auto"/>
              </w:rPr>
            </w:pPr>
            <w:r>
              <w:rPr>
                <w:rFonts w:ascii="Arial" w:cs="Arial" w:eastAsia="Arial" w:hAnsi="Arial"/>
                <w:sz w:val="18"/>
                <w:szCs w:val="18"/>
                <w:color w:val="auto"/>
              </w:rPr>
              <w:t>9.8</w:t>
            </w:r>
          </w:p>
        </w:tc>
        <w:tc>
          <w:tcPr>
            <w:tcW w:w="260" w:type="dxa"/>
            <w:vAlign w:val="bottom"/>
            <w:tcBorders>
              <w:top w:val="single" w:sz="8" w:color="D6F3E8"/>
              <w:bottom w:val="single" w:sz="8" w:color="D6F3E8"/>
            </w:tcBorders>
            <w:shd w:val="clear" w:color="auto" w:fill="D6F3E8"/>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D6F3E8"/>
          </w:tcPr>
          <w:p>
            <w:pPr>
              <w:spacing w:after="0"/>
              <w:rPr>
                <w:sz w:val="17"/>
                <w:szCs w:val="17"/>
                <w:color w:val="auto"/>
              </w:rPr>
            </w:pPr>
          </w:p>
        </w:tc>
        <w:tc>
          <w:tcPr>
            <w:tcW w:w="480" w:type="dxa"/>
            <w:vAlign w:val="bottom"/>
            <w:tcBorders>
              <w:top w:val="single" w:sz="8" w:color="auto"/>
              <w:bottom w:val="single" w:sz="8" w:color="auto"/>
            </w:tcBorders>
            <w:shd w:val="clear" w:color="auto" w:fill="D6F3E8"/>
          </w:tcPr>
          <w:p>
            <w:pPr>
              <w:jc w:val="right"/>
              <w:spacing w:after="0" w:line="202" w:lineRule="exact"/>
              <w:rPr>
                <w:sz w:val="20"/>
                <w:szCs w:val="20"/>
                <w:color w:val="auto"/>
              </w:rPr>
            </w:pPr>
            <w:r>
              <w:rPr>
                <w:rFonts w:ascii="Arial" w:cs="Arial" w:eastAsia="Arial" w:hAnsi="Arial"/>
                <w:sz w:val="18"/>
                <w:szCs w:val="18"/>
                <w:color w:val="auto"/>
              </w:rPr>
              <w:t>8.2</w:t>
            </w:r>
          </w:p>
        </w:tc>
        <w:tc>
          <w:tcPr>
            <w:tcW w:w="280" w:type="dxa"/>
            <w:vAlign w:val="bottom"/>
            <w:tcBorders>
              <w:top w:val="single" w:sz="8" w:color="D6F3E8"/>
              <w:bottom w:val="single" w:sz="8" w:color="D6F3E8"/>
            </w:tcBorders>
            <w:shd w:val="clear" w:color="auto" w:fill="D6F3E8"/>
          </w:tcPr>
          <w:p>
            <w:pPr>
              <w:jc w:val="right"/>
              <w:spacing w:after="0" w:line="196" w:lineRule="exact"/>
              <w:rPr>
                <w:sz w:val="20"/>
                <w:szCs w:val="20"/>
                <w:color w:val="auto"/>
              </w:rPr>
            </w:pPr>
            <w:r>
              <w:rPr>
                <w:rFonts w:ascii="Arial" w:cs="Arial" w:eastAsia="Arial" w:hAnsi="Arial"/>
                <w:sz w:val="18"/>
                <w:szCs w:val="18"/>
                <w:color w:val="auto"/>
              </w:rPr>
              <w:t>%</w:t>
            </w:r>
          </w:p>
        </w:tc>
      </w:tr>
      <w:tr>
        <w:trPr>
          <w:trHeight w:val="20"/>
        </w:trPr>
        <w:tc>
          <w:tcPr>
            <w:tcW w:w="57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D6F3E8"/>
            </w:tcBorders>
            <w:shd w:val="clear" w:color="auto" w:fill="D6F3E8"/>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D6F3E8"/>
            </w:tcBorders>
            <w:shd w:val="clear" w:color="auto" w:fill="D6F3E8"/>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0D0E00"/>
        </w:rPr>
        <w:t>Sales</w:t>
      </w:r>
    </w:p>
    <w:p>
      <w:pPr>
        <w:spacing w:after="0" w:line="25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0D0E00"/>
        </w:rPr>
        <w:t>Sales increased $1.1 million, or 1.5%, to $74.7 million in the three months ended June 30, 2010 as compared to $73.6 million in the same period a year ago. Sales of bulk chemicals, including caustic soda, were approximately 19% of sales during the first quarter of each of fiscal 2011 and 2010. We experienced increased sales across most product lines in the first quarter of fiscal 2011 compared to the same period in fiscal 2010, which was partially offset by lower selling prices due to lower raw material costs.</w:t>
      </w:r>
    </w:p>
    <w:p>
      <w:pPr>
        <w:spacing w:after="0" w:line="214" w:lineRule="exact"/>
        <w:rPr>
          <w:sz w:val="20"/>
          <w:szCs w:val="20"/>
          <w:color w:val="auto"/>
        </w:rPr>
      </w:pPr>
    </w:p>
    <w:p>
      <w:pPr>
        <w:jc w:val="both"/>
        <w:ind w:right="140"/>
        <w:spacing w:after="0" w:line="342" w:lineRule="auto"/>
        <w:rPr>
          <w:sz w:val="20"/>
          <w:szCs w:val="20"/>
          <w:color w:val="auto"/>
        </w:rPr>
      </w:pPr>
      <w:r>
        <w:rPr>
          <w:rFonts w:ascii="Arial" w:cs="Arial" w:eastAsia="Arial" w:hAnsi="Arial"/>
          <w:sz w:val="16"/>
          <w:szCs w:val="16"/>
          <w:i w:val="1"/>
          <w:iCs w:val="1"/>
          <w:color w:val="0D0E00"/>
        </w:rPr>
        <w:t xml:space="preserve">Industrial Segment. </w:t>
      </w:r>
      <w:r>
        <w:rPr>
          <w:rFonts w:ascii="Arial" w:cs="Arial" w:eastAsia="Arial" w:hAnsi="Arial"/>
          <w:sz w:val="16"/>
          <w:szCs w:val="16"/>
          <w:color w:val="0D0E00"/>
        </w:rPr>
        <w:t>Industrial segment sales increased $0.1 million, or 0.2%, to $49.8 million for the three months ended June 30, 2010 as compared to the</w:t>
      </w:r>
      <w:r>
        <w:rPr>
          <w:rFonts w:ascii="Arial" w:cs="Arial" w:eastAsia="Arial" w:hAnsi="Arial"/>
          <w:sz w:val="16"/>
          <w:szCs w:val="16"/>
          <w:i w:val="1"/>
          <w:iCs w:val="1"/>
          <w:color w:val="0D0E00"/>
        </w:rPr>
        <w:t xml:space="preserve"> </w:t>
      </w:r>
      <w:r>
        <w:rPr>
          <w:rFonts w:ascii="Arial" w:cs="Arial" w:eastAsia="Arial" w:hAnsi="Arial"/>
          <w:sz w:val="16"/>
          <w:szCs w:val="16"/>
          <w:color w:val="0D0E00"/>
        </w:rPr>
        <w:t>same period of the prior year. Reduced selling prices in response to lower raw material costs offset the impact of increased sales across most product lines.</w:t>
      </w:r>
    </w:p>
    <w:p>
      <w:pPr>
        <w:spacing w:after="0" w:line="151"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i w:val="1"/>
          <w:iCs w:val="1"/>
          <w:color w:val="0D0E00"/>
        </w:rPr>
        <w:t xml:space="preserve">Water Treatment Segment. </w:t>
      </w:r>
      <w:r>
        <w:rPr>
          <w:rFonts w:ascii="Arial" w:cs="Arial" w:eastAsia="Arial" w:hAnsi="Arial"/>
          <w:sz w:val="18"/>
          <w:szCs w:val="18"/>
          <w:color w:val="0D0E00"/>
        </w:rPr>
        <w:t>Water Treatment segment sales increased $1.0 million, or 4.2%, to $24.9 million for the three months ended June 30, 2010 as</w:t>
      </w:r>
      <w:r>
        <w:rPr>
          <w:rFonts w:ascii="Arial" w:cs="Arial" w:eastAsia="Arial" w:hAnsi="Arial"/>
          <w:sz w:val="18"/>
          <w:szCs w:val="18"/>
          <w:i w:val="1"/>
          <w:iCs w:val="1"/>
          <w:color w:val="0D0E00"/>
        </w:rPr>
        <w:t xml:space="preserve"> </w:t>
      </w:r>
      <w:r>
        <w:rPr>
          <w:rFonts w:ascii="Arial" w:cs="Arial" w:eastAsia="Arial" w:hAnsi="Arial"/>
          <w:sz w:val="18"/>
          <w:szCs w:val="18"/>
          <w:color w:val="0D0E00"/>
        </w:rPr>
        <w:t>compared to the same period of the prior year. The sales increase was primarily due to increased sales of manufactured and specialty chemical products, partially offset by lower selling prices due to lower raw material costs.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0D0E00"/>
        </w:rPr>
        <w:t>Gross Profit</w:t>
      </w:r>
    </w:p>
    <w:p>
      <w:pPr>
        <w:spacing w:after="0" w:line="252" w:lineRule="exact"/>
        <w:rPr>
          <w:sz w:val="20"/>
          <w:szCs w:val="20"/>
          <w:color w:val="auto"/>
        </w:rPr>
      </w:pPr>
    </w:p>
    <w:p>
      <w:pPr>
        <w:spacing w:after="0" w:line="279" w:lineRule="auto"/>
        <w:rPr>
          <w:sz w:val="20"/>
          <w:szCs w:val="20"/>
          <w:color w:val="auto"/>
        </w:rPr>
      </w:pPr>
      <w:r>
        <w:rPr>
          <w:rFonts w:ascii="Arial" w:cs="Arial" w:eastAsia="Arial" w:hAnsi="Arial"/>
          <w:sz w:val="17"/>
          <w:szCs w:val="17"/>
          <w:color w:val="0D0E00"/>
        </w:rPr>
        <w:t>Gross profit was $18.4 million, or 24.7% of sales, for the three months ended June 30, 2010, as compared to $15.9 million, or 21.5% of sales, for the three months ended June 30, 2009. Due to projected increases in certain raw material costs, the LIFO method of valuing inventory negatively impacted gross profit by $0.8 million for the three months ended June 30, 2010, whereas LIFO positively impacted gross profit by $2.8 million for the three months ended June 30, 2009 due to significant decreases in raw material costs experienced in the first quarter of fiscal 2010.</w:t>
      </w:r>
    </w:p>
    <w:p>
      <w:pPr>
        <w:spacing w:after="0" w:line="19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i w:val="1"/>
          <w:iCs w:val="1"/>
          <w:color w:val="0D0E00"/>
        </w:rPr>
        <w:t xml:space="preserve">Industrial Segment. </w:t>
      </w:r>
      <w:r>
        <w:rPr>
          <w:rFonts w:ascii="Arial" w:cs="Arial" w:eastAsia="Arial" w:hAnsi="Arial"/>
          <w:sz w:val="18"/>
          <w:szCs w:val="18"/>
          <w:color w:val="0D0E00"/>
        </w:rPr>
        <w:t>Gross profit for the Industrial segment was $10.3 million, or 20.8% of sales, for the three months ended June 30, 2010, as compared to</w:t>
      </w:r>
      <w:r>
        <w:rPr>
          <w:rFonts w:ascii="Arial" w:cs="Arial" w:eastAsia="Arial" w:hAnsi="Arial"/>
          <w:sz w:val="18"/>
          <w:szCs w:val="18"/>
          <w:i w:val="1"/>
          <w:iCs w:val="1"/>
          <w:color w:val="0D0E00"/>
        </w:rPr>
        <w:t xml:space="preserve"> </w:t>
      </w:r>
      <w:r>
        <w:rPr>
          <w:rFonts w:ascii="Arial" w:cs="Arial" w:eastAsia="Arial" w:hAnsi="Arial"/>
          <w:sz w:val="18"/>
          <w:szCs w:val="18"/>
          <w:color w:val="0D0E00"/>
        </w:rPr>
        <w:t>$8.4 million, or 17.0% of sales, for the three months ended June 30, 2009. The increase in profit for this segment in the first quarter of fiscal 2011 was attributable to increased sales across most product lines and higher per unit profits realized for certain products. Rapidly declining raw material costs in the first quarter of the prior year negatively impacted the per unit profits realized in that period. The LIFO method of valuing inventory negatively impacted gross profit in this segment by $0.6 million for the three months ended June 30, 2010 while it positively impacted gross profit by $2.2 million for the three months ended June 30, 2009.</w:t>
      </w:r>
    </w:p>
    <w:p>
      <w:pPr>
        <w:spacing w:after="0" w:line="220"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i w:val="1"/>
          <w:iCs w:val="1"/>
          <w:color w:val="0D0E00"/>
        </w:rPr>
        <w:t xml:space="preserve">Water Treatment Segment. </w:t>
      </w:r>
      <w:r>
        <w:rPr>
          <w:rFonts w:ascii="Arial" w:cs="Arial" w:eastAsia="Arial" w:hAnsi="Arial"/>
          <w:sz w:val="16"/>
          <w:szCs w:val="16"/>
          <w:color w:val="0D0E00"/>
        </w:rPr>
        <w:t>Gross profit for the Water Treatment segment was $8.1 million, or 32.6% of sales, for the three months ended June 30, 2010, as</w:t>
      </w:r>
      <w:r>
        <w:rPr>
          <w:rFonts w:ascii="Arial" w:cs="Arial" w:eastAsia="Arial" w:hAnsi="Arial"/>
          <w:sz w:val="16"/>
          <w:szCs w:val="16"/>
          <w:i w:val="1"/>
          <w:iCs w:val="1"/>
          <w:color w:val="0D0E00"/>
        </w:rPr>
        <w:t xml:space="preserve"> </w:t>
      </w:r>
      <w:r>
        <w:rPr>
          <w:rFonts w:ascii="Arial" w:cs="Arial" w:eastAsia="Arial" w:hAnsi="Arial"/>
          <w:sz w:val="16"/>
          <w:szCs w:val="16"/>
          <w:color w:val="0D0E00"/>
        </w:rPr>
        <w:t>compared to $7.4 million, or 31.1% of sales, for the three months ended June 30, 2009. The increase in gross profit was primarily due to increased sales of manufactured and specialty chemical products, which was partially offset by increased overhead costs as we have invested in new facilities and personnel within existing and new markets to support growth in this segment. The LIFO method of valuing inventory negatively impacted gross profit in this segment by $0.2 million for the three months ended June 30, 2010 while it positively impacted gross profit by $0.6 million for the three months ended June 30, 2009.</w:t>
      </w: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0D0E00"/>
        </w:rPr>
        <w:t>Selling, General and Administrative Expenses</w:t>
      </w:r>
    </w:p>
    <w:p>
      <w:pPr>
        <w:spacing w:after="0" w:line="252"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0D0E00"/>
        </w:rPr>
        <w:t>Selling, general and administrative expenses were $6.7 million, or 8.9% of sales, for the three months ended June 30, 2010 as compared to $6.4 million, or 8.6% of sales, for the three months ended June 30, 2009. The increase was primarily a result of higher equity incentive plan and variable pay plan costs.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0D0E00"/>
        </w:rPr>
        <w:t>Operating Income</w:t>
      </w:r>
    </w:p>
    <w:p>
      <w:pPr>
        <w:spacing w:after="0" w:line="25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0D0E00"/>
        </w:rPr>
        <w:t>Operating income was $11.8 million for the three months ended June 30, 2010, an increase of $2.3 million from the same period in the prior year. The Industrial segment accounted for $1.9 million of the increase while the Water Treatment segment accounted for the remaining $0.4 million. The increase in operating income was driven by increased sales and higher per unit profits on certain products in fiscal 2011 when compared to the prior year, partially offset by higher infrastructure costs in the Water Treatment segment.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0D0E00"/>
        </w:rPr>
        <w:t>Investment Income</w:t>
      </w:r>
    </w:p>
    <w:p>
      <w:pPr>
        <w:spacing w:after="0" w:line="252"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0D0E00"/>
        </w:rPr>
        <w:t>Investment income was $0.1 million for the three months ended June 30, 2010; the amount for the same period in fiscal 2009 was not material. The increase was due to higher average investment balances and yields for the period ended June 30, 2010 as compared to the same period in the prior year.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0D0E00"/>
        </w:rPr>
        <w:t>Provision for Income Taxes</w:t>
      </w:r>
    </w:p>
    <w:p>
      <w:pPr>
        <w:spacing w:after="0" w:line="252"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0D0E00"/>
        </w:rPr>
        <w:t>Our effective income tax rate was 38.3% for the three months ended June 30, 2010, compared to 37.5% for the three months ended June 30, 2009. The higher effective tax rate for the three months ended June 30, 2010 was primarily due to an increase in projected taxable income subject to higher marginal income tax rates compared to the three months ended June 30, 2009 and the reduced impact of permanent items applied to the increased tax base.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0E00"/>
        </w:rPr>
        <w:t>Liquidity and Capital Resources</w:t>
      </w:r>
    </w:p>
    <w:p>
      <w:pPr>
        <w:spacing w:after="0" w:line="25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0D0E00"/>
        </w:rPr>
        <w:t>Cash provided by operations for the three months ended June 30, 2010 was $4.6 million compared to $11.7 million for the three months ended June 30, 2009. The decrease in cash provided by operating activities was due primarily to an increase in working capital balances, including the timing of inventory purchases and the related vendor payments and an increase in trade receivables associated with the timing of customer payments, offset by the increase in net income. The higher levels of cash generated from working capital in the first quarter of fiscal 2010 was driven by the rapidly declining material costs and selling prices experienced in that period. Due to the nature of our operations, which includes purchases of large quantities of bulk chemicals, timing of purchases can result in significant changes in working capital investment and the resulting operating cash flow. Historically , our cash requirements increase during the period from April through September as caustic soda inventory levels increase as the majority of barges are received during this period. Additionally, due to the seasonality of the water treatment business, our accounts receivable balance generally increases during the same period.</w:t>
      </w:r>
    </w:p>
    <w:p>
      <w:pPr>
        <w:spacing w:after="0" w:line="193" w:lineRule="exact"/>
        <w:rPr>
          <w:sz w:val="20"/>
          <w:szCs w:val="20"/>
          <w:color w:val="auto"/>
        </w:rPr>
      </w:pPr>
    </w:p>
    <w:p>
      <w:pPr>
        <w:spacing w:after="0" w:line="342" w:lineRule="auto"/>
        <w:rPr>
          <w:sz w:val="20"/>
          <w:szCs w:val="20"/>
          <w:color w:val="auto"/>
        </w:rPr>
      </w:pPr>
      <w:r>
        <w:rPr>
          <w:rFonts w:ascii="Arial" w:cs="Arial" w:eastAsia="Arial" w:hAnsi="Arial"/>
          <w:sz w:val="16"/>
          <w:szCs w:val="16"/>
          <w:color w:val="0D0E00"/>
        </w:rPr>
        <w:t>Cash and investments available-for-sale of $52.1 million at June 30, 2010 decreased by $1.6 million as compared with the $53.7 million available as of March 28, 2010, primarily due to higher working capital balances and cash disbursed for capital expenditures and dividends during the first quarter of fiscal 2011.</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0E00"/>
        </w:rPr>
        <w:t>Capital Expenditures</w:t>
      </w:r>
    </w:p>
    <w:p>
      <w:pPr>
        <w:spacing w:after="0" w:line="252"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0D0E00"/>
        </w:rPr>
        <w:t>Capital expenditures were $3.3 million for the three months ended June 30, 2010 compared to $3.1 million in the same period in the prior fiscal year. The total capital expenditures in the quarter ended June 30, 2010 for new facilities projects were approximately $0.4 million compared to $2.2 million in the quarter ended June 30, 2009. Additional significant capital expenditures during the first quarter of fiscal 2011 consisted of approximately $1.0 million for business expansion and process improvement projects, $1.1 million for other facility, regulatory and safety improvements and $0.8 million for new and replacement route sales trucks for the Water Treatment segment. We expect our cash flows from operations will be sufficient to fund our planned capital expenditures in fiscal 2011.</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0E00"/>
        </w:rPr>
        <w:t>Critical Accounting Policies</w:t>
      </w:r>
    </w:p>
    <w:p>
      <w:pPr>
        <w:spacing w:after="0" w:line="252"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0D0E00"/>
        </w:rPr>
        <w:t>Our significant accounting policies are set forth in Note 1 to our financial statements in our Annual Report on Form 10-K for the fiscal year ended March 28, 2010. The accounting policies used in preparing our interim fiscal 2011 financial statements are the same as those described in our Annual Report.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0E00"/>
        </w:rPr>
        <w:t>Forward-Looking Statements</w:t>
      </w:r>
    </w:p>
    <w:p>
      <w:pPr>
        <w:spacing w:after="0" w:line="25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information presented in this Quarterly Report on Form 10-Q contains forward-looking statements within the meaning of Section 21E of the Securities Exchange Act of 1934, as amended (the “Exchange Act”). These forward-looking statements have been made pursuant to the provisions of the Private Securities Litigation Reform Act of 1995. These statements are not historical facts, but rather are based on our current expectations, estimates and projections, and our beliefs and assumptions. We intend words such as “anticipate,” “expect,” “intend,” “plan,” “believe,” “seek,” “estimate,” “will” and similar expressions to identify forward-looking statements. These statements are not guarantees of future performance and are subject to certain risks, uncertainties and other factors, some of which are beyond our control and are difficult to predict. These factors could cause actual results to differ materially from those expressed or forecasted in the forward-looking statements. Additional information concerning potential factors that could affect future financial results is included in our Annual Report on Form 10-K for the fiscal year ended March 28, 2010. We caution you not to place undue reliance on these forward-looking statements, which reflect our management’s view only as of the date of this Quarterly Report on Form 10-Q. We are not obligated to update these statements or publicly release the result of any revisions to them to reflect events or circumstances after the date of this Quarterly Report on Form 10-Q or to reflect the occurrence of unanticipated events.</w:t>
      </w:r>
    </w:p>
    <w:p>
      <w:pPr>
        <w:spacing w:after="0" w:line="203"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0D0E00"/>
        </w:rPr>
        <w:t>ITEM 3.</w:t>
      </w:r>
      <w:r>
        <w:rPr>
          <w:sz w:val="20"/>
          <w:szCs w:val="20"/>
          <w:color w:val="auto"/>
        </w:rPr>
        <w:tab/>
      </w:r>
      <w:r>
        <w:rPr>
          <w:rFonts w:ascii="Arial" w:cs="Arial" w:eastAsia="Arial" w:hAnsi="Arial"/>
          <w:sz w:val="21"/>
          <w:szCs w:val="21"/>
          <w:color w:val="0D0E00"/>
        </w:rPr>
        <w:t>QUANTITATIVE AND QUALITATIVE DISCLOSURES ABOUT MARKET RISK</w:t>
      </w:r>
    </w:p>
    <w:p>
      <w:pPr>
        <w:spacing w:after="0" w:line="240" w:lineRule="exact"/>
        <w:rPr>
          <w:sz w:val="20"/>
          <w:szCs w:val="20"/>
          <w:color w:val="auto"/>
        </w:rPr>
      </w:pPr>
    </w:p>
    <w:p>
      <w:pPr>
        <w:spacing w:after="0" w:line="257" w:lineRule="auto"/>
        <w:rPr>
          <w:sz w:val="20"/>
          <w:szCs w:val="20"/>
          <w:color w:val="auto"/>
        </w:rPr>
      </w:pPr>
      <w:r>
        <w:rPr>
          <w:rFonts w:ascii="Arial" w:cs="Arial" w:eastAsia="Arial" w:hAnsi="Arial"/>
          <w:sz w:val="18"/>
          <w:szCs w:val="18"/>
          <w:color w:val="0D0E00"/>
        </w:rPr>
        <w:t>At June 30, 2010, our investment portfolio included $32.5 million of certificates of deposit classified as fixed income securities and cash and cash equivalents of $19.6 million. The fixed income securities, like all fixed income instruments, are subject to interest rate risks and will decline in value if market interest rates increase. However, while the value of the investment may fluctuate in any given period, we intend to hold our fixed income investments until recovery. Consequently, we would not expect to recognize an adverse impact on net income or cash flows during the holding period. We adjust the carrying value of our investments if impairment occurs that is other than temporary.</w:t>
      </w:r>
    </w:p>
    <w:p>
      <w:pPr>
        <w:spacing w:after="0" w:line="215" w:lineRule="exact"/>
        <w:rPr>
          <w:sz w:val="20"/>
          <w:szCs w:val="20"/>
          <w:color w:val="auto"/>
        </w:rPr>
      </w:pPr>
    </w:p>
    <w:p>
      <w:pPr>
        <w:spacing w:after="0" w:line="264" w:lineRule="auto"/>
        <w:rPr>
          <w:sz w:val="20"/>
          <w:szCs w:val="20"/>
          <w:color w:val="auto"/>
        </w:rPr>
      </w:pPr>
      <w:r>
        <w:rPr>
          <w:rFonts w:ascii="Arial" w:cs="Arial" w:eastAsia="Arial" w:hAnsi="Arial"/>
          <w:sz w:val="18"/>
          <w:szCs w:val="18"/>
          <w:color w:val="0D0E00"/>
        </w:rPr>
        <w:t>We are subject to the risk inherent in the cyclical nature of commodity chemical prices. However, we do not currently purchase forward contracts or otherwise engage in hedging activities with respect to the purchase of commodity chemicals. We attempt to pass changes in material prices on to our customers, however, there are no assurances that we will be able to pass on cost increases in the future.</w:t>
      </w:r>
    </w:p>
    <w:p>
      <w:pPr>
        <w:spacing w:after="0" w:line="201"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0D0E00"/>
        </w:rPr>
        <w:t>ITEM 4.</w:t>
      </w:r>
      <w:r>
        <w:rPr>
          <w:sz w:val="20"/>
          <w:szCs w:val="20"/>
          <w:color w:val="auto"/>
        </w:rPr>
        <w:tab/>
      </w:r>
      <w:r>
        <w:rPr>
          <w:rFonts w:ascii="Arial" w:cs="Arial" w:eastAsia="Arial" w:hAnsi="Arial"/>
          <w:sz w:val="19"/>
          <w:szCs w:val="19"/>
          <w:color w:val="0D0E00"/>
        </w:rPr>
        <w:t>CONTROLS AND PROCEDURES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0D0E00"/>
        </w:rPr>
        <w:t>As of the end of the period covered by this Quarterly Report on Form 10-Q, we conducted an evaluation, under supervision and with the participation of management, including the chief executive officer and chief financial officer, of the effectiveness of the design and operation of our disclosure controls and procedures pursuant to Rules 13a-15 and 15d-15 of the Exchange Act. Based upon that evaluation, our chief executive officer and chief financial officer concluded that our disclosure controls and procedures are effective. Disclosure controls and procedures are defined by Rules 13a-15(e) and 15d-15(e) of the Exchange Act as controls and other procedures that are designed to ensure that information required to be disclosed by us in reports filed with the SEC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filed under the Exchange Act is accumulated and communicated to our management, including our principal executive and principal financial officers, or person performing similar functions, as appropriate to allow timely decisions regarding required disclosure.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2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first quarter of fiscal 2011 that has materially affected, or is reasonably likely to materially affect, our internal control over financial reporting.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0D0E00"/>
        </w:rPr>
        <w:t>PART II. OTHER INFORMATION</w:t>
      </w:r>
    </w:p>
    <w:p>
      <w:pPr>
        <w:spacing w:after="0" w:line="239"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0D0E00"/>
        </w:rPr>
        <w:t>ITEM 1A.</w:t>
      </w:r>
      <w:r>
        <w:rPr>
          <w:sz w:val="20"/>
          <w:szCs w:val="20"/>
          <w:color w:val="auto"/>
        </w:rPr>
        <w:tab/>
      </w:r>
      <w:r>
        <w:rPr>
          <w:rFonts w:ascii="Arial" w:cs="Arial" w:eastAsia="Arial" w:hAnsi="Arial"/>
          <w:sz w:val="19"/>
          <w:szCs w:val="19"/>
          <w:color w:val="0D0E00"/>
        </w:rPr>
        <w:t>RISK FACTORS</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0D0E00"/>
        </w:rPr>
        <w:t>There have been no material changes to our risk factors from those disclosed in our Annual Report on Form 10-K for the fiscal year ended March 28, 2010.</w:t>
      </w:r>
    </w:p>
    <w:p>
      <w:pPr>
        <w:spacing w:after="0" w:line="268" w:lineRule="exact"/>
        <w:rPr>
          <w:sz w:val="20"/>
          <w:szCs w:val="20"/>
          <w:color w:val="auto"/>
        </w:rPr>
      </w:pPr>
    </w:p>
    <w:p>
      <w:pPr>
        <w:spacing w:after="0"/>
        <w:tabs>
          <w:tab w:leader="none" w:pos="1220" w:val="left"/>
        </w:tabs>
        <w:rPr>
          <w:sz w:val="20"/>
          <w:szCs w:val="20"/>
          <w:color w:val="auto"/>
        </w:rPr>
      </w:pPr>
      <w:r>
        <w:rPr>
          <w:rFonts w:ascii="Arial" w:cs="Arial" w:eastAsia="Arial" w:hAnsi="Arial"/>
          <w:sz w:val="22"/>
          <w:szCs w:val="22"/>
          <w:color w:val="0D0E00"/>
        </w:rPr>
        <w:t>ITEM 5.07.</w:t>
      </w:r>
      <w:r>
        <w:rPr>
          <w:sz w:val="20"/>
          <w:szCs w:val="20"/>
          <w:color w:val="auto"/>
        </w:rPr>
        <w:tab/>
      </w:r>
      <w:r>
        <w:rPr>
          <w:rFonts w:ascii="Arial" w:cs="Arial" w:eastAsia="Arial" w:hAnsi="Arial"/>
          <w:sz w:val="19"/>
          <w:szCs w:val="19"/>
          <w:color w:val="0D0E00"/>
        </w:rPr>
        <w:t>SUBMISSION OF MATTERS TO A VOTE OF SECURITY HOLDERS</w:t>
      </w:r>
    </w:p>
    <w:p>
      <w:pPr>
        <w:spacing w:after="0" w:line="240" w:lineRule="exact"/>
        <w:rPr>
          <w:sz w:val="20"/>
          <w:szCs w:val="20"/>
          <w:color w:val="auto"/>
        </w:rPr>
      </w:pPr>
    </w:p>
    <w:p>
      <w:pPr>
        <w:ind w:right="320" w:firstLine="8"/>
        <w:spacing w:after="0" w:line="259" w:lineRule="auto"/>
        <w:tabs>
          <w:tab w:leader="none" w:pos="290" w:val="left"/>
        </w:tabs>
        <w:numPr>
          <w:ilvl w:val="0"/>
          <w:numId w:val="1"/>
        </w:numPr>
        <w:rPr>
          <w:rFonts w:ascii="Arial" w:cs="Arial" w:eastAsia="Arial" w:hAnsi="Arial"/>
          <w:sz w:val="18"/>
          <w:szCs w:val="18"/>
          <w:color w:val="0D0E00"/>
        </w:rPr>
      </w:pPr>
      <w:r>
        <w:rPr>
          <w:rFonts w:ascii="Arial" w:cs="Arial" w:eastAsia="Arial" w:hAnsi="Arial"/>
          <w:sz w:val="18"/>
          <w:szCs w:val="18"/>
          <w:color w:val="0D0E00"/>
        </w:rPr>
        <w:t>On July 28, 2010, Hawkins, Inc. (the “Company”) held its 2010 Annual Meeting of Shareholders. As of June 1, 2010, there were 10,282,458 shares of common stock entitled to vote at the Annual Meeting and a total of 8,465,123.671 shares (82.3% of all outstanding shares) were represented at the Annual Meeting. The proposals that were voted upon at the Annual Meeting, and the number of votes cast for or against, as well as the number of abstentions, and broker non-votes, as to each such proposal where applicable, are set forth below.</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(b)</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0D0E00"/>
        </w:rPr>
        <w:t>Proposal One – Election of Directors</w:t>
      </w:r>
    </w:p>
    <w:p>
      <w:pPr>
        <w:spacing w:after="0" w:line="25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0D0E00"/>
        </w:rPr>
        <w:t>The Company’s common shareholders elected each of the Company’s seven nominees to serve as director for a term of one year, which term shall expire at the Company’s 2011 Annual Meeting of Shareholders, as set forth below:</w:t>
      </w:r>
    </w:p>
    <w:p>
      <w:pPr>
        <w:spacing w:after="0" w:line="189" w:lineRule="exact"/>
        <w:rPr>
          <w:sz w:val="20"/>
          <w:szCs w:val="20"/>
          <w:color w:val="auto"/>
        </w:rPr>
      </w:pPr>
    </w:p>
    <w:tbl>
      <w:tblPr>
        <w:tblLayout w:type="fixed"/>
        <w:tblInd w:w="1800" w:type="dxa"/>
        <w:tblCellMar>
          <w:top w:w="0" w:type="dxa"/>
          <w:left w:w="0" w:type="dxa"/>
          <w:bottom w:w="0" w:type="dxa"/>
          <w:right w:w="0" w:type="dxa"/>
        </w:tblCellMar>
      </w:tblPr>
      <w:tr>
        <w:trPr>
          <w:trHeight w:val="186"/>
        </w:trPr>
        <w:tc>
          <w:tcPr>
            <w:tcW w:w="1960" w:type="dxa"/>
            <w:vAlign w:val="bottom"/>
          </w:tcPr>
          <w:p>
            <w:pPr>
              <w:ind w:left="100"/>
              <w:spacing w:after="0"/>
              <w:rPr>
                <w:sz w:val="20"/>
                <w:szCs w:val="20"/>
                <w:color w:val="auto"/>
              </w:rPr>
            </w:pPr>
            <w:r>
              <w:rPr>
                <w:rFonts w:ascii="Arial" w:cs="Arial" w:eastAsia="Arial" w:hAnsi="Arial"/>
                <w:sz w:val="14"/>
                <w:szCs w:val="14"/>
                <w:b w:val="1"/>
                <w:bCs w:val="1"/>
                <w:color w:val="0D0E00"/>
              </w:rPr>
              <w:t>Director Nominee</w:t>
            </w:r>
          </w:p>
        </w:tc>
        <w:tc>
          <w:tcPr>
            <w:tcW w:w="48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0D0E00"/>
                <w:w w:val="92"/>
              </w:rPr>
              <w:t>Votes For</w:t>
            </w:r>
          </w:p>
        </w:tc>
        <w:tc>
          <w:tcPr>
            <w:tcW w:w="460" w:type="dxa"/>
            <w:vAlign w:val="bottom"/>
          </w:tcPr>
          <w:p>
            <w:pPr>
              <w:spacing w:after="0"/>
              <w:rPr>
                <w:sz w:val="16"/>
                <w:szCs w:val="16"/>
                <w:color w:val="auto"/>
              </w:rPr>
            </w:pPr>
          </w:p>
        </w:tc>
        <w:tc>
          <w:tcPr>
            <w:tcW w:w="1500" w:type="dxa"/>
            <w:vAlign w:val="bottom"/>
          </w:tcPr>
          <w:p>
            <w:pPr>
              <w:jc w:val="right"/>
              <w:ind w:right="208"/>
              <w:spacing w:after="0"/>
              <w:rPr>
                <w:sz w:val="20"/>
                <w:szCs w:val="20"/>
                <w:color w:val="auto"/>
              </w:rPr>
            </w:pPr>
            <w:r>
              <w:rPr>
                <w:rFonts w:ascii="Arial" w:cs="Arial" w:eastAsia="Arial" w:hAnsi="Arial"/>
                <w:sz w:val="14"/>
                <w:szCs w:val="14"/>
                <w:b w:val="1"/>
                <w:bCs w:val="1"/>
                <w:color w:val="0D0E00"/>
              </w:rPr>
              <w:t>Votes Withheld</w:t>
            </w:r>
          </w:p>
        </w:tc>
        <w:tc>
          <w:tcPr>
            <w:tcW w:w="46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0D0E00"/>
                <w:w w:val="92"/>
              </w:rPr>
              <w:t>Broker Non-Votes</w:t>
            </w:r>
          </w:p>
        </w:tc>
      </w:tr>
      <w:tr>
        <w:trPr>
          <w:trHeight w:val="66"/>
        </w:trPr>
        <w:tc>
          <w:tcPr>
            <w:tcW w:w="1960" w:type="dxa"/>
            <w:vAlign w:val="bottom"/>
            <w:tcBorders>
              <w:bottom w:val="single" w:sz="8" w:color="auto"/>
            </w:tcBorders>
          </w:tcPr>
          <w:p>
            <w:pPr>
              <w:spacing w:after="0"/>
              <w:rPr>
                <w:sz w:val="5"/>
                <w:szCs w:val="5"/>
                <w:color w:val="auto"/>
              </w:rPr>
            </w:pPr>
          </w:p>
        </w:tc>
        <w:tc>
          <w:tcPr>
            <w:tcW w:w="480" w:type="dxa"/>
            <w:vAlign w:val="bottom"/>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460" w:type="dxa"/>
            <w:vAlign w:val="bottom"/>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460" w:type="dxa"/>
            <w:vAlign w:val="bottom"/>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r>
      <w:tr>
        <w:trPr>
          <w:trHeight w:val="277"/>
        </w:trPr>
        <w:tc>
          <w:tcPr>
            <w:tcW w:w="1960" w:type="dxa"/>
            <w:vAlign w:val="bottom"/>
          </w:tcPr>
          <w:p>
            <w:pPr>
              <w:ind w:left="100"/>
              <w:spacing w:after="0"/>
              <w:rPr>
                <w:sz w:val="20"/>
                <w:szCs w:val="20"/>
                <w:color w:val="auto"/>
              </w:rPr>
            </w:pPr>
            <w:r>
              <w:rPr>
                <w:rFonts w:ascii="Arial" w:cs="Arial" w:eastAsia="Arial" w:hAnsi="Arial"/>
                <w:sz w:val="18"/>
                <w:szCs w:val="18"/>
                <w:color w:val="0D0E00"/>
              </w:rPr>
              <w:t>John S. McKeon</w:t>
            </w:r>
          </w:p>
        </w:tc>
        <w:tc>
          <w:tcPr>
            <w:tcW w:w="1900" w:type="dxa"/>
            <w:vAlign w:val="bottom"/>
            <w:gridSpan w:val="2"/>
          </w:tcPr>
          <w:p>
            <w:pPr>
              <w:jc w:val="center"/>
              <w:ind w:left="370"/>
              <w:spacing w:after="0"/>
              <w:rPr>
                <w:sz w:val="20"/>
                <w:szCs w:val="20"/>
                <w:color w:val="auto"/>
              </w:rPr>
            </w:pPr>
            <w:r>
              <w:rPr>
                <w:rFonts w:ascii="Arial" w:cs="Arial" w:eastAsia="Arial" w:hAnsi="Arial"/>
                <w:sz w:val="18"/>
                <w:szCs w:val="18"/>
                <w:color w:val="auto"/>
                <w:w w:val="90"/>
              </w:rPr>
              <w:t>4,897,414.537</w:t>
            </w:r>
          </w:p>
        </w:tc>
        <w:tc>
          <w:tcPr>
            <w:tcW w:w="1960" w:type="dxa"/>
            <w:vAlign w:val="bottom"/>
            <w:gridSpan w:val="2"/>
          </w:tcPr>
          <w:p>
            <w:pPr>
              <w:jc w:val="right"/>
              <w:ind w:right="168"/>
              <w:spacing w:after="0"/>
              <w:rPr>
                <w:sz w:val="20"/>
                <w:szCs w:val="20"/>
                <w:color w:val="auto"/>
              </w:rPr>
            </w:pPr>
            <w:r>
              <w:rPr>
                <w:rFonts w:ascii="Arial" w:cs="Arial" w:eastAsia="Arial" w:hAnsi="Arial"/>
                <w:sz w:val="18"/>
                <w:szCs w:val="18"/>
                <w:color w:val="auto"/>
              </w:rPr>
              <w:t>2,178,971.134</w:t>
            </w:r>
          </w:p>
        </w:tc>
        <w:tc>
          <w:tcPr>
            <w:tcW w:w="2000" w:type="dxa"/>
            <w:vAlign w:val="bottom"/>
            <w:gridSpan w:val="2"/>
          </w:tcPr>
          <w:p>
            <w:pPr>
              <w:jc w:val="center"/>
              <w:ind w:left="350"/>
              <w:spacing w:after="0"/>
              <w:rPr>
                <w:sz w:val="20"/>
                <w:szCs w:val="20"/>
                <w:color w:val="auto"/>
              </w:rPr>
            </w:pPr>
            <w:r>
              <w:rPr>
                <w:rFonts w:ascii="Arial" w:cs="Arial" w:eastAsia="Arial" w:hAnsi="Arial"/>
                <w:sz w:val="18"/>
                <w:szCs w:val="18"/>
                <w:color w:val="auto"/>
                <w:w w:val="90"/>
              </w:rPr>
              <w:t>1,388,738.000</w:t>
            </w:r>
          </w:p>
        </w:tc>
      </w:tr>
      <w:tr>
        <w:trPr>
          <w:trHeight w:val="311"/>
        </w:trPr>
        <w:tc>
          <w:tcPr>
            <w:tcW w:w="1960" w:type="dxa"/>
            <w:vAlign w:val="bottom"/>
          </w:tcPr>
          <w:p>
            <w:pPr>
              <w:ind w:left="100"/>
              <w:spacing w:after="0"/>
              <w:rPr>
                <w:sz w:val="20"/>
                <w:szCs w:val="20"/>
                <w:color w:val="auto"/>
              </w:rPr>
            </w:pPr>
            <w:r>
              <w:rPr>
                <w:rFonts w:ascii="Arial" w:cs="Arial" w:eastAsia="Arial" w:hAnsi="Arial"/>
                <w:sz w:val="18"/>
                <w:szCs w:val="18"/>
                <w:color w:val="0D0E00"/>
              </w:rPr>
              <w:t>John R. Hawkins</w:t>
            </w:r>
          </w:p>
        </w:tc>
        <w:tc>
          <w:tcPr>
            <w:tcW w:w="1900" w:type="dxa"/>
            <w:vAlign w:val="bottom"/>
            <w:gridSpan w:val="2"/>
          </w:tcPr>
          <w:p>
            <w:pPr>
              <w:jc w:val="center"/>
              <w:ind w:left="370"/>
              <w:spacing w:after="0"/>
              <w:rPr>
                <w:sz w:val="20"/>
                <w:szCs w:val="20"/>
                <w:color w:val="auto"/>
              </w:rPr>
            </w:pPr>
            <w:r>
              <w:rPr>
                <w:rFonts w:ascii="Arial" w:cs="Arial" w:eastAsia="Arial" w:hAnsi="Arial"/>
                <w:sz w:val="18"/>
                <w:szCs w:val="18"/>
                <w:color w:val="auto"/>
                <w:w w:val="90"/>
              </w:rPr>
              <w:t>6,982,619.537</w:t>
            </w:r>
          </w:p>
        </w:tc>
        <w:tc>
          <w:tcPr>
            <w:tcW w:w="1960" w:type="dxa"/>
            <w:vAlign w:val="bottom"/>
            <w:gridSpan w:val="2"/>
          </w:tcPr>
          <w:p>
            <w:pPr>
              <w:jc w:val="right"/>
              <w:ind w:right="168"/>
              <w:spacing w:after="0"/>
              <w:rPr>
                <w:sz w:val="20"/>
                <w:szCs w:val="20"/>
                <w:color w:val="auto"/>
              </w:rPr>
            </w:pPr>
            <w:r>
              <w:rPr>
                <w:rFonts w:ascii="Arial" w:cs="Arial" w:eastAsia="Arial" w:hAnsi="Arial"/>
                <w:sz w:val="18"/>
                <w:szCs w:val="18"/>
                <w:color w:val="auto"/>
              </w:rPr>
              <w:t>93,766.134</w:t>
            </w:r>
          </w:p>
        </w:tc>
        <w:tc>
          <w:tcPr>
            <w:tcW w:w="2000" w:type="dxa"/>
            <w:vAlign w:val="bottom"/>
            <w:gridSpan w:val="2"/>
          </w:tcPr>
          <w:p>
            <w:pPr>
              <w:jc w:val="center"/>
              <w:ind w:left="350"/>
              <w:spacing w:after="0"/>
              <w:rPr>
                <w:sz w:val="20"/>
                <w:szCs w:val="20"/>
                <w:color w:val="auto"/>
              </w:rPr>
            </w:pPr>
            <w:r>
              <w:rPr>
                <w:rFonts w:ascii="Arial" w:cs="Arial" w:eastAsia="Arial" w:hAnsi="Arial"/>
                <w:sz w:val="18"/>
                <w:szCs w:val="18"/>
                <w:color w:val="auto"/>
                <w:w w:val="90"/>
              </w:rPr>
              <w:t>1,388,738.000</w:t>
            </w:r>
          </w:p>
        </w:tc>
      </w:tr>
      <w:tr>
        <w:trPr>
          <w:trHeight w:val="311"/>
        </w:trPr>
        <w:tc>
          <w:tcPr>
            <w:tcW w:w="1960" w:type="dxa"/>
            <w:vAlign w:val="bottom"/>
          </w:tcPr>
          <w:p>
            <w:pPr>
              <w:ind w:left="100"/>
              <w:spacing w:after="0"/>
              <w:rPr>
                <w:sz w:val="20"/>
                <w:szCs w:val="20"/>
                <w:color w:val="auto"/>
              </w:rPr>
            </w:pPr>
            <w:r>
              <w:rPr>
                <w:rFonts w:ascii="Arial" w:cs="Arial" w:eastAsia="Arial" w:hAnsi="Arial"/>
                <w:sz w:val="18"/>
                <w:szCs w:val="18"/>
                <w:color w:val="0D0E00"/>
                <w:w w:val="94"/>
              </w:rPr>
              <w:t>James A. Faulconbridge</w:t>
            </w:r>
          </w:p>
        </w:tc>
        <w:tc>
          <w:tcPr>
            <w:tcW w:w="1900" w:type="dxa"/>
            <w:vAlign w:val="bottom"/>
            <w:gridSpan w:val="2"/>
          </w:tcPr>
          <w:p>
            <w:pPr>
              <w:jc w:val="center"/>
              <w:ind w:left="370"/>
              <w:spacing w:after="0"/>
              <w:rPr>
                <w:sz w:val="20"/>
                <w:szCs w:val="20"/>
                <w:color w:val="auto"/>
              </w:rPr>
            </w:pPr>
            <w:r>
              <w:rPr>
                <w:rFonts w:ascii="Arial" w:cs="Arial" w:eastAsia="Arial" w:hAnsi="Arial"/>
                <w:sz w:val="18"/>
                <w:szCs w:val="18"/>
                <w:color w:val="auto"/>
                <w:w w:val="90"/>
              </w:rPr>
              <w:t>6,018,297.537</w:t>
            </w:r>
          </w:p>
        </w:tc>
        <w:tc>
          <w:tcPr>
            <w:tcW w:w="1960" w:type="dxa"/>
            <w:vAlign w:val="bottom"/>
            <w:gridSpan w:val="2"/>
          </w:tcPr>
          <w:p>
            <w:pPr>
              <w:jc w:val="right"/>
              <w:ind w:right="168"/>
              <w:spacing w:after="0"/>
              <w:rPr>
                <w:sz w:val="20"/>
                <w:szCs w:val="20"/>
                <w:color w:val="auto"/>
              </w:rPr>
            </w:pPr>
            <w:r>
              <w:rPr>
                <w:rFonts w:ascii="Arial" w:cs="Arial" w:eastAsia="Arial" w:hAnsi="Arial"/>
                <w:sz w:val="18"/>
                <w:szCs w:val="18"/>
                <w:color w:val="auto"/>
              </w:rPr>
              <w:t>1,058.088.134</w:t>
            </w:r>
          </w:p>
        </w:tc>
        <w:tc>
          <w:tcPr>
            <w:tcW w:w="2000" w:type="dxa"/>
            <w:vAlign w:val="bottom"/>
            <w:gridSpan w:val="2"/>
          </w:tcPr>
          <w:p>
            <w:pPr>
              <w:jc w:val="center"/>
              <w:ind w:left="350"/>
              <w:spacing w:after="0"/>
              <w:rPr>
                <w:sz w:val="20"/>
                <w:szCs w:val="20"/>
                <w:color w:val="auto"/>
              </w:rPr>
            </w:pPr>
            <w:r>
              <w:rPr>
                <w:rFonts w:ascii="Arial" w:cs="Arial" w:eastAsia="Arial" w:hAnsi="Arial"/>
                <w:sz w:val="18"/>
                <w:szCs w:val="18"/>
                <w:color w:val="auto"/>
                <w:w w:val="90"/>
              </w:rPr>
              <w:t>1,388,738.000</w:t>
            </w:r>
          </w:p>
        </w:tc>
      </w:tr>
      <w:tr>
        <w:trPr>
          <w:trHeight w:val="311"/>
        </w:trPr>
        <w:tc>
          <w:tcPr>
            <w:tcW w:w="1960" w:type="dxa"/>
            <w:vAlign w:val="bottom"/>
          </w:tcPr>
          <w:p>
            <w:pPr>
              <w:ind w:left="100"/>
              <w:spacing w:after="0"/>
              <w:rPr>
                <w:sz w:val="20"/>
                <w:szCs w:val="20"/>
                <w:color w:val="auto"/>
              </w:rPr>
            </w:pPr>
            <w:r>
              <w:rPr>
                <w:rFonts w:ascii="Arial" w:cs="Arial" w:eastAsia="Arial" w:hAnsi="Arial"/>
                <w:sz w:val="18"/>
                <w:szCs w:val="18"/>
                <w:color w:val="0D0E00"/>
              </w:rPr>
              <w:t>Duane M. Jergenson</w:t>
            </w:r>
          </w:p>
        </w:tc>
        <w:tc>
          <w:tcPr>
            <w:tcW w:w="1900" w:type="dxa"/>
            <w:vAlign w:val="bottom"/>
            <w:gridSpan w:val="2"/>
          </w:tcPr>
          <w:p>
            <w:pPr>
              <w:jc w:val="center"/>
              <w:ind w:left="370"/>
              <w:spacing w:after="0"/>
              <w:rPr>
                <w:sz w:val="20"/>
                <w:szCs w:val="20"/>
                <w:color w:val="auto"/>
              </w:rPr>
            </w:pPr>
            <w:r>
              <w:rPr>
                <w:rFonts w:ascii="Arial" w:cs="Arial" w:eastAsia="Arial" w:hAnsi="Arial"/>
                <w:sz w:val="18"/>
                <w:szCs w:val="18"/>
                <w:color w:val="auto"/>
                <w:w w:val="90"/>
              </w:rPr>
              <w:t>6,953,024.537</w:t>
            </w:r>
          </w:p>
        </w:tc>
        <w:tc>
          <w:tcPr>
            <w:tcW w:w="1960" w:type="dxa"/>
            <w:vAlign w:val="bottom"/>
            <w:gridSpan w:val="2"/>
          </w:tcPr>
          <w:p>
            <w:pPr>
              <w:jc w:val="right"/>
              <w:ind w:right="168"/>
              <w:spacing w:after="0"/>
              <w:rPr>
                <w:sz w:val="20"/>
                <w:szCs w:val="20"/>
                <w:color w:val="auto"/>
              </w:rPr>
            </w:pPr>
            <w:r>
              <w:rPr>
                <w:rFonts w:ascii="Arial" w:cs="Arial" w:eastAsia="Arial" w:hAnsi="Arial"/>
                <w:sz w:val="18"/>
                <w:szCs w:val="18"/>
                <w:color w:val="auto"/>
              </w:rPr>
              <w:t>123,361.134</w:t>
            </w:r>
          </w:p>
        </w:tc>
        <w:tc>
          <w:tcPr>
            <w:tcW w:w="2000" w:type="dxa"/>
            <w:vAlign w:val="bottom"/>
            <w:gridSpan w:val="2"/>
          </w:tcPr>
          <w:p>
            <w:pPr>
              <w:jc w:val="center"/>
              <w:ind w:left="350"/>
              <w:spacing w:after="0"/>
              <w:rPr>
                <w:sz w:val="20"/>
                <w:szCs w:val="20"/>
                <w:color w:val="auto"/>
              </w:rPr>
            </w:pPr>
            <w:r>
              <w:rPr>
                <w:rFonts w:ascii="Arial" w:cs="Arial" w:eastAsia="Arial" w:hAnsi="Arial"/>
                <w:sz w:val="18"/>
                <w:szCs w:val="18"/>
                <w:color w:val="auto"/>
                <w:w w:val="90"/>
              </w:rPr>
              <w:t>1,388,738.000</w:t>
            </w:r>
          </w:p>
        </w:tc>
      </w:tr>
      <w:tr>
        <w:trPr>
          <w:trHeight w:val="311"/>
        </w:trPr>
        <w:tc>
          <w:tcPr>
            <w:tcW w:w="1960" w:type="dxa"/>
            <w:vAlign w:val="bottom"/>
          </w:tcPr>
          <w:p>
            <w:pPr>
              <w:ind w:left="100"/>
              <w:spacing w:after="0"/>
              <w:rPr>
                <w:sz w:val="20"/>
                <w:szCs w:val="20"/>
                <w:color w:val="auto"/>
              </w:rPr>
            </w:pPr>
            <w:r>
              <w:rPr>
                <w:rFonts w:ascii="Arial" w:cs="Arial" w:eastAsia="Arial" w:hAnsi="Arial"/>
                <w:sz w:val="18"/>
                <w:szCs w:val="18"/>
                <w:color w:val="0D0E00"/>
              </w:rPr>
              <w:t>Daryl I. Skaar</w:t>
            </w:r>
          </w:p>
        </w:tc>
        <w:tc>
          <w:tcPr>
            <w:tcW w:w="1900" w:type="dxa"/>
            <w:vAlign w:val="bottom"/>
            <w:gridSpan w:val="2"/>
          </w:tcPr>
          <w:p>
            <w:pPr>
              <w:jc w:val="center"/>
              <w:ind w:left="370"/>
              <w:spacing w:after="0"/>
              <w:rPr>
                <w:sz w:val="20"/>
                <w:szCs w:val="20"/>
                <w:color w:val="auto"/>
              </w:rPr>
            </w:pPr>
            <w:r>
              <w:rPr>
                <w:rFonts w:ascii="Arial" w:cs="Arial" w:eastAsia="Arial" w:hAnsi="Arial"/>
                <w:sz w:val="18"/>
                <w:szCs w:val="18"/>
                <w:color w:val="auto"/>
                <w:w w:val="90"/>
              </w:rPr>
              <w:t>6,937,232.537</w:t>
            </w:r>
          </w:p>
        </w:tc>
        <w:tc>
          <w:tcPr>
            <w:tcW w:w="1960" w:type="dxa"/>
            <w:vAlign w:val="bottom"/>
            <w:gridSpan w:val="2"/>
          </w:tcPr>
          <w:p>
            <w:pPr>
              <w:jc w:val="right"/>
              <w:ind w:right="168"/>
              <w:spacing w:after="0"/>
              <w:rPr>
                <w:sz w:val="20"/>
                <w:szCs w:val="20"/>
                <w:color w:val="auto"/>
              </w:rPr>
            </w:pPr>
            <w:r>
              <w:rPr>
                <w:rFonts w:ascii="Arial" w:cs="Arial" w:eastAsia="Arial" w:hAnsi="Arial"/>
                <w:sz w:val="18"/>
                <w:szCs w:val="18"/>
                <w:color w:val="auto"/>
              </w:rPr>
              <w:t>139,153.134</w:t>
            </w:r>
          </w:p>
        </w:tc>
        <w:tc>
          <w:tcPr>
            <w:tcW w:w="2000" w:type="dxa"/>
            <w:vAlign w:val="bottom"/>
            <w:gridSpan w:val="2"/>
          </w:tcPr>
          <w:p>
            <w:pPr>
              <w:jc w:val="center"/>
              <w:ind w:left="350"/>
              <w:spacing w:after="0"/>
              <w:rPr>
                <w:sz w:val="20"/>
                <w:szCs w:val="20"/>
                <w:color w:val="auto"/>
              </w:rPr>
            </w:pPr>
            <w:r>
              <w:rPr>
                <w:rFonts w:ascii="Arial" w:cs="Arial" w:eastAsia="Arial" w:hAnsi="Arial"/>
                <w:sz w:val="18"/>
                <w:szCs w:val="18"/>
                <w:color w:val="auto"/>
                <w:w w:val="90"/>
              </w:rPr>
              <w:t>1,388,738.000</w:t>
            </w:r>
          </w:p>
        </w:tc>
      </w:tr>
      <w:tr>
        <w:trPr>
          <w:trHeight w:val="311"/>
        </w:trPr>
        <w:tc>
          <w:tcPr>
            <w:tcW w:w="1960" w:type="dxa"/>
            <w:vAlign w:val="bottom"/>
          </w:tcPr>
          <w:p>
            <w:pPr>
              <w:ind w:left="100"/>
              <w:spacing w:after="0"/>
              <w:rPr>
                <w:sz w:val="20"/>
                <w:szCs w:val="20"/>
                <w:color w:val="auto"/>
              </w:rPr>
            </w:pPr>
            <w:r>
              <w:rPr>
                <w:rFonts w:ascii="Arial" w:cs="Arial" w:eastAsia="Arial" w:hAnsi="Arial"/>
                <w:sz w:val="18"/>
                <w:szCs w:val="18"/>
                <w:color w:val="0D0E00"/>
              </w:rPr>
              <w:t>James T. Thompson</w:t>
            </w:r>
          </w:p>
        </w:tc>
        <w:tc>
          <w:tcPr>
            <w:tcW w:w="1900" w:type="dxa"/>
            <w:vAlign w:val="bottom"/>
            <w:gridSpan w:val="2"/>
          </w:tcPr>
          <w:p>
            <w:pPr>
              <w:jc w:val="center"/>
              <w:ind w:left="370"/>
              <w:spacing w:after="0"/>
              <w:rPr>
                <w:sz w:val="20"/>
                <w:szCs w:val="20"/>
                <w:color w:val="auto"/>
              </w:rPr>
            </w:pPr>
            <w:r>
              <w:rPr>
                <w:rFonts w:ascii="Arial" w:cs="Arial" w:eastAsia="Arial" w:hAnsi="Arial"/>
                <w:sz w:val="18"/>
                <w:szCs w:val="18"/>
                <w:color w:val="auto"/>
                <w:w w:val="90"/>
              </w:rPr>
              <w:t>6,948,391.537</w:t>
            </w:r>
          </w:p>
        </w:tc>
        <w:tc>
          <w:tcPr>
            <w:tcW w:w="1960" w:type="dxa"/>
            <w:vAlign w:val="bottom"/>
            <w:gridSpan w:val="2"/>
          </w:tcPr>
          <w:p>
            <w:pPr>
              <w:jc w:val="right"/>
              <w:ind w:right="168"/>
              <w:spacing w:after="0"/>
              <w:rPr>
                <w:sz w:val="20"/>
                <w:szCs w:val="20"/>
                <w:color w:val="auto"/>
              </w:rPr>
            </w:pPr>
            <w:r>
              <w:rPr>
                <w:rFonts w:ascii="Arial" w:cs="Arial" w:eastAsia="Arial" w:hAnsi="Arial"/>
                <w:sz w:val="18"/>
                <w:szCs w:val="18"/>
                <w:color w:val="auto"/>
              </w:rPr>
              <w:t>127,994.134</w:t>
            </w:r>
          </w:p>
        </w:tc>
        <w:tc>
          <w:tcPr>
            <w:tcW w:w="2000" w:type="dxa"/>
            <w:vAlign w:val="bottom"/>
            <w:gridSpan w:val="2"/>
          </w:tcPr>
          <w:p>
            <w:pPr>
              <w:jc w:val="center"/>
              <w:ind w:left="350"/>
              <w:spacing w:after="0"/>
              <w:rPr>
                <w:sz w:val="20"/>
                <w:szCs w:val="20"/>
                <w:color w:val="auto"/>
              </w:rPr>
            </w:pPr>
            <w:r>
              <w:rPr>
                <w:rFonts w:ascii="Arial" w:cs="Arial" w:eastAsia="Arial" w:hAnsi="Arial"/>
                <w:sz w:val="18"/>
                <w:szCs w:val="18"/>
                <w:color w:val="auto"/>
                <w:w w:val="90"/>
              </w:rPr>
              <w:t>1,388,738.000</w:t>
            </w:r>
          </w:p>
        </w:tc>
      </w:tr>
      <w:tr>
        <w:trPr>
          <w:trHeight w:val="311"/>
        </w:trPr>
        <w:tc>
          <w:tcPr>
            <w:tcW w:w="1960" w:type="dxa"/>
            <w:vAlign w:val="bottom"/>
          </w:tcPr>
          <w:p>
            <w:pPr>
              <w:ind w:left="100"/>
              <w:spacing w:after="0"/>
              <w:rPr>
                <w:sz w:val="20"/>
                <w:szCs w:val="20"/>
                <w:color w:val="auto"/>
              </w:rPr>
            </w:pPr>
            <w:r>
              <w:rPr>
                <w:rFonts w:ascii="Arial" w:cs="Arial" w:eastAsia="Arial" w:hAnsi="Arial"/>
                <w:sz w:val="18"/>
                <w:szCs w:val="18"/>
                <w:color w:val="0D0E00"/>
              </w:rPr>
              <w:t>Jeffrey L. Wright</w:t>
            </w:r>
          </w:p>
        </w:tc>
        <w:tc>
          <w:tcPr>
            <w:tcW w:w="1900" w:type="dxa"/>
            <w:vAlign w:val="bottom"/>
            <w:gridSpan w:val="2"/>
          </w:tcPr>
          <w:p>
            <w:pPr>
              <w:jc w:val="center"/>
              <w:ind w:left="390"/>
              <w:spacing w:after="0"/>
              <w:rPr>
                <w:sz w:val="20"/>
                <w:szCs w:val="20"/>
                <w:color w:val="auto"/>
              </w:rPr>
            </w:pPr>
            <w:r>
              <w:rPr>
                <w:rFonts w:ascii="Arial" w:cs="Arial" w:eastAsia="Arial" w:hAnsi="Arial"/>
                <w:sz w:val="18"/>
                <w:szCs w:val="18"/>
                <w:color w:val="auto"/>
                <w:w w:val="88"/>
              </w:rPr>
              <w:t>6,833,111.537</w:t>
            </w:r>
          </w:p>
        </w:tc>
        <w:tc>
          <w:tcPr>
            <w:tcW w:w="1960" w:type="dxa"/>
            <w:vAlign w:val="bottom"/>
            <w:gridSpan w:val="2"/>
          </w:tcPr>
          <w:p>
            <w:pPr>
              <w:jc w:val="right"/>
              <w:ind w:right="168"/>
              <w:spacing w:after="0"/>
              <w:rPr>
                <w:sz w:val="20"/>
                <w:szCs w:val="20"/>
                <w:color w:val="auto"/>
              </w:rPr>
            </w:pPr>
            <w:r>
              <w:rPr>
                <w:rFonts w:ascii="Arial" w:cs="Arial" w:eastAsia="Arial" w:hAnsi="Arial"/>
                <w:sz w:val="18"/>
                <w:szCs w:val="18"/>
                <w:color w:val="auto"/>
              </w:rPr>
              <w:t>243,274.134</w:t>
            </w:r>
          </w:p>
        </w:tc>
        <w:tc>
          <w:tcPr>
            <w:tcW w:w="2000" w:type="dxa"/>
            <w:vAlign w:val="bottom"/>
            <w:gridSpan w:val="2"/>
          </w:tcPr>
          <w:p>
            <w:pPr>
              <w:jc w:val="center"/>
              <w:ind w:left="350"/>
              <w:spacing w:after="0"/>
              <w:rPr>
                <w:sz w:val="20"/>
                <w:szCs w:val="20"/>
                <w:color w:val="auto"/>
              </w:rPr>
            </w:pPr>
            <w:r>
              <w:rPr>
                <w:rFonts w:ascii="Arial" w:cs="Arial" w:eastAsia="Arial" w:hAnsi="Arial"/>
                <w:sz w:val="18"/>
                <w:szCs w:val="18"/>
                <w:color w:val="auto"/>
                <w:w w:val="90"/>
              </w:rPr>
              <w:t>1,388,738.000</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0D0E00"/>
        </w:rPr>
        <w:t>Proposal Two – Approval of 2010 Omnibus Incentive Plan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0D0E00"/>
        </w:rPr>
        <w:t>The Company’s common shareholders approved the 2010 Omnibus Incentive Plan, as set forth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58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0D0E00"/>
              </w:rPr>
              <w:t>For</w:t>
            </w:r>
          </w:p>
        </w:tc>
        <w:tc>
          <w:tcPr>
            <w:tcW w:w="42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0D0E00"/>
                <w:w w:val="93"/>
              </w:rPr>
              <w:t>Against</w:t>
            </w:r>
          </w:p>
        </w:tc>
        <w:tc>
          <w:tcPr>
            <w:tcW w:w="40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0D0E00"/>
                <w:w w:val="93"/>
              </w:rPr>
              <w:t>Abstain</w:t>
            </w:r>
          </w:p>
        </w:tc>
        <w:tc>
          <w:tcPr>
            <w:tcW w:w="42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0D0E00"/>
                <w:w w:val="92"/>
              </w:rPr>
              <w:t>Broker Non-Votes</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1580" w:type="dxa"/>
            <w:vAlign w:val="bottom"/>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420" w:type="dxa"/>
            <w:vAlign w:val="bottom"/>
            <w:vMerge w:val="restart"/>
          </w:tcPr>
          <w:p>
            <w:pPr>
              <w:spacing w:after="0"/>
              <w:rPr>
                <w:sz w:val="5"/>
                <w:szCs w:val="5"/>
                <w:color w:val="auto"/>
              </w:rPr>
            </w:pPr>
          </w:p>
        </w:tc>
        <w:tc>
          <w:tcPr>
            <w:tcW w:w="1840" w:type="dxa"/>
            <w:vAlign w:val="bottom"/>
            <w:tcBorders>
              <w:bottom w:val="single" w:sz="8" w:color="auto"/>
            </w:tcBorders>
          </w:tcPr>
          <w:p>
            <w:pPr>
              <w:spacing w:after="0"/>
              <w:rPr>
                <w:sz w:val="5"/>
                <w:szCs w:val="5"/>
                <w:color w:val="auto"/>
              </w:rPr>
            </w:pPr>
          </w:p>
        </w:tc>
        <w:tc>
          <w:tcPr>
            <w:tcW w:w="400" w:type="dxa"/>
            <w:vAlign w:val="bottom"/>
            <w:vMerge w:val="restart"/>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420" w:type="dxa"/>
            <w:vAlign w:val="bottom"/>
            <w:vMerge w:val="restart"/>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1580" w:type="dxa"/>
            <w:vAlign w:val="bottom"/>
          </w:tcPr>
          <w:p>
            <w:pPr>
              <w:spacing w:after="0"/>
              <w:rPr>
                <w:sz w:val="19"/>
                <w:szCs w:val="19"/>
                <w:color w:val="auto"/>
              </w:rPr>
            </w:pPr>
          </w:p>
        </w:tc>
        <w:tc>
          <w:tcPr>
            <w:tcW w:w="1660" w:type="dxa"/>
            <w:vAlign w:val="bottom"/>
          </w:tcPr>
          <w:p>
            <w:pPr>
              <w:jc w:val="right"/>
              <w:ind w:right="219"/>
              <w:spacing w:after="0"/>
              <w:rPr>
                <w:sz w:val="20"/>
                <w:szCs w:val="20"/>
                <w:color w:val="auto"/>
              </w:rPr>
            </w:pPr>
            <w:r>
              <w:rPr>
                <w:rFonts w:ascii="Arial" w:cs="Arial" w:eastAsia="Arial" w:hAnsi="Arial"/>
                <w:sz w:val="18"/>
                <w:szCs w:val="18"/>
                <w:color w:val="auto"/>
              </w:rPr>
              <w:t>5,850,884.703</w:t>
            </w:r>
          </w:p>
        </w:tc>
        <w:tc>
          <w:tcPr>
            <w:tcW w:w="420" w:type="dxa"/>
            <w:vAlign w:val="bottom"/>
            <w:vMerge w:val="continue"/>
          </w:tcPr>
          <w:p>
            <w:pPr>
              <w:spacing w:after="0"/>
              <w:rPr>
                <w:sz w:val="19"/>
                <w:szCs w:val="19"/>
                <w:color w:val="auto"/>
              </w:rPr>
            </w:pPr>
          </w:p>
        </w:tc>
        <w:tc>
          <w:tcPr>
            <w:tcW w:w="1840" w:type="dxa"/>
            <w:vAlign w:val="bottom"/>
          </w:tcPr>
          <w:p>
            <w:pPr>
              <w:jc w:val="right"/>
              <w:ind w:right="319"/>
              <w:spacing w:after="0"/>
              <w:rPr>
                <w:sz w:val="20"/>
                <w:szCs w:val="20"/>
                <w:color w:val="auto"/>
              </w:rPr>
            </w:pPr>
            <w:r>
              <w:rPr>
                <w:rFonts w:ascii="Arial" w:cs="Arial" w:eastAsia="Arial" w:hAnsi="Arial"/>
                <w:sz w:val="18"/>
                <w:szCs w:val="18"/>
                <w:color w:val="auto"/>
              </w:rPr>
              <w:t>1,189,350.596</w:t>
            </w:r>
          </w:p>
        </w:tc>
        <w:tc>
          <w:tcPr>
            <w:tcW w:w="400" w:type="dxa"/>
            <w:vAlign w:val="bottom"/>
            <w:vMerge w:val="continue"/>
          </w:tcPr>
          <w:p>
            <w:pPr>
              <w:spacing w:after="0"/>
              <w:rPr>
                <w:sz w:val="19"/>
                <w:szCs w:val="19"/>
                <w:color w:val="auto"/>
              </w:rPr>
            </w:pPr>
          </w:p>
        </w:tc>
        <w:tc>
          <w:tcPr>
            <w:tcW w:w="1720" w:type="dxa"/>
            <w:vAlign w:val="bottom"/>
          </w:tcPr>
          <w:p>
            <w:pPr>
              <w:jc w:val="right"/>
              <w:ind w:right="379"/>
              <w:spacing w:after="0"/>
              <w:rPr>
                <w:sz w:val="20"/>
                <w:szCs w:val="20"/>
                <w:color w:val="auto"/>
              </w:rPr>
            </w:pPr>
            <w:r>
              <w:rPr>
                <w:rFonts w:ascii="Arial" w:cs="Arial" w:eastAsia="Arial" w:hAnsi="Arial"/>
                <w:sz w:val="18"/>
                <w:szCs w:val="18"/>
                <w:color w:val="auto"/>
              </w:rPr>
              <w:t>36,150.372</w:t>
            </w:r>
          </w:p>
        </w:tc>
        <w:tc>
          <w:tcPr>
            <w:tcW w:w="420" w:type="dxa"/>
            <w:vAlign w:val="bottom"/>
            <w:vMerge w:val="continue"/>
          </w:tcPr>
          <w:p>
            <w:pPr>
              <w:spacing w:after="0"/>
              <w:rPr>
                <w:sz w:val="19"/>
                <w:szCs w:val="19"/>
                <w:color w:val="auto"/>
              </w:rPr>
            </w:pPr>
          </w:p>
        </w:tc>
        <w:tc>
          <w:tcPr>
            <w:tcW w:w="1800" w:type="dxa"/>
            <w:vAlign w:val="bottom"/>
          </w:tcPr>
          <w:p>
            <w:pPr>
              <w:jc w:val="right"/>
              <w:ind w:right="299"/>
              <w:spacing w:after="0"/>
              <w:rPr>
                <w:sz w:val="20"/>
                <w:szCs w:val="20"/>
                <w:color w:val="auto"/>
              </w:rPr>
            </w:pPr>
            <w:r>
              <w:rPr>
                <w:rFonts w:ascii="Arial" w:cs="Arial" w:eastAsia="Arial" w:hAnsi="Arial"/>
                <w:sz w:val="18"/>
                <w:szCs w:val="18"/>
                <w:color w:val="auto"/>
              </w:rPr>
              <w:t>1,388,738.000</w:t>
            </w: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15"/>
        </w:trPr>
        <w:tc>
          <w:tcPr>
            <w:tcW w:w="1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1580" w:type="dxa"/>
            <w:vAlign w:val="bottom"/>
            <w:tcBorders>
              <w:bottom w:val="single" w:sz="8" w:color="808080"/>
            </w:tcBorders>
          </w:tcPr>
          <w:p>
            <w:pPr>
              <w:spacing w:after="0"/>
              <w:rPr>
                <w:sz w:val="24"/>
                <w:szCs w:val="24"/>
                <w:color w:val="auto"/>
              </w:rPr>
            </w:pPr>
          </w:p>
        </w:tc>
        <w:tc>
          <w:tcPr>
            <w:tcW w:w="166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84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80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68" w:right="21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0D0E00"/>
        </w:rPr>
        <w:t>Proposal Three – Approval of Amended and Restated Articles of Incorporation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0D0E00"/>
        </w:rPr>
        <w:t>The Company’s common shareholders approved the amended and restated articles of incorporation, as set forth below:</w:t>
      </w:r>
    </w:p>
    <w:p>
      <w:pPr>
        <w:spacing w:after="0" w:line="248" w:lineRule="exact"/>
        <w:rPr>
          <w:sz w:val="20"/>
          <w:szCs w:val="20"/>
          <w:color w:val="auto"/>
        </w:rPr>
      </w:pPr>
    </w:p>
    <w:tbl>
      <w:tblPr>
        <w:tblLayout w:type="fixed"/>
        <w:tblInd w:w="1580" w:type="dxa"/>
        <w:tblCellMar>
          <w:top w:w="0" w:type="dxa"/>
          <w:left w:w="0" w:type="dxa"/>
          <w:bottom w:w="0" w:type="dxa"/>
          <w:right w:w="0" w:type="dxa"/>
        </w:tblCellMar>
      </w:tblPr>
      <w:tr>
        <w:trPr>
          <w:trHeight w:val="241"/>
        </w:trPr>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D0E00"/>
                <w:w w:val="96"/>
              </w:rPr>
              <w:t>For</w:t>
            </w:r>
          </w:p>
        </w:tc>
        <w:tc>
          <w:tcPr>
            <w:tcW w:w="420" w:type="dxa"/>
            <w:vAlign w:val="bottom"/>
          </w:tcPr>
          <w:p>
            <w:pPr>
              <w:spacing w:after="0"/>
              <w:rPr>
                <w:sz w:val="20"/>
                <w:szCs w:val="20"/>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D0E00"/>
                <w:w w:val="90"/>
              </w:rPr>
              <w:t>Against</w:t>
            </w:r>
          </w:p>
        </w:tc>
        <w:tc>
          <w:tcPr>
            <w:tcW w:w="400" w:type="dxa"/>
            <w:vAlign w:val="bottom"/>
          </w:tcPr>
          <w:p>
            <w:pPr>
              <w:spacing w:after="0"/>
              <w:rPr>
                <w:sz w:val="20"/>
                <w:szCs w:val="2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D0E00"/>
                <w:w w:val="90"/>
              </w:rPr>
              <w:t>Abstain</w:t>
            </w:r>
          </w:p>
        </w:tc>
        <w:tc>
          <w:tcPr>
            <w:tcW w:w="420" w:type="dxa"/>
            <w:vAlign w:val="bottom"/>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D0E00"/>
                <w:w w:val="90"/>
              </w:rPr>
              <w:t>Broker Non-Votes</w:t>
            </w:r>
          </w:p>
        </w:tc>
      </w:tr>
      <w:tr>
        <w:trPr>
          <w:trHeight w:val="230"/>
        </w:trPr>
        <w:tc>
          <w:tcPr>
            <w:tcW w:w="1660" w:type="dxa"/>
            <w:vAlign w:val="bottom"/>
          </w:tcPr>
          <w:p>
            <w:pPr>
              <w:jc w:val="right"/>
              <w:ind w:right="210"/>
              <w:spacing w:after="0"/>
              <w:rPr>
                <w:sz w:val="20"/>
                <w:szCs w:val="20"/>
                <w:color w:val="auto"/>
              </w:rPr>
            </w:pPr>
            <w:r>
              <w:rPr>
                <w:rFonts w:ascii="Arial" w:cs="Arial" w:eastAsia="Arial" w:hAnsi="Arial"/>
                <w:sz w:val="18"/>
                <w:szCs w:val="18"/>
                <w:color w:val="auto"/>
              </w:rPr>
              <w:t>8,176,375.862</w:t>
            </w:r>
          </w:p>
        </w:tc>
        <w:tc>
          <w:tcPr>
            <w:tcW w:w="420" w:type="dxa"/>
            <w:vAlign w:val="bottom"/>
          </w:tcPr>
          <w:p>
            <w:pPr>
              <w:spacing w:after="0"/>
              <w:rPr>
                <w:sz w:val="20"/>
                <w:szCs w:val="20"/>
                <w:color w:val="auto"/>
              </w:rPr>
            </w:pPr>
          </w:p>
        </w:tc>
        <w:tc>
          <w:tcPr>
            <w:tcW w:w="1840" w:type="dxa"/>
            <w:vAlign w:val="bottom"/>
          </w:tcPr>
          <w:p>
            <w:pPr>
              <w:jc w:val="right"/>
              <w:ind w:right="390"/>
              <w:spacing w:after="0"/>
              <w:rPr>
                <w:sz w:val="20"/>
                <w:szCs w:val="20"/>
                <w:color w:val="auto"/>
              </w:rPr>
            </w:pPr>
            <w:r>
              <w:rPr>
                <w:rFonts w:ascii="Arial" w:cs="Arial" w:eastAsia="Arial" w:hAnsi="Arial"/>
                <w:sz w:val="18"/>
                <w:szCs w:val="18"/>
                <w:color w:val="auto"/>
              </w:rPr>
              <w:t>129,155.437</w:t>
            </w:r>
          </w:p>
        </w:tc>
        <w:tc>
          <w:tcPr>
            <w:tcW w:w="400" w:type="dxa"/>
            <w:vAlign w:val="bottom"/>
          </w:tcPr>
          <w:p>
            <w:pPr>
              <w:spacing w:after="0"/>
              <w:rPr>
                <w:sz w:val="20"/>
                <w:szCs w:val="20"/>
                <w:color w:val="auto"/>
              </w:rPr>
            </w:pPr>
          </w:p>
        </w:tc>
        <w:tc>
          <w:tcPr>
            <w:tcW w:w="1720" w:type="dxa"/>
            <w:vAlign w:val="bottom"/>
          </w:tcPr>
          <w:p>
            <w:pPr>
              <w:jc w:val="right"/>
              <w:ind w:right="310"/>
              <w:spacing w:after="0"/>
              <w:rPr>
                <w:sz w:val="20"/>
                <w:szCs w:val="20"/>
                <w:color w:val="auto"/>
              </w:rPr>
            </w:pPr>
            <w:r>
              <w:rPr>
                <w:rFonts w:ascii="Arial" w:cs="Arial" w:eastAsia="Arial" w:hAnsi="Arial"/>
                <w:sz w:val="18"/>
                <w:szCs w:val="18"/>
                <w:color w:val="auto"/>
              </w:rPr>
              <w:t>159,952.372</w:t>
            </w:r>
          </w:p>
        </w:tc>
        <w:tc>
          <w:tcPr>
            <w:tcW w:w="42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4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0D0E00"/>
        </w:rPr>
        <w:t>The above proposals submitted to vote of security holders at the Annual Meeting are described in more detail in the Company’s definitive proxy statement filed with the Securities and Exchange Commission on June 16, 2010.</w:t>
      </w:r>
    </w:p>
    <w:p>
      <w:pPr>
        <w:spacing w:after="0" w:line="190"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0D0E00"/>
        </w:rPr>
        <w:t>ITEM 6.</w:t>
      </w:r>
      <w:r>
        <w:rPr>
          <w:sz w:val="20"/>
          <w:szCs w:val="20"/>
          <w:color w:val="auto"/>
        </w:rPr>
        <w:tab/>
      </w:r>
      <w:r>
        <w:rPr>
          <w:rFonts w:ascii="Arial" w:cs="Arial" w:eastAsia="Arial" w:hAnsi="Arial"/>
          <w:sz w:val="21"/>
          <w:szCs w:val="21"/>
          <w:color w:val="0D0E00"/>
        </w:rPr>
        <w:t>EXHIBITS</w:t>
      </w:r>
    </w:p>
    <w:p>
      <w:pPr>
        <w:spacing w:after="0" w:line="240" w:lineRule="exact"/>
        <w:rPr>
          <w:sz w:val="20"/>
          <w:szCs w:val="20"/>
          <w:color w:val="auto"/>
        </w:rPr>
      </w:pPr>
    </w:p>
    <w:p>
      <w:pPr>
        <w:ind w:left="4580"/>
        <w:spacing w:after="0"/>
        <w:rPr>
          <w:sz w:val="20"/>
          <w:szCs w:val="20"/>
          <w:color w:val="auto"/>
        </w:rPr>
      </w:pPr>
      <w:r>
        <w:rPr>
          <w:rFonts w:ascii="Arial" w:cs="Arial" w:eastAsia="Arial" w:hAnsi="Arial"/>
          <w:sz w:val="18"/>
          <w:szCs w:val="18"/>
          <w:color w:val="0D0E00"/>
        </w:rPr>
        <w:t>Exhibit Index</w:t>
      </w:r>
    </w:p>
    <w:p>
      <w:pPr>
        <w:sectPr>
          <w:pgSz w:w="11900" w:h="16838" w:orient="portrait"/>
          <w:cols w:equalWidth="0" w:num="1">
            <w:col w:w="11140"/>
          </w:cols>
          <w:pgMar w:left="240" w:top="368" w:right="519" w:bottom="1440" w:gutter="0" w:footer="0" w:header="0"/>
        </w:sectPr>
      </w:pPr>
    </w:p>
    <w:p>
      <w:pPr>
        <w:spacing w:after="0" w:line="262"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540" w:type="dxa"/>
            <w:vAlign w:val="bottom"/>
            <w:tcBorders>
              <w:bottom w:val="single" w:sz="8" w:color="0D0E00"/>
            </w:tcBorders>
          </w:tcPr>
          <w:p>
            <w:pPr>
              <w:jc w:val="right"/>
              <w:spacing w:after="0"/>
              <w:rPr>
                <w:sz w:val="20"/>
                <w:szCs w:val="20"/>
                <w:color w:val="auto"/>
              </w:rPr>
            </w:pPr>
            <w:r>
              <w:rPr>
                <w:rFonts w:ascii="Arial" w:cs="Arial" w:eastAsia="Arial" w:hAnsi="Arial"/>
                <w:sz w:val="18"/>
                <w:szCs w:val="18"/>
                <w:color w:val="0D0E00"/>
                <w:w w:val="96"/>
              </w:rPr>
              <w:t>Exhibit</w:t>
            </w: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840" w:type="dxa"/>
            <w:vAlign w:val="bottom"/>
            <w:tcBorders>
              <w:bottom w:val="single" w:sz="8" w:color="0D0E00"/>
            </w:tcBorders>
          </w:tcPr>
          <w:p>
            <w:pPr>
              <w:spacing w:after="0"/>
              <w:rPr>
                <w:sz w:val="20"/>
                <w:szCs w:val="20"/>
                <w:color w:val="auto"/>
              </w:rPr>
            </w:pPr>
            <w:r>
              <w:rPr>
                <w:rFonts w:ascii="Arial" w:cs="Arial" w:eastAsia="Arial" w:hAnsi="Arial"/>
                <w:sz w:val="18"/>
                <w:szCs w:val="18"/>
                <w:color w:val="0D0E00"/>
                <w:w w:val="91"/>
              </w:rPr>
              <w:t>Description</w:t>
            </w:r>
          </w:p>
        </w:tc>
        <w:tc>
          <w:tcPr>
            <w:tcW w:w="2240" w:type="dxa"/>
            <w:vAlign w:val="bottom"/>
          </w:tcPr>
          <w:p>
            <w:pPr>
              <w:spacing w:after="0"/>
              <w:rPr>
                <w:sz w:val="17"/>
                <w:szCs w:val="17"/>
                <w:color w:val="auto"/>
              </w:rPr>
            </w:pPr>
          </w:p>
        </w:tc>
      </w:tr>
      <w:tr>
        <w:trPr>
          <w:trHeight w:val="264"/>
        </w:trPr>
        <w:tc>
          <w:tcPr>
            <w:tcW w:w="540" w:type="dxa"/>
            <w:vAlign w:val="bottom"/>
          </w:tcPr>
          <w:p>
            <w:pPr>
              <w:jc w:val="right"/>
              <w:spacing w:after="0"/>
              <w:rPr>
                <w:sz w:val="20"/>
                <w:szCs w:val="20"/>
                <w:color w:val="auto"/>
              </w:rPr>
            </w:pPr>
            <w:r>
              <w:rPr>
                <w:rFonts w:ascii="Arial" w:cs="Arial" w:eastAsia="Arial" w:hAnsi="Arial"/>
                <w:sz w:val="18"/>
                <w:szCs w:val="18"/>
                <w:color w:val="0D0E00"/>
              </w:rPr>
              <w:t>3.1</w:t>
            </w:r>
          </w:p>
        </w:tc>
        <w:tc>
          <w:tcPr>
            <w:tcW w:w="40" w:type="dxa"/>
            <w:vAlign w:val="bottom"/>
          </w:tcPr>
          <w:p>
            <w:pPr>
              <w:spacing w:after="0"/>
              <w:rPr>
                <w:sz w:val="22"/>
                <w:szCs w:val="22"/>
                <w:color w:val="auto"/>
              </w:rPr>
            </w:pPr>
          </w:p>
        </w:tc>
        <w:tc>
          <w:tcPr>
            <w:tcW w:w="6500" w:type="dxa"/>
            <w:vAlign w:val="bottom"/>
            <w:gridSpan w:val="4"/>
          </w:tcPr>
          <w:p>
            <w:pPr>
              <w:ind w:left="60"/>
              <w:spacing w:after="0"/>
              <w:rPr>
                <w:sz w:val="20"/>
                <w:szCs w:val="20"/>
                <w:color w:val="auto"/>
              </w:rPr>
            </w:pPr>
            <w:r>
              <w:rPr>
                <w:rFonts w:ascii="Arial" w:cs="Arial" w:eastAsia="Arial" w:hAnsi="Arial"/>
                <w:sz w:val="18"/>
                <w:szCs w:val="18"/>
                <w:color w:val="0D0E00"/>
              </w:rPr>
              <w:t>Amended and Restated Articles of Incorporation.</w:t>
            </w:r>
          </w:p>
        </w:tc>
      </w:tr>
      <w:tr>
        <w:trPr>
          <w:trHeight w:val="243"/>
        </w:trPr>
        <w:tc>
          <w:tcPr>
            <w:tcW w:w="540" w:type="dxa"/>
            <w:vAlign w:val="bottom"/>
          </w:tcPr>
          <w:p>
            <w:pPr>
              <w:jc w:val="right"/>
              <w:spacing w:after="0"/>
              <w:rPr>
                <w:sz w:val="20"/>
                <w:szCs w:val="20"/>
                <w:color w:val="auto"/>
              </w:rPr>
            </w:pPr>
            <w:r>
              <w:rPr>
                <w:rFonts w:ascii="Arial" w:cs="Arial" w:eastAsia="Arial" w:hAnsi="Arial"/>
                <w:sz w:val="18"/>
                <w:szCs w:val="18"/>
                <w:color w:val="0D0E00"/>
              </w:rPr>
              <w:t>3.2</w:t>
            </w:r>
          </w:p>
        </w:tc>
        <w:tc>
          <w:tcPr>
            <w:tcW w:w="40" w:type="dxa"/>
            <w:vAlign w:val="bottom"/>
          </w:tcPr>
          <w:p>
            <w:pPr>
              <w:spacing w:after="0"/>
              <w:rPr>
                <w:sz w:val="21"/>
                <w:szCs w:val="21"/>
                <w:color w:val="auto"/>
              </w:rPr>
            </w:pPr>
          </w:p>
        </w:tc>
        <w:tc>
          <w:tcPr>
            <w:tcW w:w="6500" w:type="dxa"/>
            <w:vAlign w:val="bottom"/>
            <w:gridSpan w:val="4"/>
          </w:tcPr>
          <w:p>
            <w:pPr>
              <w:ind w:left="60"/>
              <w:spacing w:after="0"/>
              <w:rPr>
                <w:sz w:val="20"/>
                <w:szCs w:val="20"/>
                <w:color w:val="auto"/>
              </w:rPr>
            </w:pPr>
            <w:r>
              <w:rPr>
                <w:rFonts w:ascii="Arial" w:cs="Arial" w:eastAsia="Arial" w:hAnsi="Arial"/>
                <w:sz w:val="18"/>
                <w:szCs w:val="18"/>
                <w:color w:val="0D0E00"/>
              </w:rPr>
              <w:t>Amended and Restated By-Laws. (1)</w:t>
            </w:r>
          </w:p>
        </w:tc>
      </w:tr>
      <w:tr>
        <w:trPr>
          <w:trHeight w:val="243"/>
        </w:trPr>
        <w:tc>
          <w:tcPr>
            <w:tcW w:w="580" w:type="dxa"/>
            <w:vAlign w:val="bottom"/>
            <w:gridSpan w:val="2"/>
          </w:tcPr>
          <w:p>
            <w:pPr>
              <w:jc w:val="right"/>
              <w:ind w:right="40"/>
              <w:spacing w:after="0"/>
              <w:rPr>
                <w:sz w:val="20"/>
                <w:szCs w:val="20"/>
                <w:color w:val="auto"/>
              </w:rPr>
            </w:pPr>
            <w:r>
              <w:rPr>
                <w:rFonts w:ascii="Arial" w:cs="Arial" w:eastAsia="Arial" w:hAnsi="Arial"/>
                <w:sz w:val="18"/>
                <w:szCs w:val="18"/>
                <w:color w:val="0D0E00"/>
              </w:rPr>
              <w:t>10.1</w:t>
            </w:r>
          </w:p>
        </w:tc>
        <w:tc>
          <w:tcPr>
            <w:tcW w:w="6500" w:type="dxa"/>
            <w:vAlign w:val="bottom"/>
            <w:gridSpan w:val="4"/>
          </w:tcPr>
          <w:p>
            <w:pPr>
              <w:ind w:left="60"/>
              <w:spacing w:after="0"/>
              <w:rPr>
                <w:sz w:val="20"/>
                <w:szCs w:val="20"/>
                <w:color w:val="auto"/>
              </w:rPr>
            </w:pPr>
            <w:r>
              <w:rPr>
                <w:rFonts w:ascii="Arial" w:cs="Arial" w:eastAsia="Arial" w:hAnsi="Arial"/>
                <w:sz w:val="18"/>
                <w:szCs w:val="18"/>
                <w:color w:val="0D0E00"/>
                <w:w w:val="98"/>
              </w:rPr>
              <w:t>Form of Performance-Based Unit Award Notice and Restricted Stock Agreement.*</w:t>
            </w:r>
          </w:p>
        </w:tc>
      </w:tr>
      <w:tr>
        <w:trPr>
          <w:trHeight w:val="243"/>
        </w:trPr>
        <w:tc>
          <w:tcPr>
            <w:tcW w:w="580" w:type="dxa"/>
            <w:vAlign w:val="bottom"/>
            <w:gridSpan w:val="2"/>
          </w:tcPr>
          <w:p>
            <w:pPr>
              <w:jc w:val="right"/>
              <w:ind w:right="40"/>
              <w:spacing w:after="0"/>
              <w:rPr>
                <w:sz w:val="20"/>
                <w:szCs w:val="20"/>
                <w:color w:val="auto"/>
              </w:rPr>
            </w:pPr>
            <w:r>
              <w:rPr>
                <w:rFonts w:ascii="Arial" w:cs="Arial" w:eastAsia="Arial" w:hAnsi="Arial"/>
                <w:sz w:val="18"/>
                <w:szCs w:val="18"/>
                <w:color w:val="0D0E00"/>
              </w:rPr>
              <w:t>10.2</w:t>
            </w:r>
          </w:p>
        </w:tc>
        <w:tc>
          <w:tcPr>
            <w:tcW w:w="6500" w:type="dxa"/>
            <w:vAlign w:val="bottom"/>
            <w:gridSpan w:val="4"/>
          </w:tcPr>
          <w:p>
            <w:pPr>
              <w:ind w:left="60"/>
              <w:spacing w:after="0"/>
              <w:rPr>
                <w:sz w:val="20"/>
                <w:szCs w:val="20"/>
                <w:color w:val="auto"/>
              </w:rPr>
            </w:pPr>
            <w:r>
              <w:rPr>
                <w:rFonts w:ascii="Arial" w:cs="Arial" w:eastAsia="Arial" w:hAnsi="Arial"/>
                <w:sz w:val="18"/>
                <w:szCs w:val="18"/>
                <w:color w:val="0D0E00"/>
              </w:rPr>
              <w:t>Form of Non-Employee Director Restricted Stock Agreement.*</w:t>
            </w:r>
          </w:p>
        </w:tc>
      </w:tr>
      <w:tr>
        <w:trPr>
          <w:trHeight w:val="243"/>
        </w:trPr>
        <w:tc>
          <w:tcPr>
            <w:tcW w:w="580" w:type="dxa"/>
            <w:vAlign w:val="bottom"/>
            <w:gridSpan w:val="2"/>
          </w:tcPr>
          <w:p>
            <w:pPr>
              <w:jc w:val="right"/>
              <w:ind w:right="40"/>
              <w:spacing w:after="0"/>
              <w:rPr>
                <w:sz w:val="20"/>
                <w:szCs w:val="20"/>
                <w:color w:val="auto"/>
              </w:rPr>
            </w:pPr>
            <w:r>
              <w:rPr>
                <w:rFonts w:ascii="Arial" w:cs="Arial" w:eastAsia="Arial" w:hAnsi="Arial"/>
                <w:sz w:val="18"/>
                <w:szCs w:val="18"/>
                <w:color w:val="0D0E00"/>
              </w:rPr>
              <w:t>31.1</w:t>
            </w:r>
          </w:p>
        </w:tc>
        <w:tc>
          <w:tcPr>
            <w:tcW w:w="6500" w:type="dxa"/>
            <w:vAlign w:val="bottom"/>
            <w:gridSpan w:val="4"/>
          </w:tcPr>
          <w:p>
            <w:pPr>
              <w:ind w:left="60"/>
              <w:spacing w:after="0"/>
              <w:rPr>
                <w:sz w:val="20"/>
                <w:szCs w:val="20"/>
                <w:color w:val="auto"/>
              </w:rPr>
            </w:pPr>
            <w:r>
              <w:rPr>
                <w:rFonts w:ascii="Arial" w:cs="Arial" w:eastAsia="Arial" w:hAnsi="Arial"/>
                <w:sz w:val="18"/>
                <w:szCs w:val="18"/>
                <w:color w:val="auto"/>
                <w:w w:val="91"/>
              </w:rPr>
              <w:t>Certification by Chief Executive Officer pursuant to Rule 13a-14(a) of the Exchange Act.</w:t>
            </w:r>
          </w:p>
        </w:tc>
      </w:tr>
      <w:tr>
        <w:trPr>
          <w:trHeight w:val="243"/>
        </w:trPr>
        <w:tc>
          <w:tcPr>
            <w:tcW w:w="580" w:type="dxa"/>
            <w:vAlign w:val="bottom"/>
            <w:gridSpan w:val="2"/>
          </w:tcPr>
          <w:p>
            <w:pPr>
              <w:jc w:val="right"/>
              <w:ind w:right="40"/>
              <w:spacing w:after="0"/>
              <w:rPr>
                <w:sz w:val="20"/>
                <w:szCs w:val="20"/>
                <w:color w:val="auto"/>
              </w:rPr>
            </w:pPr>
            <w:r>
              <w:rPr>
                <w:rFonts w:ascii="Arial" w:cs="Arial" w:eastAsia="Arial" w:hAnsi="Arial"/>
                <w:sz w:val="18"/>
                <w:szCs w:val="18"/>
                <w:color w:val="0D0E00"/>
              </w:rPr>
              <w:t>31.2</w:t>
            </w:r>
          </w:p>
        </w:tc>
        <w:tc>
          <w:tcPr>
            <w:tcW w:w="6500" w:type="dxa"/>
            <w:vAlign w:val="bottom"/>
            <w:gridSpan w:val="4"/>
          </w:tcPr>
          <w:p>
            <w:pPr>
              <w:ind w:left="60"/>
              <w:spacing w:after="0"/>
              <w:rPr>
                <w:sz w:val="20"/>
                <w:szCs w:val="20"/>
                <w:color w:val="auto"/>
              </w:rPr>
            </w:pPr>
            <w:r>
              <w:rPr>
                <w:rFonts w:ascii="Arial" w:cs="Arial" w:eastAsia="Arial" w:hAnsi="Arial"/>
                <w:sz w:val="18"/>
                <w:szCs w:val="18"/>
                <w:color w:val="auto"/>
                <w:w w:val="92"/>
              </w:rPr>
              <w:t>Certification by Chief Financial Officer pursuant to Rule 13a-14(a) of the Exchange Act.</w:t>
            </w:r>
          </w:p>
        </w:tc>
      </w:tr>
      <w:tr>
        <w:trPr>
          <w:trHeight w:val="243"/>
        </w:trPr>
        <w:tc>
          <w:tcPr>
            <w:tcW w:w="580" w:type="dxa"/>
            <w:vAlign w:val="bottom"/>
            <w:gridSpan w:val="2"/>
          </w:tcPr>
          <w:p>
            <w:pPr>
              <w:jc w:val="right"/>
              <w:ind w:right="40"/>
              <w:spacing w:after="0"/>
              <w:rPr>
                <w:sz w:val="20"/>
                <w:szCs w:val="20"/>
                <w:color w:val="auto"/>
              </w:rPr>
            </w:pPr>
            <w:r>
              <w:rPr>
                <w:rFonts w:ascii="Arial" w:cs="Arial" w:eastAsia="Arial" w:hAnsi="Arial"/>
                <w:sz w:val="18"/>
                <w:szCs w:val="18"/>
                <w:color w:val="0D0E00"/>
              </w:rPr>
              <w:t>32.1</w:t>
            </w:r>
          </w:p>
        </w:tc>
        <w:tc>
          <w:tcPr>
            <w:tcW w:w="1020" w:type="dxa"/>
            <w:vAlign w:val="bottom"/>
          </w:tcPr>
          <w:p>
            <w:pPr>
              <w:ind w:left="60"/>
              <w:spacing w:after="0"/>
              <w:rPr>
                <w:sz w:val="20"/>
                <w:szCs w:val="20"/>
                <w:color w:val="auto"/>
              </w:rPr>
            </w:pPr>
            <w:r>
              <w:rPr>
                <w:rFonts w:ascii="Arial" w:cs="Arial" w:eastAsia="Arial" w:hAnsi="Arial"/>
                <w:sz w:val="18"/>
                <w:szCs w:val="18"/>
                <w:color w:val="auto"/>
                <w:w w:val="89"/>
              </w:rPr>
              <w:t>Section 1350</w:t>
            </w:r>
          </w:p>
        </w:tc>
        <w:tc>
          <w:tcPr>
            <w:tcW w:w="5480" w:type="dxa"/>
            <w:vAlign w:val="bottom"/>
            <w:gridSpan w:val="3"/>
          </w:tcPr>
          <w:p>
            <w:pPr>
              <w:ind w:left="20"/>
              <w:spacing w:after="0"/>
              <w:rPr>
                <w:sz w:val="20"/>
                <w:szCs w:val="20"/>
                <w:color w:val="auto"/>
              </w:rPr>
            </w:pPr>
            <w:r>
              <w:rPr>
                <w:rFonts w:ascii="Arial" w:cs="Arial" w:eastAsia="Arial" w:hAnsi="Arial"/>
                <w:sz w:val="18"/>
                <w:szCs w:val="18"/>
                <w:color w:val="auto"/>
              </w:rPr>
              <w:t>Certification by Chief Executive Officer.</w:t>
            </w:r>
          </w:p>
        </w:tc>
      </w:tr>
      <w:tr>
        <w:trPr>
          <w:trHeight w:val="243"/>
        </w:trPr>
        <w:tc>
          <w:tcPr>
            <w:tcW w:w="580" w:type="dxa"/>
            <w:vAlign w:val="bottom"/>
            <w:gridSpan w:val="2"/>
          </w:tcPr>
          <w:p>
            <w:pPr>
              <w:jc w:val="right"/>
              <w:ind w:right="40"/>
              <w:spacing w:after="0"/>
              <w:rPr>
                <w:sz w:val="20"/>
                <w:szCs w:val="20"/>
                <w:color w:val="auto"/>
              </w:rPr>
            </w:pPr>
            <w:r>
              <w:rPr>
                <w:rFonts w:ascii="Arial" w:cs="Arial" w:eastAsia="Arial" w:hAnsi="Arial"/>
                <w:sz w:val="18"/>
                <w:szCs w:val="18"/>
                <w:color w:val="0D0E00"/>
              </w:rPr>
              <w:t>32.2</w:t>
            </w:r>
          </w:p>
        </w:tc>
        <w:tc>
          <w:tcPr>
            <w:tcW w:w="1020" w:type="dxa"/>
            <w:vAlign w:val="bottom"/>
          </w:tcPr>
          <w:p>
            <w:pPr>
              <w:ind w:left="60"/>
              <w:spacing w:after="0"/>
              <w:rPr>
                <w:sz w:val="20"/>
                <w:szCs w:val="20"/>
                <w:color w:val="auto"/>
              </w:rPr>
            </w:pPr>
            <w:r>
              <w:rPr>
                <w:rFonts w:ascii="Arial" w:cs="Arial" w:eastAsia="Arial" w:hAnsi="Arial"/>
                <w:sz w:val="18"/>
                <w:szCs w:val="18"/>
                <w:color w:val="auto"/>
                <w:w w:val="89"/>
              </w:rPr>
              <w:t>Section 1350</w:t>
            </w:r>
          </w:p>
        </w:tc>
        <w:tc>
          <w:tcPr>
            <w:tcW w:w="5480" w:type="dxa"/>
            <w:vAlign w:val="bottom"/>
            <w:gridSpan w:val="3"/>
          </w:tcPr>
          <w:p>
            <w:pPr>
              <w:ind w:left="20"/>
              <w:spacing w:after="0"/>
              <w:rPr>
                <w:sz w:val="20"/>
                <w:szCs w:val="20"/>
                <w:color w:val="auto"/>
              </w:rPr>
            </w:pPr>
            <w:r>
              <w:rPr>
                <w:rFonts w:ascii="Arial" w:cs="Arial" w:eastAsia="Arial" w:hAnsi="Arial"/>
                <w:sz w:val="18"/>
                <w:szCs w:val="18"/>
                <w:color w:val="auto"/>
              </w:rPr>
              <w:t>Certification by Chief Financial Officer.</w:t>
            </w:r>
          </w:p>
        </w:tc>
      </w:tr>
    </w:tbl>
    <w:p>
      <w:pPr>
        <w:spacing w:after="0" w:line="256" w:lineRule="exact"/>
        <w:rPr>
          <w:sz w:val="20"/>
          <w:szCs w:val="20"/>
          <w:color w:val="auto"/>
        </w:rPr>
      </w:pPr>
    </w:p>
    <w:p>
      <w:pPr>
        <w:ind w:left="640"/>
        <w:spacing w:after="0"/>
        <w:rPr>
          <w:sz w:val="20"/>
          <w:szCs w:val="20"/>
          <w:color w:val="auto"/>
        </w:rPr>
      </w:pPr>
      <w:r>
        <w:rPr>
          <w:rFonts w:ascii="Arial" w:cs="Arial" w:eastAsia="Arial" w:hAnsi="Arial"/>
          <w:sz w:val="16"/>
          <w:szCs w:val="16"/>
          <w:color w:val="0D0E00"/>
        </w:rPr>
        <w:t>* Management contract or compensatory plan or arrangement required to be filed as an exhibit to this Form 10-Q.</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jc w:val="center"/>
        <w:ind w:right="60"/>
        <w:spacing w:after="0"/>
        <w:rPr>
          <w:sz w:val="20"/>
          <w:szCs w:val="20"/>
          <w:color w:val="auto"/>
        </w:rPr>
      </w:pPr>
      <w:r>
        <w:rPr>
          <w:rFonts w:ascii="Arial" w:cs="Arial" w:eastAsia="Arial" w:hAnsi="Arial"/>
          <w:sz w:val="18"/>
          <w:szCs w:val="18"/>
          <w:u w:val="single" w:color="auto"/>
          <w:color w:val="0D0E00"/>
        </w:rPr>
        <w:t>Method of Filing</w:t>
      </w:r>
    </w:p>
    <w:p>
      <w:pPr>
        <w:spacing w:after="0" w:line="63" w:lineRule="exact"/>
        <w:rPr>
          <w:sz w:val="20"/>
          <w:szCs w:val="20"/>
          <w:color w:val="auto"/>
        </w:rPr>
      </w:pPr>
    </w:p>
    <w:p>
      <w:pPr>
        <w:jc w:val="center"/>
        <w:ind w:right="60"/>
        <w:spacing w:after="0" w:line="325" w:lineRule="auto"/>
        <w:rPr>
          <w:sz w:val="20"/>
          <w:szCs w:val="20"/>
          <w:color w:val="auto"/>
        </w:rPr>
      </w:pPr>
      <w:r>
        <w:rPr>
          <w:rFonts w:ascii="Arial" w:cs="Arial" w:eastAsia="Arial" w:hAnsi="Arial"/>
          <w:sz w:val="16"/>
          <w:szCs w:val="16"/>
          <w:color w:val="auto"/>
        </w:rPr>
        <w:t>Filed Electronically Incorporated by Reference Filed Electronically Filed Electronically Filed Electronically Filed Electronically Filed Electronically Filed Electronically</w:t>
      </w:r>
    </w:p>
    <w:p>
      <w:pPr>
        <w:spacing w:after="0" w:line="551" w:lineRule="exact"/>
        <w:rPr>
          <w:sz w:val="20"/>
          <w:szCs w:val="20"/>
          <w:color w:val="auto"/>
        </w:rPr>
      </w:pPr>
    </w:p>
    <w:p>
      <w:pPr>
        <w:sectPr>
          <w:pgSz w:w="11900" w:h="16838" w:orient="portrait"/>
          <w:cols w:equalWidth="0" w:num="2">
            <w:col w:w="8840" w:space="320"/>
            <w:col w:w="1980"/>
          </w:cols>
          <w:pgMar w:left="240" w:top="368" w:right="519" w:bottom="1440" w:gutter="0" w:footer="0" w:header="0"/>
          <w:type w:val="continuous"/>
        </w:sectPr>
      </w:pPr>
    </w:p>
    <w:p>
      <w:pPr>
        <w:spacing w:after="0" w:line="75" w:lineRule="exact"/>
        <w:rPr>
          <w:sz w:val="20"/>
          <w:szCs w:val="20"/>
          <w:color w:val="auto"/>
        </w:rPr>
      </w:pPr>
    </w:p>
    <w:p>
      <w:pPr>
        <w:ind w:left="640"/>
        <w:spacing w:after="0"/>
        <w:rPr>
          <w:sz w:val="20"/>
          <w:szCs w:val="20"/>
          <w:color w:val="auto"/>
        </w:rPr>
      </w:pPr>
      <w:r>
        <w:rPr>
          <w:rFonts w:ascii="Arial" w:cs="Arial" w:eastAsia="Arial" w:hAnsi="Arial"/>
          <w:sz w:val="16"/>
          <w:szCs w:val="16"/>
          <w:color w:val="0D0E00"/>
        </w:rPr>
        <w:t>(1) Incorporated by reference to Exhibit 3.1 to the Company’s Current Report on Form 8-K dated October 28, 2009 and filed November 3,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140"/>
          </w:cols>
          <w:pgMar w:left="240" w:top="368" w:right="51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9"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0D0E00"/>
        </w:rPr>
        <w:t>SIGNATURES</w:t>
      </w:r>
    </w:p>
    <w:p>
      <w:pPr>
        <w:spacing w:after="0" w:line="246" w:lineRule="exact"/>
        <w:rPr>
          <w:sz w:val="20"/>
          <w:szCs w:val="20"/>
          <w:color w:val="auto"/>
        </w:rPr>
      </w:pPr>
    </w:p>
    <w:p>
      <w:pPr>
        <w:spacing w:after="0" w:line="277" w:lineRule="auto"/>
        <w:rPr>
          <w:sz w:val="20"/>
          <w:szCs w:val="20"/>
          <w:color w:val="auto"/>
        </w:rPr>
      </w:pPr>
      <w:r>
        <w:rPr>
          <w:rFonts w:ascii="Arial" w:cs="Arial" w:eastAsia="Arial" w:hAnsi="Arial"/>
          <w:sz w:val="18"/>
          <w:szCs w:val="18"/>
          <w:color w:val="0D0E00"/>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4660"/>
        <w:spacing w:after="0"/>
        <w:rPr>
          <w:sz w:val="20"/>
          <w:szCs w:val="20"/>
          <w:color w:val="auto"/>
        </w:rPr>
      </w:pPr>
      <w:r>
        <w:rPr>
          <w:rFonts w:ascii="Arial" w:cs="Arial" w:eastAsia="Arial" w:hAnsi="Arial"/>
          <w:sz w:val="18"/>
          <w:szCs w:val="18"/>
          <w:color w:val="0D0E00"/>
        </w:rPr>
        <w:t>HAWKINS, INC.</w:t>
      </w:r>
    </w:p>
    <w:p>
      <w:pPr>
        <w:spacing w:after="0" w:line="306" w:lineRule="exact"/>
        <w:rPr>
          <w:sz w:val="20"/>
          <w:szCs w:val="20"/>
          <w:color w:val="auto"/>
        </w:rPr>
      </w:pPr>
    </w:p>
    <w:p>
      <w:pPr>
        <w:ind w:left="4660"/>
        <w:spacing w:after="0"/>
        <w:tabs>
          <w:tab w:leader="none" w:pos="7100" w:val="left"/>
        </w:tabs>
        <w:rPr>
          <w:sz w:val="20"/>
          <w:szCs w:val="20"/>
          <w:color w:val="auto"/>
        </w:rPr>
      </w:pPr>
      <w:r>
        <w:rPr>
          <w:rFonts w:ascii="Arial" w:cs="Arial" w:eastAsia="Arial" w:hAnsi="Arial"/>
          <w:sz w:val="18"/>
          <w:szCs w:val="18"/>
          <w:color w:val="0D0E00"/>
        </w:rPr>
        <w:t>By:</w:t>
      </w:r>
      <w:r>
        <w:rPr>
          <w:sz w:val="20"/>
          <w:szCs w:val="20"/>
          <w:color w:val="auto"/>
        </w:rPr>
        <w:tab/>
      </w:r>
      <w:r>
        <w:rPr>
          <w:rFonts w:ascii="Arial" w:cs="Arial" w:eastAsia="Arial" w:hAnsi="Arial"/>
          <w:sz w:val="18"/>
          <w:szCs w:val="18"/>
          <w:color w:val="0D0E00"/>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14605</wp:posOffset>
            </wp:positionV>
            <wp:extent cx="39192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919220" cy="8890"/>
                    </a:xfrm>
                    <a:prstGeom prst="rect">
                      <a:avLst/>
                    </a:prstGeom>
                    <a:noFill/>
                  </pic:spPr>
                </pic:pic>
              </a:graphicData>
            </a:graphic>
          </wp:anchor>
        </w:drawing>
      </w:r>
    </w:p>
    <w:p>
      <w:pPr>
        <w:spacing w:after="0" w:line="246" w:lineRule="exact"/>
        <w:rPr>
          <w:sz w:val="20"/>
          <w:szCs w:val="20"/>
          <w:color w:val="auto"/>
        </w:rPr>
      </w:pPr>
    </w:p>
    <w:p>
      <w:pPr>
        <w:jc w:val="center"/>
        <w:ind w:left="4420"/>
        <w:spacing w:after="0"/>
        <w:rPr>
          <w:sz w:val="20"/>
          <w:szCs w:val="20"/>
          <w:color w:val="auto"/>
        </w:rPr>
      </w:pPr>
      <w:r>
        <w:rPr>
          <w:rFonts w:ascii="Arial" w:cs="Arial" w:eastAsia="Arial" w:hAnsi="Arial"/>
          <w:sz w:val="18"/>
          <w:szCs w:val="18"/>
          <w:color w:val="0D0E00"/>
        </w:rPr>
        <w:t>Kathleen P. Pepski</w:t>
      </w:r>
    </w:p>
    <w:p>
      <w:pPr>
        <w:spacing w:after="0" w:line="225" w:lineRule="exact"/>
        <w:rPr>
          <w:sz w:val="20"/>
          <w:szCs w:val="20"/>
          <w:color w:val="auto"/>
        </w:rPr>
      </w:pPr>
    </w:p>
    <w:p>
      <w:pPr>
        <w:jc w:val="center"/>
        <w:ind w:left="4420"/>
        <w:spacing w:after="0"/>
        <w:rPr>
          <w:sz w:val="20"/>
          <w:szCs w:val="20"/>
          <w:color w:val="auto"/>
        </w:rPr>
      </w:pPr>
      <w:r>
        <w:rPr>
          <w:rFonts w:ascii="Arial" w:cs="Arial" w:eastAsia="Arial" w:hAnsi="Arial"/>
          <w:sz w:val="18"/>
          <w:szCs w:val="18"/>
          <w:color w:val="0D0E00"/>
        </w:rPr>
        <w:t>Vice President, Chief Financial Officer, and Treasurer</w:t>
      </w:r>
    </w:p>
    <w:p>
      <w:pPr>
        <w:spacing w:after="0" w:line="23" w:lineRule="exact"/>
        <w:rPr>
          <w:sz w:val="20"/>
          <w:szCs w:val="20"/>
          <w:color w:val="auto"/>
        </w:rPr>
      </w:pPr>
    </w:p>
    <w:p>
      <w:pPr>
        <w:jc w:val="center"/>
        <w:ind w:left="4420"/>
        <w:spacing w:after="0"/>
        <w:rPr>
          <w:sz w:val="20"/>
          <w:szCs w:val="20"/>
          <w:color w:val="auto"/>
        </w:rPr>
      </w:pPr>
      <w:r>
        <w:rPr>
          <w:rFonts w:ascii="Arial" w:cs="Arial" w:eastAsia="Arial" w:hAnsi="Arial"/>
          <w:sz w:val="18"/>
          <w:szCs w:val="18"/>
          <w:color w:val="0D0E00"/>
        </w:rPr>
        <w:t>(On behalf of the Registrant and as principal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D0E00"/>
        </w:rPr>
        <w:t>Dated: July 29,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368" w:right="37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82" w:lineRule="exact"/>
        <w:rPr>
          <w:sz w:val="20"/>
          <w:szCs w:val="20"/>
          <w:color w:val="auto"/>
        </w:rPr>
      </w:pPr>
    </w:p>
    <w:p>
      <w:pPr>
        <w:jc w:val="right"/>
        <w:ind w:right="5440"/>
        <w:spacing w:after="0"/>
        <w:rPr>
          <w:sz w:val="20"/>
          <w:szCs w:val="20"/>
          <w:color w:val="auto"/>
        </w:rPr>
      </w:pPr>
      <w:r>
        <w:rPr>
          <w:rFonts w:ascii="Arial" w:cs="Arial" w:eastAsia="Arial" w:hAnsi="Arial"/>
          <w:sz w:val="22"/>
          <w:szCs w:val="22"/>
          <w:b w:val="1"/>
          <w:bCs w:val="1"/>
          <w:color w:val="0D0E00"/>
        </w:rPr>
        <w:t>Exhibit Index</w:t>
      </w:r>
    </w:p>
    <w:p>
      <w:pPr>
        <w:sectPr>
          <w:pgSz w:w="11900" w:h="16838" w:orient="portrait"/>
          <w:cols w:equalWidth="0" w:num="1">
            <w:col w:w="11140"/>
          </w:cols>
          <w:pgMar w:left="240" w:top="368" w:right="519" w:bottom="1440" w:gutter="0" w:footer="0" w:header="0"/>
        </w:sectPr>
      </w:pP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540" w:type="dxa"/>
            <w:vAlign w:val="bottom"/>
            <w:tcBorders>
              <w:bottom w:val="single" w:sz="8" w:color="0D0E00"/>
            </w:tcBorders>
          </w:tcPr>
          <w:p>
            <w:pPr>
              <w:jc w:val="right"/>
              <w:spacing w:after="0"/>
              <w:rPr>
                <w:sz w:val="20"/>
                <w:szCs w:val="20"/>
                <w:color w:val="auto"/>
              </w:rPr>
            </w:pPr>
            <w:r>
              <w:rPr>
                <w:rFonts w:ascii="Arial" w:cs="Arial" w:eastAsia="Arial" w:hAnsi="Arial"/>
                <w:sz w:val="18"/>
                <w:szCs w:val="18"/>
                <w:color w:val="0D0E00"/>
                <w:w w:val="96"/>
              </w:rPr>
              <w:t>Exhibit</w:t>
            </w: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840" w:type="dxa"/>
            <w:vAlign w:val="bottom"/>
            <w:tcBorders>
              <w:bottom w:val="single" w:sz="8" w:color="0D0E00"/>
            </w:tcBorders>
          </w:tcPr>
          <w:p>
            <w:pPr>
              <w:spacing w:after="0"/>
              <w:rPr>
                <w:sz w:val="20"/>
                <w:szCs w:val="20"/>
                <w:color w:val="auto"/>
              </w:rPr>
            </w:pPr>
            <w:r>
              <w:rPr>
                <w:rFonts w:ascii="Arial" w:cs="Arial" w:eastAsia="Arial" w:hAnsi="Arial"/>
                <w:sz w:val="18"/>
                <w:szCs w:val="18"/>
                <w:color w:val="0D0E00"/>
                <w:w w:val="91"/>
              </w:rPr>
              <w:t>Description</w:t>
            </w:r>
          </w:p>
        </w:tc>
        <w:tc>
          <w:tcPr>
            <w:tcW w:w="2240" w:type="dxa"/>
            <w:vAlign w:val="bottom"/>
          </w:tcPr>
          <w:p>
            <w:pPr>
              <w:spacing w:after="0"/>
              <w:rPr>
                <w:sz w:val="17"/>
                <w:szCs w:val="17"/>
                <w:color w:val="auto"/>
              </w:rPr>
            </w:pPr>
          </w:p>
        </w:tc>
      </w:tr>
      <w:tr>
        <w:trPr>
          <w:trHeight w:val="264"/>
        </w:trPr>
        <w:tc>
          <w:tcPr>
            <w:tcW w:w="540" w:type="dxa"/>
            <w:vAlign w:val="bottom"/>
          </w:tcPr>
          <w:p>
            <w:pPr>
              <w:jc w:val="right"/>
              <w:spacing w:after="0"/>
              <w:rPr>
                <w:sz w:val="20"/>
                <w:szCs w:val="20"/>
                <w:color w:val="auto"/>
              </w:rPr>
            </w:pPr>
            <w:r>
              <w:rPr>
                <w:rFonts w:ascii="Arial" w:cs="Arial" w:eastAsia="Arial" w:hAnsi="Arial"/>
                <w:sz w:val="18"/>
                <w:szCs w:val="18"/>
                <w:color w:val="0D0E00"/>
              </w:rPr>
              <w:t>3.1</w:t>
            </w:r>
          </w:p>
        </w:tc>
        <w:tc>
          <w:tcPr>
            <w:tcW w:w="40" w:type="dxa"/>
            <w:vAlign w:val="bottom"/>
          </w:tcPr>
          <w:p>
            <w:pPr>
              <w:spacing w:after="0"/>
              <w:rPr>
                <w:sz w:val="22"/>
                <w:szCs w:val="22"/>
                <w:color w:val="auto"/>
              </w:rPr>
            </w:pPr>
          </w:p>
        </w:tc>
        <w:tc>
          <w:tcPr>
            <w:tcW w:w="6500" w:type="dxa"/>
            <w:vAlign w:val="bottom"/>
            <w:gridSpan w:val="4"/>
          </w:tcPr>
          <w:p>
            <w:pPr>
              <w:ind w:left="60"/>
              <w:spacing w:after="0"/>
              <w:rPr>
                <w:sz w:val="20"/>
                <w:szCs w:val="20"/>
                <w:color w:val="auto"/>
              </w:rPr>
            </w:pPr>
            <w:r>
              <w:rPr>
                <w:rFonts w:ascii="Arial" w:cs="Arial" w:eastAsia="Arial" w:hAnsi="Arial"/>
                <w:sz w:val="18"/>
                <w:szCs w:val="18"/>
                <w:color w:val="0D0E00"/>
              </w:rPr>
              <w:t>Amended and Restated Articles of Incorporation.</w:t>
            </w:r>
          </w:p>
        </w:tc>
      </w:tr>
      <w:tr>
        <w:trPr>
          <w:trHeight w:val="243"/>
        </w:trPr>
        <w:tc>
          <w:tcPr>
            <w:tcW w:w="540" w:type="dxa"/>
            <w:vAlign w:val="bottom"/>
          </w:tcPr>
          <w:p>
            <w:pPr>
              <w:jc w:val="right"/>
              <w:spacing w:after="0"/>
              <w:rPr>
                <w:sz w:val="20"/>
                <w:szCs w:val="20"/>
                <w:color w:val="auto"/>
              </w:rPr>
            </w:pPr>
            <w:r>
              <w:rPr>
                <w:rFonts w:ascii="Arial" w:cs="Arial" w:eastAsia="Arial" w:hAnsi="Arial"/>
                <w:sz w:val="18"/>
                <w:szCs w:val="18"/>
                <w:color w:val="0D0E00"/>
              </w:rPr>
              <w:t>3.2</w:t>
            </w:r>
          </w:p>
        </w:tc>
        <w:tc>
          <w:tcPr>
            <w:tcW w:w="40" w:type="dxa"/>
            <w:vAlign w:val="bottom"/>
          </w:tcPr>
          <w:p>
            <w:pPr>
              <w:spacing w:after="0"/>
              <w:rPr>
                <w:sz w:val="21"/>
                <w:szCs w:val="21"/>
                <w:color w:val="auto"/>
              </w:rPr>
            </w:pPr>
          </w:p>
        </w:tc>
        <w:tc>
          <w:tcPr>
            <w:tcW w:w="6500" w:type="dxa"/>
            <w:vAlign w:val="bottom"/>
            <w:gridSpan w:val="4"/>
          </w:tcPr>
          <w:p>
            <w:pPr>
              <w:ind w:left="60"/>
              <w:spacing w:after="0"/>
              <w:rPr>
                <w:sz w:val="20"/>
                <w:szCs w:val="20"/>
                <w:color w:val="auto"/>
              </w:rPr>
            </w:pPr>
            <w:r>
              <w:rPr>
                <w:rFonts w:ascii="Arial" w:cs="Arial" w:eastAsia="Arial" w:hAnsi="Arial"/>
                <w:sz w:val="18"/>
                <w:szCs w:val="18"/>
                <w:color w:val="0D0E00"/>
              </w:rPr>
              <w:t>Amended and Restated By-Laws. (1)</w:t>
            </w:r>
          </w:p>
        </w:tc>
      </w:tr>
      <w:tr>
        <w:trPr>
          <w:trHeight w:val="243"/>
        </w:trPr>
        <w:tc>
          <w:tcPr>
            <w:tcW w:w="580" w:type="dxa"/>
            <w:vAlign w:val="bottom"/>
            <w:gridSpan w:val="2"/>
          </w:tcPr>
          <w:p>
            <w:pPr>
              <w:jc w:val="right"/>
              <w:ind w:right="40"/>
              <w:spacing w:after="0"/>
              <w:rPr>
                <w:sz w:val="20"/>
                <w:szCs w:val="20"/>
                <w:color w:val="auto"/>
              </w:rPr>
            </w:pPr>
            <w:r>
              <w:rPr>
                <w:rFonts w:ascii="Arial" w:cs="Arial" w:eastAsia="Arial" w:hAnsi="Arial"/>
                <w:sz w:val="18"/>
                <w:szCs w:val="18"/>
                <w:color w:val="0D0E00"/>
              </w:rPr>
              <w:t>10.1</w:t>
            </w:r>
          </w:p>
        </w:tc>
        <w:tc>
          <w:tcPr>
            <w:tcW w:w="6500" w:type="dxa"/>
            <w:vAlign w:val="bottom"/>
            <w:gridSpan w:val="4"/>
          </w:tcPr>
          <w:p>
            <w:pPr>
              <w:ind w:left="60"/>
              <w:spacing w:after="0"/>
              <w:rPr>
                <w:sz w:val="20"/>
                <w:szCs w:val="20"/>
                <w:color w:val="auto"/>
              </w:rPr>
            </w:pPr>
            <w:r>
              <w:rPr>
                <w:rFonts w:ascii="Arial" w:cs="Arial" w:eastAsia="Arial" w:hAnsi="Arial"/>
                <w:sz w:val="18"/>
                <w:szCs w:val="18"/>
                <w:color w:val="0D0E00"/>
                <w:w w:val="98"/>
              </w:rPr>
              <w:t>Form of Performance-Based Unit Award Notice and Restricted Stock Agreement.*</w:t>
            </w:r>
          </w:p>
        </w:tc>
      </w:tr>
      <w:tr>
        <w:trPr>
          <w:trHeight w:val="243"/>
        </w:trPr>
        <w:tc>
          <w:tcPr>
            <w:tcW w:w="580" w:type="dxa"/>
            <w:vAlign w:val="bottom"/>
            <w:gridSpan w:val="2"/>
          </w:tcPr>
          <w:p>
            <w:pPr>
              <w:jc w:val="right"/>
              <w:ind w:right="40"/>
              <w:spacing w:after="0"/>
              <w:rPr>
                <w:sz w:val="20"/>
                <w:szCs w:val="20"/>
                <w:color w:val="auto"/>
              </w:rPr>
            </w:pPr>
            <w:r>
              <w:rPr>
                <w:rFonts w:ascii="Arial" w:cs="Arial" w:eastAsia="Arial" w:hAnsi="Arial"/>
                <w:sz w:val="18"/>
                <w:szCs w:val="18"/>
                <w:color w:val="0D0E00"/>
              </w:rPr>
              <w:t>10.2</w:t>
            </w:r>
          </w:p>
        </w:tc>
        <w:tc>
          <w:tcPr>
            <w:tcW w:w="6500" w:type="dxa"/>
            <w:vAlign w:val="bottom"/>
            <w:gridSpan w:val="4"/>
          </w:tcPr>
          <w:p>
            <w:pPr>
              <w:ind w:left="60"/>
              <w:spacing w:after="0"/>
              <w:rPr>
                <w:sz w:val="20"/>
                <w:szCs w:val="20"/>
                <w:color w:val="auto"/>
              </w:rPr>
            </w:pPr>
            <w:r>
              <w:rPr>
                <w:rFonts w:ascii="Arial" w:cs="Arial" w:eastAsia="Arial" w:hAnsi="Arial"/>
                <w:sz w:val="18"/>
                <w:szCs w:val="18"/>
                <w:color w:val="0D0E00"/>
              </w:rPr>
              <w:t>Form of Non-Employee Director Restricted Stock Agreement.*</w:t>
            </w:r>
          </w:p>
        </w:tc>
      </w:tr>
      <w:tr>
        <w:trPr>
          <w:trHeight w:val="243"/>
        </w:trPr>
        <w:tc>
          <w:tcPr>
            <w:tcW w:w="580" w:type="dxa"/>
            <w:vAlign w:val="bottom"/>
            <w:gridSpan w:val="2"/>
          </w:tcPr>
          <w:p>
            <w:pPr>
              <w:jc w:val="right"/>
              <w:ind w:right="40"/>
              <w:spacing w:after="0"/>
              <w:rPr>
                <w:sz w:val="20"/>
                <w:szCs w:val="20"/>
                <w:color w:val="auto"/>
              </w:rPr>
            </w:pPr>
            <w:r>
              <w:rPr>
                <w:rFonts w:ascii="Arial" w:cs="Arial" w:eastAsia="Arial" w:hAnsi="Arial"/>
                <w:sz w:val="18"/>
                <w:szCs w:val="18"/>
                <w:color w:val="0D0E00"/>
              </w:rPr>
              <w:t>31.1</w:t>
            </w:r>
          </w:p>
        </w:tc>
        <w:tc>
          <w:tcPr>
            <w:tcW w:w="6500" w:type="dxa"/>
            <w:vAlign w:val="bottom"/>
            <w:gridSpan w:val="4"/>
          </w:tcPr>
          <w:p>
            <w:pPr>
              <w:ind w:left="60"/>
              <w:spacing w:after="0"/>
              <w:rPr>
                <w:sz w:val="20"/>
                <w:szCs w:val="20"/>
                <w:color w:val="auto"/>
              </w:rPr>
            </w:pPr>
            <w:r>
              <w:rPr>
                <w:rFonts w:ascii="Arial" w:cs="Arial" w:eastAsia="Arial" w:hAnsi="Arial"/>
                <w:sz w:val="18"/>
                <w:szCs w:val="18"/>
                <w:color w:val="auto"/>
                <w:w w:val="91"/>
              </w:rPr>
              <w:t>Certification by Chief Executive Officer pursuant to Rule 13a-14(a) of the Exchange Act.</w:t>
            </w:r>
          </w:p>
        </w:tc>
      </w:tr>
      <w:tr>
        <w:trPr>
          <w:trHeight w:val="243"/>
        </w:trPr>
        <w:tc>
          <w:tcPr>
            <w:tcW w:w="580" w:type="dxa"/>
            <w:vAlign w:val="bottom"/>
            <w:gridSpan w:val="2"/>
          </w:tcPr>
          <w:p>
            <w:pPr>
              <w:jc w:val="right"/>
              <w:ind w:right="40"/>
              <w:spacing w:after="0"/>
              <w:rPr>
                <w:sz w:val="20"/>
                <w:szCs w:val="20"/>
                <w:color w:val="auto"/>
              </w:rPr>
            </w:pPr>
            <w:r>
              <w:rPr>
                <w:rFonts w:ascii="Arial" w:cs="Arial" w:eastAsia="Arial" w:hAnsi="Arial"/>
                <w:sz w:val="18"/>
                <w:szCs w:val="18"/>
                <w:color w:val="0D0E00"/>
              </w:rPr>
              <w:t>31.2</w:t>
            </w:r>
          </w:p>
        </w:tc>
        <w:tc>
          <w:tcPr>
            <w:tcW w:w="6500" w:type="dxa"/>
            <w:vAlign w:val="bottom"/>
            <w:gridSpan w:val="4"/>
          </w:tcPr>
          <w:p>
            <w:pPr>
              <w:ind w:left="60"/>
              <w:spacing w:after="0"/>
              <w:rPr>
                <w:sz w:val="20"/>
                <w:szCs w:val="20"/>
                <w:color w:val="auto"/>
              </w:rPr>
            </w:pPr>
            <w:r>
              <w:rPr>
                <w:rFonts w:ascii="Arial" w:cs="Arial" w:eastAsia="Arial" w:hAnsi="Arial"/>
                <w:sz w:val="18"/>
                <w:szCs w:val="18"/>
                <w:color w:val="auto"/>
                <w:w w:val="92"/>
              </w:rPr>
              <w:t>Certification by Chief Financial Officer pursuant to Rule 13a-14(a) of the Exchange Act.</w:t>
            </w:r>
          </w:p>
        </w:tc>
      </w:tr>
      <w:tr>
        <w:trPr>
          <w:trHeight w:val="243"/>
        </w:trPr>
        <w:tc>
          <w:tcPr>
            <w:tcW w:w="580" w:type="dxa"/>
            <w:vAlign w:val="bottom"/>
            <w:gridSpan w:val="2"/>
          </w:tcPr>
          <w:p>
            <w:pPr>
              <w:jc w:val="right"/>
              <w:ind w:right="40"/>
              <w:spacing w:after="0"/>
              <w:rPr>
                <w:sz w:val="20"/>
                <w:szCs w:val="20"/>
                <w:color w:val="auto"/>
              </w:rPr>
            </w:pPr>
            <w:r>
              <w:rPr>
                <w:rFonts w:ascii="Arial" w:cs="Arial" w:eastAsia="Arial" w:hAnsi="Arial"/>
                <w:sz w:val="18"/>
                <w:szCs w:val="18"/>
                <w:color w:val="0D0E00"/>
              </w:rPr>
              <w:t>32.1</w:t>
            </w:r>
          </w:p>
        </w:tc>
        <w:tc>
          <w:tcPr>
            <w:tcW w:w="1020" w:type="dxa"/>
            <w:vAlign w:val="bottom"/>
          </w:tcPr>
          <w:p>
            <w:pPr>
              <w:ind w:left="60"/>
              <w:spacing w:after="0"/>
              <w:rPr>
                <w:sz w:val="20"/>
                <w:szCs w:val="20"/>
                <w:color w:val="auto"/>
              </w:rPr>
            </w:pPr>
            <w:r>
              <w:rPr>
                <w:rFonts w:ascii="Arial" w:cs="Arial" w:eastAsia="Arial" w:hAnsi="Arial"/>
                <w:sz w:val="18"/>
                <w:szCs w:val="18"/>
                <w:color w:val="auto"/>
                <w:w w:val="89"/>
              </w:rPr>
              <w:t>Section 1350</w:t>
            </w:r>
          </w:p>
        </w:tc>
        <w:tc>
          <w:tcPr>
            <w:tcW w:w="5480" w:type="dxa"/>
            <w:vAlign w:val="bottom"/>
            <w:gridSpan w:val="3"/>
          </w:tcPr>
          <w:p>
            <w:pPr>
              <w:ind w:left="20"/>
              <w:spacing w:after="0"/>
              <w:rPr>
                <w:sz w:val="20"/>
                <w:szCs w:val="20"/>
                <w:color w:val="auto"/>
              </w:rPr>
            </w:pPr>
            <w:r>
              <w:rPr>
                <w:rFonts w:ascii="Arial" w:cs="Arial" w:eastAsia="Arial" w:hAnsi="Arial"/>
                <w:sz w:val="18"/>
                <w:szCs w:val="18"/>
                <w:color w:val="auto"/>
              </w:rPr>
              <w:t>Certification by Chief Executive Officer.</w:t>
            </w:r>
          </w:p>
        </w:tc>
      </w:tr>
      <w:tr>
        <w:trPr>
          <w:trHeight w:val="243"/>
        </w:trPr>
        <w:tc>
          <w:tcPr>
            <w:tcW w:w="580" w:type="dxa"/>
            <w:vAlign w:val="bottom"/>
            <w:gridSpan w:val="2"/>
          </w:tcPr>
          <w:p>
            <w:pPr>
              <w:jc w:val="right"/>
              <w:ind w:right="40"/>
              <w:spacing w:after="0"/>
              <w:rPr>
                <w:sz w:val="20"/>
                <w:szCs w:val="20"/>
                <w:color w:val="auto"/>
              </w:rPr>
            </w:pPr>
            <w:r>
              <w:rPr>
                <w:rFonts w:ascii="Arial" w:cs="Arial" w:eastAsia="Arial" w:hAnsi="Arial"/>
                <w:sz w:val="18"/>
                <w:szCs w:val="18"/>
                <w:color w:val="0D0E00"/>
              </w:rPr>
              <w:t>32.2</w:t>
            </w:r>
          </w:p>
        </w:tc>
        <w:tc>
          <w:tcPr>
            <w:tcW w:w="1020" w:type="dxa"/>
            <w:vAlign w:val="bottom"/>
          </w:tcPr>
          <w:p>
            <w:pPr>
              <w:ind w:left="60"/>
              <w:spacing w:after="0"/>
              <w:rPr>
                <w:sz w:val="20"/>
                <w:szCs w:val="20"/>
                <w:color w:val="auto"/>
              </w:rPr>
            </w:pPr>
            <w:r>
              <w:rPr>
                <w:rFonts w:ascii="Arial" w:cs="Arial" w:eastAsia="Arial" w:hAnsi="Arial"/>
                <w:sz w:val="18"/>
                <w:szCs w:val="18"/>
                <w:color w:val="auto"/>
                <w:w w:val="89"/>
              </w:rPr>
              <w:t>Section 1350</w:t>
            </w:r>
          </w:p>
        </w:tc>
        <w:tc>
          <w:tcPr>
            <w:tcW w:w="5480" w:type="dxa"/>
            <w:vAlign w:val="bottom"/>
            <w:gridSpan w:val="3"/>
          </w:tcPr>
          <w:p>
            <w:pPr>
              <w:ind w:left="20"/>
              <w:spacing w:after="0"/>
              <w:rPr>
                <w:sz w:val="20"/>
                <w:szCs w:val="20"/>
                <w:color w:val="auto"/>
              </w:rPr>
            </w:pPr>
            <w:r>
              <w:rPr>
                <w:rFonts w:ascii="Arial" w:cs="Arial" w:eastAsia="Arial" w:hAnsi="Arial"/>
                <w:sz w:val="18"/>
                <w:szCs w:val="18"/>
                <w:color w:val="auto"/>
              </w:rPr>
              <w:t>Certification by Chief Financial Officer.</w:t>
            </w:r>
          </w:p>
        </w:tc>
      </w:tr>
    </w:tbl>
    <w:p>
      <w:pPr>
        <w:spacing w:after="0" w:line="256" w:lineRule="exact"/>
        <w:rPr>
          <w:sz w:val="20"/>
          <w:szCs w:val="20"/>
          <w:color w:val="auto"/>
        </w:rPr>
      </w:pPr>
    </w:p>
    <w:p>
      <w:pPr>
        <w:ind w:left="640"/>
        <w:spacing w:after="0"/>
        <w:rPr>
          <w:sz w:val="20"/>
          <w:szCs w:val="20"/>
          <w:color w:val="auto"/>
        </w:rPr>
      </w:pPr>
      <w:r>
        <w:rPr>
          <w:rFonts w:ascii="Arial" w:cs="Arial" w:eastAsia="Arial" w:hAnsi="Arial"/>
          <w:sz w:val="16"/>
          <w:szCs w:val="16"/>
          <w:color w:val="0D0E00"/>
        </w:rPr>
        <w:t>* Management contract or compensatory plan or arrangement required to be filed as an exhibit to this Form 10-Q.</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jc w:val="center"/>
        <w:ind w:right="60"/>
        <w:spacing w:after="0"/>
        <w:rPr>
          <w:sz w:val="20"/>
          <w:szCs w:val="20"/>
          <w:color w:val="auto"/>
        </w:rPr>
      </w:pPr>
      <w:r>
        <w:rPr>
          <w:rFonts w:ascii="Arial" w:cs="Arial" w:eastAsia="Arial" w:hAnsi="Arial"/>
          <w:sz w:val="18"/>
          <w:szCs w:val="18"/>
          <w:u w:val="single" w:color="auto"/>
          <w:color w:val="0D0E00"/>
        </w:rPr>
        <w:t>Method of Filing</w:t>
      </w:r>
    </w:p>
    <w:p>
      <w:pPr>
        <w:spacing w:after="0" w:line="63" w:lineRule="exact"/>
        <w:rPr>
          <w:sz w:val="20"/>
          <w:szCs w:val="20"/>
          <w:color w:val="auto"/>
        </w:rPr>
      </w:pPr>
    </w:p>
    <w:p>
      <w:pPr>
        <w:jc w:val="center"/>
        <w:ind w:right="60"/>
        <w:spacing w:after="0" w:line="325" w:lineRule="auto"/>
        <w:rPr>
          <w:sz w:val="20"/>
          <w:szCs w:val="20"/>
          <w:color w:val="auto"/>
        </w:rPr>
      </w:pPr>
      <w:r>
        <w:rPr>
          <w:rFonts w:ascii="Arial" w:cs="Arial" w:eastAsia="Arial" w:hAnsi="Arial"/>
          <w:sz w:val="16"/>
          <w:szCs w:val="16"/>
          <w:color w:val="auto"/>
        </w:rPr>
        <w:t>Filed Electronically Incorporated by Reference Filed Electronically Filed Electronically Filed Electronically Filed Electronically Filed Electronically Filed Electronically</w:t>
      </w:r>
    </w:p>
    <w:p>
      <w:pPr>
        <w:spacing w:after="0" w:line="551" w:lineRule="exact"/>
        <w:rPr>
          <w:sz w:val="20"/>
          <w:szCs w:val="20"/>
          <w:color w:val="auto"/>
        </w:rPr>
      </w:pPr>
    </w:p>
    <w:p>
      <w:pPr>
        <w:sectPr>
          <w:pgSz w:w="11900" w:h="16838" w:orient="portrait"/>
          <w:cols w:equalWidth="0" w:num="2">
            <w:col w:w="8840" w:space="320"/>
            <w:col w:w="1980"/>
          </w:cols>
          <w:pgMar w:left="240" w:top="368" w:right="519" w:bottom="1440" w:gutter="0" w:footer="0" w:header="0"/>
          <w:type w:val="continuous"/>
        </w:sectPr>
      </w:pPr>
    </w:p>
    <w:p>
      <w:pPr>
        <w:spacing w:after="0" w:line="75" w:lineRule="exact"/>
        <w:rPr>
          <w:sz w:val="20"/>
          <w:szCs w:val="20"/>
          <w:color w:val="auto"/>
        </w:rPr>
      </w:pPr>
    </w:p>
    <w:p>
      <w:pPr>
        <w:ind w:left="640"/>
        <w:spacing w:after="0"/>
        <w:rPr>
          <w:sz w:val="20"/>
          <w:szCs w:val="20"/>
          <w:color w:val="auto"/>
        </w:rPr>
      </w:pPr>
      <w:r>
        <w:rPr>
          <w:rFonts w:ascii="Arial" w:cs="Arial" w:eastAsia="Arial" w:hAnsi="Arial"/>
          <w:sz w:val="16"/>
          <w:szCs w:val="16"/>
          <w:color w:val="0D0E00"/>
        </w:rPr>
        <w:t>(1) Incorporated by reference to Exhibit 3.1 to the Company’s Current Report on Form 8-K dated October 28, 2009 and filed November 3,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140"/>
          </w:cols>
          <w:pgMar w:left="240" w:top="368" w:right="519" w:bottom="1440" w:gutter="0" w:footer="0" w:header="0"/>
          <w:type w:val="continuous"/>
        </w:sectPr>
      </w:pPr>
    </w:p>
    <w:bookmarkStart w:id="18" w:name="page19"/>
    <w:bookmarkEnd w:id="18"/>
    <w:p>
      <w:pPr>
        <w:jc w:val="right"/>
        <w:spacing w:after="0"/>
        <w:rPr>
          <w:sz w:val="20"/>
          <w:szCs w:val="20"/>
          <w:color w:val="auto"/>
        </w:rPr>
      </w:pPr>
      <w:r>
        <w:rPr>
          <w:rFonts w:ascii="Arial" w:cs="Arial" w:eastAsia="Arial" w:hAnsi="Arial"/>
          <w:sz w:val="22"/>
          <w:szCs w:val="22"/>
          <w:b w:val="1"/>
          <w:bCs w:val="1"/>
          <w:color w:val="auto"/>
        </w:rPr>
        <w:t>Exhibit 3.1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w:t>
      </w:r>
    </w:p>
    <w:p>
      <w:pPr>
        <w:jc w:val="center"/>
        <w:spacing w:after="0" w:line="230" w:lineRule="auto"/>
        <w:rPr>
          <w:sz w:val="20"/>
          <w:szCs w:val="20"/>
          <w:color w:val="auto"/>
        </w:rPr>
      </w:pPr>
      <w:r>
        <w:rPr>
          <w:rFonts w:ascii="Arial" w:cs="Arial" w:eastAsia="Arial" w:hAnsi="Arial"/>
          <w:sz w:val="22"/>
          <w:szCs w:val="22"/>
          <w:b w:val="1"/>
          <w:bCs w:val="1"/>
          <w:color w:val="auto"/>
        </w:rPr>
        <w:t>ARTICLES OF INCORPORATION</w:t>
      </w:r>
    </w:p>
    <w:p>
      <w:pPr>
        <w:jc w:val="center"/>
        <w:spacing w:after="0" w:line="231" w:lineRule="auto"/>
        <w:rPr>
          <w:sz w:val="20"/>
          <w:szCs w:val="20"/>
          <w:color w:val="auto"/>
        </w:rPr>
      </w:pPr>
      <w:r>
        <w:rPr>
          <w:rFonts w:ascii="Arial" w:cs="Arial" w:eastAsia="Arial" w:hAnsi="Arial"/>
          <w:sz w:val="22"/>
          <w:szCs w:val="22"/>
          <w:b w:val="1"/>
          <w:bCs w:val="1"/>
          <w:color w:val="auto"/>
        </w:rPr>
        <w:t>OF</w:t>
      </w:r>
    </w:p>
    <w:p>
      <w:pPr>
        <w:jc w:val="center"/>
        <w:spacing w:after="0"/>
        <w:rPr>
          <w:sz w:val="20"/>
          <w:szCs w:val="20"/>
          <w:color w:val="auto"/>
        </w:rPr>
      </w:pPr>
      <w:r>
        <w:rPr>
          <w:rFonts w:ascii="Arial" w:cs="Arial" w:eastAsia="Arial" w:hAnsi="Arial"/>
          <w:sz w:val="22"/>
          <w:szCs w:val="22"/>
          <w:b w:val="1"/>
          <w:bCs w:val="1"/>
          <w:color w:val="auto"/>
        </w:rPr>
        <w:t>HAWKINS, INC.</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amended through July 28, 2010)</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name of this Corporation is Hawkins, Inc.</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9" w:lineRule="exact"/>
        <w:rPr>
          <w:sz w:val="20"/>
          <w:szCs w:val="20"/>
          <w:color w:val="auto"/>
        </w:rPr>
      </w:pPr>
    </w:p>
    <w:p>
      <w:pPr>
        <w:jc w:val="both"/>
        <w:ind w:right="20" w:firstLine="720"/>
        <w:spacing w:after="0" w:line="286" w:lineRule="auto"/>
        <w:rPr>
          <w:sz w:val="20"/>
          <w:szCs w:val="20"/>
          <w:color w:val="auto"/>
        </w:rPr>
      </w:pPr>
      <w:r>
        <w:rPr>
          <w:rFonts w:ascii="Arial" w:cs="Arial" w:eastAsia="Arial" w:hAnsi="Arial"/>
          <w:sz w:val="17"/>
          <w:szCs w:val="17"/>
          <w:color w:val="auto"/>
        </w:rPr>
        <w:t>An agreement for consolidation or merger with one or more foreign or domestic corporations may be authorized by vote of the shareholders entitled to exercise at least two-thirds of the shares entitled to vote unless the necessary affirmative vote to authorize any particular merger or consolidation is reduced by the Board of Directors, which reduction shall be to not less than a majority of the shares entitled to vote.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9" w:lineRule="exact"/>
        <w:rPr>
          <w:sz w:val="20"/>
          <w:szCs w:val="20"/>
          <w:color w:val="auto"/>
        </w:rPr>
      </w:pPr>
    </w:p>
    <w:p>
      <w:pPr>
        <w:ind w:right="840" w:firstLine="720"/>
        <w:spacing w:after="0" w:line="277" w:lineRule="auto"/>
        <w:rPr>
          <w:sz w:val="20"/>
          <w:szCs w:val="20"/>
          <w:color w:val="auto"/>
        </w:rPr>
      </w:pPr>
      <w:r>
        <w:rPr>
          <w:rFonts w:ascii="Arial" w:cs="Arial" w:eastAsia="Arial" w:hAnsi="Arial"/>
          <w:sz w:val="18"/>
          <w:szCs w:val="18"/>
          <w:color w:val="auto"/>
        </w:rPr>
        <w:t>The location and post office address of the registered office of this Corporation in the State of Minnesota is 3100 East Hennepin Avenue, Minneapolis, Minnesota 55413.</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9" w:lineRule="exact"/>
        <w:rPr>
          <w:sz w:val="20"/>
          <w:szCs w:val="20"/>
          <w:color w:val="auto"/>
        </w:rPr>
      </w:pPr>
    </w:p>
    <w:p>
      <w:pPr>
        <w:ind w:right="300" w:firstLine="720"/>
        <w:spacing w:after="0" w:line="277" w:lineRule="auto"/>
        <w:rPr>
          <w:sz w:val="20"/>
          <w:szCs w:val="20"/>
          <w:color w:val="auto"/>
        </w:rPr>
      </w:pPr>
      <w:r>
        <w:rPr>
          <w:rFonts w:ascii="Arial" w:cs="Arial" w:eastAsia="Arial" w:hAnsi="Arial"/>
          <w:sz w:val="18"/>
          <w:szCs w:val="18"/>
          <w:color w:val="auto"/>
        </w:rPr>
        <w:t>The aggregate number of shares which this Corporation shall have authority to issue is 30,000,000, with a par value of $.05 per share, having an aggregate par value of $1,500,000, which shall be known as “Common Shares.”</w:t>
      </w:r>
    </w:p>
    <w:p>
      <w:pPr>
        <w:spacing w:after="0" w:line="170" w:lineRule="exact"/>
        <w:rPr>
          <w:sz w:val="20"/>
          <w:szCs w:val="20"/>
          <w:color w:val="auto"/>
        </w:rPr>
      </w:pPr>
    </w:p>
    <w:p>
      <w:pPr>
        <w:ind w:left="1180" w:right="560" w:hanging="524"/>
        <w:spacing w:after="0" w:line="342" w:lineRule="auto"/>
        <w:tabs>
          <w:tab w:leader="none" w:pos="11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holders of Common Shares shall be entitled to receive, when and as declared by the Board of Directors, out of earnings or surplus legally available therefor, dividends, payable either in cash, in property, or in shares of the capital stock of the corporation.</w:t>
      </w:r>
    </w:p>
    <w:p>
      <w:pPr>
        <w:spacing w:after="0" w:line="123" w:lineRule="exact"/>
        <w:rPr>
          <w:rFonts w:ascii="Arial" w:cs="Arial" w:eastAsia="Arial" w:hAnsi="Arial"/>
          <w:sz w:val="16"/>
          <w:szCs w:val="16"/>
          <w:color w:val="auto"/>
        </w:rPr>
      </w:pPr>
    </w:p>
    <w:p>
      <w:pPr>
        <w:ind w:left="1180" w:right="300" w:hanging="524"/>
        <w:spacing w:after="0" w:line="255" w:lineRule="auto"/>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Common Shares may be allotted as and when the Board of Directors shall determine, and, under and pursuant to the laws of the State of Minnesota, the Board of Directors shall have the power to fix or alter, from time to time, in respect to shares then unallotted, any or all of the following: the dividend rate; the redemption price; the liquidation price; the conversion rights and the sinking or purchase fund rights of shares of any class, or of any series of any class. The Board of Directors shall also have the power to fix the terms, provisions and conditions of options to purchase or subscribe for shares of any class or classes, including the price and conversion basis thereof, and to authorize the issuance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215265</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9" w:name="page20"/>
    <w:bookmarkEnd w:id="19"/>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holder of shares of the Corporation shall be entitled to any cumulative voting rights.</w:t>
      </w:r>
    </w:p>
    <w:p>
      <w:pPr>
        <w:spacing w:after="0" w:line="252" w:lineRule="exact"/>
        <w:rPr>
          <w:rFonts w:ascii="Arial" w:cs="Arial" w:eastAsia="Arial" w:hAnsi="Arial"/>
          <w:sz w:val="18"/>
          <w:szCs w:val="18"/>
          <w:color w:val="auto"/>
        </w:rPr>
      </w:pPr>
    </w:p>
    <w:p>
      <w:pPr>
        <w:jc w:val="both"/>
        <w:ind w:left="1300" w:right="260" w:hanging="644"/>
        <w:spacing w:after="0" w:line="264"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holder of stock of the Corporation shall have any preferential, pre-emptive, or other right of subscription to any shares of any class of stock of the Corporation allotted or sold or be allotted or sold and now or hereafter authorized, or to any right of subscription to any part thereof.</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56" w:lineRule="exact"/>
        <w:rPr>
          <w:sz w:val="20"/>
          <w:szCs w:val="20"/>
          <w:color w:val="auto"/>
        </w:rPr>
      </w:pPr>
    </w:p>
    <w:p>
      <w:pPr>
        <w:ind w:right="80" w:firstLine="720"/>
        <w:spacing w:after="0" w:line="257" w:lineRule="auto"/>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 The business of this Corporation shall be managed by a Board of Directors, who shall be elected at the annual meeting of the shareholders; provided, however, that vacancies in the Board of Directors may be filled by the remaining Directors, and each person so elected shall be a Director until his successor is elected at an annual meeting of shareholders or at a special meeting duly called therefor. The number of Directors to constitute the Board of Directors shall be set from time to time by resolution of the Board, in accordance with the range set forth in the By-Laws. A Director need not be a shareholder.</w:t>
      </w:r>
    </w:p>
    <w:p>
      <w:pPr>
        <w:spacing w:after="0" w:line="215" w:lineRule="exact"/>
        <w:rPr>
          <w:sz w:val="20"/>
          <w:szCs w:val="20"/>
          <w:color w:val="auto"/>
        </w:rPr>
      </w:pPr>
    </w:p>
    <w:p>
      <w:pPr>
        <w:ind w:right="200" w:firstLine="720"/>
        <w:spacing w:after="0" w:line="277" w:lineRule="auto"/>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 The Board of Directors shall have all of the powers of the Corporation, subject to such action restricting said powers as may legally be taken from time to time by the shareholders either at an annual meeting or at a special meeting duly called therefor.</w:t>
      </w:r>
    </w:p>
    <w:p>
      <w:pPr>
        <w:spacing w:after="0" w:line="197" w:lineRule="exact"/>
        <w:rPr>
          <w:sz w:val="20"/>
          <w:szCs w:val="20"/>
          <w:color w:val="auto"/>
        </w:rPr>
      </w:pPr>
    </w:p>
    <w:p>
      <w:pPr>
        <w:ind w:right="380" w:firstLine="720"/>
        <w:spacing w:after="0" w:line="342" w:lineRule="auto"/>
        <w:rPr>
          <w:sz w:val="20"/>
          <w:szCs w:val="20"/>
          <w:color w:val="auto"/>
        </w:rPr>
      </w:pPr>
      <w:r>
        <w:rPr>
          <w:rFonts w:ascii="Arial" w:cs="Arial" w:eastAsia="Arial" w:hAnsi="Arial"/>
          <w:sz w:val="16"/>
          <w:szCs w:val="16"/>
          <w:u w:val="single" w:color="auto"/>
          <w:color w:val="auto"/>
        </w:rPr>
        <w:t>Section 3</w:t>
      </w:r>
      <w:r>
        <w:rPr>
          <w:rFonts w:ascii="Arial" w:cs="Arial" w:eastAsia="Arial" w:hAnsi="Arial"/>
          <w:sz w:val="16"/>
          <w:szCs w:val="16"/>
          <w:color w:val="auto"/>
        </w:rPr>
        <w:t>. The Board of Directors shall have authority to make and alter By-Laws, subject to the power of the shareholders to change or repeal such By-Laws, provided, however, that the Board shall not make or alter any By-Law fixing the number, qualifications, or term of office of Directors.</w:t>
      </w:r>
    </w:p>
    <w:p>
      <w:pPr>
        <w:spacing w:after="0" w:line="151" w:lineRule="exact"/>
        <w:rPr>
          <w:sz w:val="20"/>
          <w:szCs w:val="20"/>
          <w:color w:val="auto"/>
        </w:rPr>
      </w:pPr>
    </w:p>
    <w:p>
      <w:pPr>
        <w:ind w:firstLine="720"/>
        <w:spacing w:after="0" w:line="272" w:lineRule="auto"/>
        <w:rPr>
          <w:sz w:val="20"/>
          <w:szCs w:val="20"/>
          <w:color w:val="auto"/>
        </w:rPr>
      </w:pPr>
      <w:r>
        <w:rPr>
          <w:rFonts w:ascii="Arial" w:cs="Arial" w:eastAsia="Arial" w:hAnsi="Arial"/>
          <w:sz w:val="17"/>
          <w:szCs w:val="17"/>
          <w:u w:val="single" w:color="auto"/>
          <w:color w:val="auto"/>
        </w:rPr>
        <w:t>Section 4</w:t>
      </w:r>
      <w:r>
        <w:rPr>
          <w:rFonts w:ascii="Arial" w:cs="Arial" w:eastAsia="Arial" w:hAnsi="Arial"/>
          <w:sz w:val="17"/>
          <w:szCs w:val="17"/>
          <w:color w:val="auto"/>
        </w:rPr>
        <w:t>. Any contract or other transaction between the Corporation and any corporation, association or firm of which one or more of its Directors are shareholders, members, directors, officers or employees, or in which they are interested, shall be valid for all purposes, notwithstanding the presence and participation of such Director or Directors at the meeting of the Board of Directors of the Corporation which acts upon or in reference to such contract or transaction, if the fact of such interest shall be disclosed or known to the Board of Directors, and the Board of Directors shall, nevertheless, authorize, approve and ratify such contract or tr ansaction by a vote of a majority of the Directors present, such interested Director or Directors to be counted in determining whether a quorum is present, but not to be counted in calculating the majority necessary to carry such vote. This Section shall not be construed to invalidate any contract or transaction which would otherwise be valid under the laws applicable thereto.</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0" w:name="page21"/>
    <w:bookmarkEnd w:id="20"/>
    <w:p>
      <w:pPr>
        <w:ind w:right="260" w:firstLine="720"/>
        <w:spacing w:after="0" w:line="277" w:lineRule="auto"/>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 The annual meeting of the Board of Directors shall be held immediately following the annual meeting of the shareholders, and at the same place.</w:t>
      </w:r>
    </w:p>
    <w:p>
      <w:pPr>
        <w:spacing w:after="0" w:line="197" w:lineRule="exact"/>
        <w:rPr>
          <w:sz w:val="20"/>
          <w:szCs w:val="20"/>
          <w:color w:val="auto"/>
        </w:rPr>
      </w:pPr>
    </w:p>
    <w:p>
      <w:pPr>
        <w:ind w:right="140" w:firstLine="720"/>
        <w:spacing w:after="0" w:line="264" w:lineRule="auto"/>
        <w:rPr>
          <w:sz w:val="20"/>
          <w:szCs w:val="20"/>
          <w:color w:val="auto"/>
        </w:rPr>
      </w:pPr>
      <w:r>
        <w:rPr>
          <w:rFonts w:ascii="Arial" w:cs="Arial" w:eastAsia="Arial" w:hAnsi="Arial"/>
          <w:sz w:val="18"/>
          <w:szCs w:val="18"/>
          <w:u w:val="single" w:color="auto"/>
          <w:color w:val="auto"/>
        </w:rPr>
        <w:t>Section 6</w:t>
      </w:r>
      <w:r>
        <w:rPr>
          <w:rFonts w:ascii="Arial" w:cs="Arial" w:eastAsia="Arial" w:hAnsi="Arial"/>
          <w:sz w:val="18"/>
          <w:szCs w:val="18"/>
          <w:color w:val="auto"/>
        </w:rPr>
        <w:t>. A Director of this Corporation shall not be personally liable to the Corporation or its shareholders for monetary damages for breach of fiduciary duty as a Director, except to the extent such exemption from liability or limitation thereof is not permitted under Chapter 302A of the Minnesota Statutes as the same exists or may hereafter be amended.</w:t>
      </w:r>
    </w:p>
    <w:p>
      <w:pPr>
        <w:spacing w:after="0" w:line="208" w:lineRule="exact"/>
        <w:rPr>
          <w:sz w:val="20"/>
          <w:szCs w:val="20"/>
          <w:color w:val="auto"/>
        </w:rPr>
      </w:pPr>
    </w:p>
    <w:p>
      <w:pPr>
        <w:ind w:right="20" w:firstLine="720"/>
        <w:spacing w:after="0" w:line="264" w:lineRule="auto"/>
        <w:rPr>
          <w:sz w:val="20"/>
          <w:szCs w:val="20"/>
          <w:color w:val="auto"/>
        </w:rPr>
      </w:pPr>
      <w:r>
        <w:rPr>
          <w:rFonts w:ascii="Arial" w:cs="Arial" w:eastAsia="Arial" w:hAnsi="Arial"/>
          <w:sz w:val="18"/>
          <w:szCs w:val="18"/>
          <w:color w:val="auto"/>
        </w:rPr>
        <w:t>If Chapter 302A of the Minnesota Statutes hereafter is amended to authorize the further elimination or limitation of the liabilities of directors, then, in addition to the limitation on personal liability provided herein, the liability of a Director of the Corporation shall be limited to fullest extent permitted by the amended Chapter 302A of the Minnesota Statutes.</w:t>
      </w:r>
    </w:p>
    <w:p>
      <w:pPr>
        <w:spacing w:after="0" w:line="208" w:lineRule="exact"/>
        <w:rPr>
          <w:sz w:val="20"/>
          <w:szCs w:val="20"/>
          <w:color w:val="auto"/>
        </w:rPr>
      </w:pPr>
    </w:p>
    <w:p>
      <w:pPr>
        <w:ind w:right="160" w:firstLine="720"/>
        <w:spacing w:after="0" w:line="277" w:lineRule="auto"/>
        <w:rPr>
          <w:sz w:val="20"/>
          <w:szCs w:val="20"/>
          <w:color w:val="auto"/>
        </w:rPr>
      </w:pPr>
      <w:r>
        <w:rPr>
          <w:rFonts w:ascii="Arial" w:cs="Arial" w:eastAsia="Arial" w:hAnsi="Arial"/>
          <w:sz w:val="18"/>
          <w:szCs w:val="18"/>
          <w:color w:val="auto"/>
        </w:rPr>
        <w:t>Any repeal or modification of this Section 6 of Article V by the shareholders of the Corporation shall be prospective only and shall not adversely affect any limitation on the personal liability of a Director of the Corporation existing at the time of such repeal or modification.</w:t>
      </w:r>
    </w:p>
    <w:p>
      <w:pPr>
        <w:spacing w:after="0" w:line="197" w:lineRule="exact"/>
        <w:rPr>
          <w:sz w:val="20"/>
          <w:szCs w:val="20"/>
          <w:color w:val="auto"/>
        </w:rPr>
      </w:pPr>
    </w:p>
    <w:p>
      <w:pPr>
        <w:ind w:right="340" w:firstLine="720"/>
        <w:spacing w:after="0" w:line="259" w:lineRule="auto"/>
        <w:rPr>
          <w:sz w:val="20"/>
          <w:szCs w:val="20"/>
          <w:color w:val="auto"/>
        </w:rPr>
      </w:pPr>
      <w:r>
        <w:rPr>
          <w:rFonts w:ascii="Arial" w:cs="Arial" w:eastAsia="Arial" w:hAnsi="Arial"/>
          <w:sz w:val="18"/>
          <w:szCs w:val="18"/>
          <w:u w:val="single" w:color="auto"/>
          <w:color w:val="auto"/>
        </w:rPr>
        <w:t>Section 7</w:t>
      </w:r>
      <w:r>
        <w:rPr>
          <w:rFonts w:ascii="Arial" w:cs="Arial" w:eastAsia="Arial" w:hAnsi="Arial"/>
          <w:sz w:val="18"/>
          <w:szCs w:val="18"/>
          <w:color w:val="auto"/>
        </w:rPr>
        <w:t>. Any action required or permitted to be taken at a meeting of the Board of Directors of this Corporation not needing approval by the shareholders under Chapter 302A of the Minnesota Statutes may be taken by written action signed, or consented to by authenticated electronic communication, by the number of directors that would be required to take such action at a meeting of the Board of Directors at which all Directors were present.</w:t>
      </w:r>
    </w:p>
    <w:p>
      <w:pPr>
        <w:spacing w:after="0" w:line="200" w:lineRule="exact"/>
        <w:rPr>
          <w:sz w:val="20"/>
          <w:szCs w:val="20"/>
          <w:color w:val="auto"/>
        </w:rPr>
      </w:pPr>
    </w:p>
    <w:p>
      <w:pPr>
        <w:spacing w:after="0" w:line="25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VI</w:t>
      </w:r>
    </w:p>
    <w:p>
      <w:pPr>
        <w:spacing w:after="0" w:line="256" w:lineRule="exact"/>
        <w:rPr>
          <w:sz w:val="20"/>
          <w:szCs w:val="20"/>
          <w:color w:val="auto"/>
        </w:rPr>
      </w:pPr>
    </w:p>
    <w:p>
      <w:pPr>
        <w:ind w:firstLine="720"/>
        <w:spacing w:after="0" w:line="277" w:lineRule="auto"/>
        <w:rPr>
          <w:sz w:val="20"/>
          <w:szCs w:val="20"/>
          <w:color w:val="auto"/>
        </w:rPr>
      </w:pPr>
      <w:r>
        <w:rPr>
          <w:rFonts w:ascii="Arial" w:cs="Arial" w:eastAsia="Arial" w:hAnsi="Arial"/>
          <w:sz w:val="18"/>
          <w:szCs w:val="18"/>
          <w:color w:val="auto"/>
        </w:rPr>
        <w:t>Any provision contained in these Articles of Incorporation may be amended solely by the affirmative vote of the holders of a majority of the shares entitled to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40"/>
          </w:cols>
          <w:pgMar w:left="240" w:top="611" w:right="319" w:bottom="1440" w:gutter="0" w:footer="0" w:header="0"/>
        </w:sectPr>
      </w:pPr>
    </w:p>
    <w:bookmarkStart w:id="21" w:name="page22"/>
    <w:bookmarkEnd w:id="21"/>
    <w:p>
      <w:pPr>
        <w:jc w:val="right"/>
        <w:spacing w:after="0"/>
        <w:rPr>
          <w:sz w:val="20"/>
          <w:szCs w:val="20"/>
          <w:color w:val="auto"/>
        </w:rPr>
      </w:pPr>
      <w:r>
        <w:rPr>
          <w:rFonts w:ascii="Arial" w:cs="Arial" w:eastAsia="Arial" w:hAnsi="Arial"/>
          <w:sz w:val="22"/>
          <w:szCs w:val="22"/>
          <w:b w:val="1"/>
          <w:bCs w:val="1"/>
          <w:color w:val="auto"/>
        </w:rPr>
        <w:t>Exhibit 10.1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920" w:type="dxa"/>
            <w:vAlign w:val="bottom"/>
            <w:gridSpan w:val="6"/>
          </w:tcPr>
          <w:p>
            <w:pPr>
              <w:jc w:val="center"/>
              <w:ind w:right="4480"/>
              <w:spacing w:after="0"/>
              <w:rPr>
                <w:sz w:val="20"/>
                <w:szCs w:val="20"/>
                <w:color w:val="auto"/>
              </w:rPr>
            </w:pPr>
            <w:r>
              <w:rPr>
                <w:rFonts w:ascii="Arial" w:cs="Arial" w:eastAsia="Arial" w:hAnsi="Arial"/>
                <w:sz w:val="22"/>
                <w:szCs w:val="22"/>
                <w:b w:val="1"/>
                <w:bCs w:val="1"/>
                <w:color w:val="auto"/>
                <w:w w:val="96"/>
              </w:rPr>
              <w:t>HAWKINS, INC.</w:t>
            </w:r>
          </w:p>
        </w:tc>
      </w:tr>
      <w:tr>
        <w:trPr>
          <w:trHeight w:val="486"/>
        </w:trPr>
        <w:tc>
          <w:tcPr>
            <w:tcW w:w="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60" w:type="dxa"/>
            <w:vAlign w:val="bottom"/>
            <w:gridSpan w:val="8"/>
          </w:tcPr>
          <w:p>
            <w:pPr>
              <w:jc w:val="center"/>
              <w:ind w:right="3740"/>
              <w:spacing w:after="0"/>
              <w:rPr>
                <w:sz w:val="20"/>
                <w:szCs w:val="20"/>
                <w:color w:val="auto"/>
              </w:rPr>
            </w:pPr>
            <w:r>
              <w:rPr>
                <w:rFonts w:ascii="Arial" w:cs="Arial" w:eastAsia="Arial" w:hAnsi="Arial"/>
                <w:sz w:val="22"/>
                <w:szCs w:val="22"/>
                <w:b w:val="1"/>
                <w:bCs w:val="1"/>
                <w:color w:val="auto"/>
                <w:w w:val="96"/>
              </w:rPr>
              <w:t>2010 OMNIBUS INCENTIVE PLAN</w:t>
            </w:r>
          </w:p>
        </w:tc>
      </w:tr>
      <w:tr>
        <w:trPr>
          <w:trHeight w:val="625"/>
        </w:trPr>
        <w:tc>
          <w:tcPr>
            <w:tcW w:w="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9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b w:val="1"/>
                <w:bCs w:val="1"/>
                <w:color w:val="auto"/>
                <w:w w:val="97"/>
              </w:rPr>
              <w:t>P</w:t>
            </w:r>
            <w:r>
              <w:rPr>
                <w:rFonts w:ascii="Arial" w:cs="Arial" w:eastAsia="Arial" w:hAnsi="Arial"/>
                <w:sz w:val="12"/>
                <w:szCs w:val="12"/>
                <w:b w:val="1"/>
                <w:bCs w:val="1"/>
                <w:color w:val="auto"/>
                <w:w w:val="97"/>
              </w:rPr>
              <w:t>ERFORMANCE</w:t>
            </w:r>
            <w:r>
              <w:rPr>
                <w:rFonts w:ascii="Arial" w:cs="Arial" w:eastAsia="Arial" w:hAnsi="Arial"/>
                <w:sz w:val="18"/>
                <w:szCs w:val="18"/>
                <w:b w:val="1"/>
                <w:bCs w:val="1"/>
                <w:color w:val="auto"/>
                <w:w w:val="97"/>
              </w:rPr>
              <w:t>-B</w:t>
            </w:r>
            <w:r>
              <w:rPr>
                <w:rFonts w:ascii="Arial" w:cs="Arial" w:eastAsia="Arial" w:hAnsi="Arial"/>
                <w:sz w:val="12"/>
                <w:szCs w:val="12"/>
                <w:b w:val="1"/>
                <w:bCs w:val="1"/>
                <w:color w:val="auto"/>
                <w:w w:val="97"/>
              </w:rPr>
              <w:t>ASED</w:t>
            </w:r>
            <w:r>
              <w:rPr>
                <w:rFonts w:ascii="Arial" w:cs="Arial" w:eastAsia="Arial" w:hAnsi="Arial"/>
                <w:sz w:val="18"/>
                <w:szCs w:val="18"/>
                <w:b w:val="1"/>
                <w:bCs w:val="1"/>
                <w:color w:val="auto"/>
                <w:w w:val="97"/>
              </w:rPr>
              <w:t xml:space="preserve"> U</w:t>
            </w:r>
            <w:r>
              <w:rPr>
                <w:rFonts w:ascii="Arial" w:cs="Arial" w:eastAsia="Arial" w:hAnsi="Arial"/>
                <w:sz w:val="12"/>
                <w:szCs w:val="12"/>
                <w:b w:val="1"/>
                <w:bCs w:val="1"/>
                <w:color w:val="auto"/>
                <w:w w:val="97"/>
              </w:rPr>
              <w:t>NIT</w:t>
            </w:r>
            <w:r>
              <w:rPr>
                <w:rFonts w:ascii="Arial" w:cs="Arial" w:eastAsia="Arial" w:hAnsi="Arial"/>
                <w:sz w:val="18"/>
                <w:szCs w:val="18"/>
                <w:b w:val="1"/>
                <w:bCs w:val="1"/>
                <w:color w:val="auto"/>
                <w:w w:val="97"/>
              </w:rPr>
              <w:t xml:space="preserve"> A</w:t>
            </w:r>
            <w:r>
              <w:rPr>
                <w:rFonts w:ascii="Arial" w:cs="Arial" w:eastAsia="Arial" w:hAnsi="Arial"/>
                <w:sz w:val="12"/>
                <w:szCs w:val="12"/>
                <w:b w:val="1"/>
                <w:bCs w:val="1"/>
                <w:color w:val="auto"/>
                <w:w w:val="97"/>
              </w:rPr>
              <w:t>WARD</w:t>
            </w:r>
            <w:r>
              <w:rPr>
                <w:rFonts w:ascii="Arial" w:cs="Arial" w:eastAsia="Arial" w:hAnsi="Arial"/>
                <w:sz w:val="18"/>
                <w:szCs w:val="18"/>
                <w:b w:val="1"/>
                <w:bCs w:val="1"/>
                <w:color w:val="auto"/>
                <w:w w:val="97"/>
              </w:rPr>
              <w:t xml:space="preserve"> N</w:t>
            </w:r>
            <w:r>
              <w:rPr>
                <w:rFonts w:ascii="Arial" w:cs="Arial" w:eastAsia="Arial" w:hAnsi="Arial"/>
                <w:sz w:val="12"/>
                <w:szCs w:val="12"/>
                <w:b w:val="1"/>
                <w:bCs w:val="1"/>
                <w:color w:val="auto"/>
                <w:w w:val="97"/>
              </w:rPr>
              <w:t>OTICE</w:t>
            </w:r>
          </w:p>
        </w:tc>
        <w:tc>
          <w:tcPr>
            <w:tcW w:w="4240" w:type="dxa"/>
            <w:vAlign w:val="bottom"/>
            <w:gridSpan w:val="3"/>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920" w:type="dxa"/>
            <w:vAlign w:val="bottom"/>
            <w:gridSpan w:val="6"/>
          </w:tcPr>
          <w:p>
            <w:pPr>
              <w:jc w:val="center"/>
              <w:ind w:right="4480"/>
              <w:spacing w:after="0" w:line="196" w:lineRule="exact"/>
              <w:rPr>
                <w:sz w:val="20"/>
                <w:szCs w:val="20"/>
                <w:color w:val="auto"/>
              </w:rPr>
            </w:pPr>
            <w:r>
              <w:rPr>
                <w:rFonts w:ascii="Arial" w:cs="Arial" w:eastAsia="Arial" w:hAnsi="Arial"/>
                <w:sz w:val="12"/>
                <w:szCs w:val="12"/>
                <w:b w:val="1"/>
                <w:bCs w:val="1"/>
                <w:color w:val="auto"/>
                <w:w w:val="99"/>
              </w:rPr>
              <w:t xml:space="preserve">AND </w:t>
            </w:r>
            <w:r>
              <w:rPr>
                <w:rFonts w:ascii="Arial" w:cs="Arial" w:eastAsia="Arial" w:hAnsi="Arial"/>
                <w:sz w:val="18"/>
                <w:szCs w:val="18"/>
                <w:b w:val="1"/>
                <w:bCs w:val="1"/>
                <w:color w:val="auto"/>
                <w:w w:val="99"/>
              </w:rPr>
              <w:t>R</w:t>
            </w:r>
            <w:r>
              <w:rPr>
                <w:rFonts w:ascii="Arial" w:cs="Arial" w:eastAsia="Arial" w:hAnsi="Arial"/>
                <w:sz w:val="12"/>
                <w:szCs w:val="12"/>
                <w:b w:val="1"/>
                <w:bCs w:val="1"/>
                <w:color w:val="auto"/>
                <w:w w:val="99"/>
              </w:rPr>
              <w:t xml:space="preserve">ESTRICTED </w:t>
            </w:r>
            <w:r>
              <w:rPr>
                <w:rFonts w:ascii="Arial" w:cs="Arial" w:eastAsia="Arial" w:hAnsi="Arial"/>
                <w:sz w:val="18"/>
                <w:szCs w:val="18"/>
                <w:b w:val="1"/>
                <w:bCs w:val="1"/>
                <w:color w:val="auto"/>
                <w:w w:val="99"/>
              </w:rPr>
              <w:t>S</w:t>
            </w:r>
            <w:r>
              <w:rPr>
                <w:rFonts w:ascii="Arial" w:cs="Arial" w:eastAsia="Arial" w:hAnsi="Arial"/>
                <w:sz w:val="12"/>
                <w:szCs w:val="12"/>
                <w:b w:val="1"/>
                <w:bCs w:val="1"/>
                <w:color w:val="auto"/>
                <w:w w:val="99"/>
              </w:rPr>
              <w:t xml:space="preserve">TOCK </w:t>
            </w:r>
            <w:r>
              <w:rPr>
                <w:rFonts w:ascii="Arial" w:cs="Arial" w:eastAsia="Arial" w:hAnsi="Arial"/>
                <w:sz w:val="18"/>
                <w:szCs w:val="18"/>
                <w:b w:val="1"/>
                <w:bCs w:val="1"/>
                <w:color w:val="auto"/>
                <w:w w:val="99"/>
              </w:rPr>
              <w:t>A</w:t>
            </w:r>
            <w:r>
              <w:rPr>
                <w:rFonts w:ascii="Arial" w:cs="Arial" w:eastAsia="Arial" w:hAnsi="Arial"/>
                <w:sz w:val="12"/>
                <w:szCs w:val="12"/>
                <w:b w:val="1"/>
                <w:bCs w:val="1"/>
                <w:color w:val="auto"/>
                <w:w w:val="99"/>
              </w:rPr>
              <w:t>GREEMENT</w:t>
            </w:r>
          </w:p>
        </w:tc>
      </w:tr>
      <w:tr>
        <w:trPr>
          <w:trHeight w:val="277"/>
        </w:trPr>
        <w:tc>
          <w:tcPr>
            <w:tcW w:w="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3720" w:type="dxa"/>
            <w:vAlign w:val="bottom"/>
            <w:gridSpan w:val="3"/>
          </w:tcPr>
          <w:p>
            <w:pPr>
              <w:ind w:left="100"/>
              <w:spacing w:after="0"/>
              <w:rPr>
                <w:sz w:val="20"/>
                <w:szCs w:val="20"/>
                <w:color w:val="auto"/>
              </w:rPr>
            </w:pPr>
            <w:r>
              <w:rPr>
                <w:rFonts w:ascii="Arial" w:cs="Arial" w:eastAsia="Arial" w:hAnsi="Arial"/>
                <w:sz w:val="18"/>
                <w:szCs w:val="18"/>
                <w:color w:val="auto"/>
              </w:rPr>
              <w:t>Name of Participant:</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c>
          <w:tcPr>
            <w:tcW w:w="184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3720" w:type="dxa"/>
            <w:vAlign w:val="bottom"/>
            <w:gridSpan w:val="3"/>
          </w:tcPr>
          <w:p>
            <w:pPr>
              <w:ind w:left="100"/>
              <w:spacing w:after="0"/>
              <w:rPr>
                <w:sz w:val="20"/>
                <w:szCs w:val="20"/>
                <w:color w:val="auto"/>
              </w:rPr>
            </w:pPr>
            <w:r>
              <w:rPr>
                <w:rFonts w:ascii="Arial" w:cs="Arial" w:eastAsia="Arial" w:hAnsi="Arial"/>
                <w:sz w:val="18"/>
                <w:szCs w:val="18"/>
                <w:color w:val="auto"/>
              </w:rPr>
              <w:t>Maximum Number of Units:</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Borders>
              <w:right w:val="single" w:sz="8" w:color="auto"/>
            </w:tcBorders>
          </w:tcPr>
          <w:p>
            <w:pPr>
              <w:spacing w:after="0"/>
              <w:rPr>
                <w:sz w:val="19"/>
                <w:szCs w:val="19"/>
                <w:color w:val="auto"/>
              </w:rPr>
            </w:pPr>
          </w:p>
        </w:tc>
        <w:tc>
          <w:tcPr>
            <w:tcW w:w="570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Unit Grant Date:</w:t>
            </w: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c>
          <w:tcPr>
            <w:tcW w:w="184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3720" w:type="dxa"/>
            <w:vAlign w:val="bottom"/>
            <w:gridSpan w:val="3"/>
          </w:tcPr>
          <w:p>
            <w:pPr>
              <w:ind w:left="100"/>
              <w:spacing w:after="0"/>
              <w:rPr>
                <w:sz w:val="20"/>
                <w:szCs w:val="20"/>
                <w:color w:val="auto"/>
              </w:rPr>
            </w:pPr>
            <w:r>
              <w:rPr>
                <w:rFonts w:ascii="Arial" w:cs="Arial" w:eastAsia="Arial" w:hAnsi="Arial"/>
                <w:sz w:val="18"/>
                <w:szCs w:val="18"/>
                <w:color w:val="auto"/>
              </w:rPr>
              <w:t>Performance Period Start Date:</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Borders>
              <w:right w:val="single" w:sz="8" w:color="auto"/>
            </w:tcBorders>
          </w:tcPr>
          <w:p>
            <w:pPr>
              <w:spacing w:after="0"/>
              <w:rPr>
                <w:sz w:val="19"/>
                <w:szCs w:val="19"/>
                <w:color w:val="auto"/>
              </w:rPr>
            </w:pPr>
          </w:p>
        </w:tc>
        <w:tc>
          <w:tcPr>
            <w:tcW w:w="570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Performance Period End Date:</w:t>
            </w: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c>
          <w:tcPr>
            <w:tcW w:w="1840" w:type="dxa"/>
            <w:vAlign w:val="bottom"/>
            <w:tcBorders>
              <w:bottom w:val="single" w:sz="8" w:color="auto"/>
              <w:right w:val="single" w:sz="8" w:color="auto"/>
            </w:tcBorders>
          </w:tcPr>
          <w:p>
            <w:pPr>
              <w:spacing w:after="0"/>
              <w:rPr>
                <w:sz w:val="17"/>
                <w:szCs w:val="17"/>
                <w:color w:val="auto"/>
              </w:rPr>
            </w:pPr>
          </w:p>
        </w:tc>
      </w:tr>
      <w:tr>
        <w:trPr>
          <w:trHeight w:val="169"/>
        </w:trPr>
        <w:tc>
          <w:tcPr>
            <w:tcW w:w="40" w:type="dxa"/>
            <w:vAlign w:val="bottom"/>
            <w:tcBorders>
              <w:right w:val="single" w:sz="8" w:color="auto"/>
            </w:tcBorders>
            <w:shd w:val="clear" w:color="auto" w:fill="000000"/>
          </w:tcPr>
          <w:p>
            <w:pPr>
              <w:spacing w:after="0"/>
              <w:rPr>
                <w:sz w:val="14"/>
                <w:szCs w:val="14"/>
                <w:color w:val="auto"/>
              </w:rPr>
            </w:pPr>
          </w:p>
        </w:tc>
        <w:tc>
          <w:tcPr>
            <w:tcW w:w="3720" w:type="dxa"/>
            <w:vAlign w:val="bottom"/>
            <w:gridSpan w:val="3"/>
          </w:tcPr>
          <w:p>
            <w:pPr>
              <w:ind w:left="2220"/>
              <w:spacing w:after="0" w:line="170" w:lineRule="exact"/>
              <w:rPr>
                <w:sz w:val="20"/>
                <w:szCs w:val="20"/>
                <w:color w:val="auto"/>
              </w:rPr>
            </w:pPr>
            <w:r>
              <w:rPr>
                <w:rFonts w:ascii="Arial" w:cs="Arial" w:eastAsia="Arial" w:hAnsi="Arial"/>
                <w:sz w:val="18"/>
                <w:szCs w:val="18"/>
                <w:color w:val="auto"/>
              </w:rPr>
              <w:t>Unit Vesting Date</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920" w:type="dxa"/>
            <w:vAlign w:val="bottom"/>
            <w:tcBorders>
              <w:right w:val="single" w:sz="8" w:color="auto"/>
            </w:tcBorders>
            <w:gridSpan w:val="2"/>
          </w:tcPr>
          <w:p>
            <w:pPr>
              <w:spacing w:after="0" w:line="170" w:lineRule="exact"/>
              <w:rPr>
                <w:sz w:val="20"/>
                <w:szCs w:val="20"/>
                <w:color w:val="auto"/>
              </w:rPr>
            </w:pPr>
            <w:r>
              <w:rPr>
                <w:rFonts w:ascii="Arial" w:cs="Arial" w:eastAsia="Arial" w:hAnsi="Arial"/>
                <w:sz w:val="18"/>
                <w:szCs w:val="18"/>
                <w:color w:val="auto"/>
              </w:rPr>
              <w:t>Restricted Share Vesting Date</w:t>
            </w:r>
          </w:p>
        </w:tc>
      </w:tr>
      <w:tr>
        <w:trPr>
          <w:trHeight w:val="453"/>
        </w:trPr>
        <w:tc>
          <w:tcPr>
            <w:tcW w:w="40" w:type="dxa"/>
            <w:vAlign w:val="bottom"/>
            <w:tcBorders>
              <w:top w:val="single" w:sz="8" w:color="auto"/>
              <w:bottom w:val="single" w:sz="8" w:color="auto"/>
              <w:right w:val="single" w:sz="8" w:color="auto"/>
            </w:tcBorders>
            <w:shd w:val="clear" w:color="auto" w:fill="000000"/>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80" w:type="dxa"/>
            <w:vAlign w:val="bottom"/>
            <w:tcBorders>
              <w:top w:val="single" w:sz="8" w:color="auto"/>
              <w:bottom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right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This is a P</w:t>
      </w:r>
      <w:r>
        <w:rPr>
          <w:rFonts w:ascii="Arial" w:cs="Arial" w:eastAsia="Arial" w:hAnsi="Arial"/>
          <w:sz w:val="12"/>
          <w:szCs w:val="12"/>
          <w:color w:val="auto"/>
        </w:rPr>
        <w:t>ERFORMANCE</w:t>
      </w:r>
      <w:r>
        <w:rPr>
          <w:rFonts w:ascii="Arial" w:cs="Arial" w:eastAsia="Arial" w:hAnsi="Arial"/>
          <w:sz w:val="18"/>
          <w:szCs w:val="18"/>
          <w:color w:val="auto"/>
        </w:rPr>
        <w:t>-B</w:t>
      </w:r>
      <w:r>
        <w:rPr>
          <w:rFonts w:ascii="Arial" w:cs="Arial" w:eastAsia="Arial" w:hAnsi="Arial"/>
          <w:sz w:val="12"/>
          <w:szCs w:val="12"/>
          <w:color w:val="auto"/>
        </w:rPr>
        <w:t>ASED</w:t>
      </w:r>
      <w:r>
        <w:rPr>
          <w:rFonts w:ascii="Arial" w:cs="Arial" w:eastAsia="Arial" w:hAnsi="Arial"/>
          <w:sz w:val="18"/>
          <w:szCs w:val="18"/>
          <w:color w:val="auto"/>
        </w:rPr>
        <w:t xml:space="preserve"> U</w:t>
      </w:r>
      <w:r>
        <w:rPr>
          <w:rFonts w:ascii="Arial" w:cs="Arial" w:eastAsia="Arial" w:hAnsi="Arial"/>
          <w:sz w:val="12"/>
          <w:szCs w:val="12"/>
          <w:color w:val="auto"/>
        </w:rPr>
        <w:t>NIT</w:t>
      </w:r>
      <w:r>
        <w:rPr>
          <w:rFonts w:ascii="Arial" w:cs="Arial" w:eastAsia="Arial" w:hAnsi="Arial"/>
          <w:sz w:val="18"/>
          <w:szCs w:val="18"/>
          <w:color w:val="auto"/>
        </w:rPr>
        <w:t xml:space="preserve"> A</w:t>
      </w:r>
      <w:r>
        <w:rPr>
          <w:rFonts w:ascii="Arial" w:cs="Arial" w:eastAsia="Arial" w:hAnsi="Arial"/>
          <w:sz w:val="12"/>
          <w:szCs w:val="12"/>
          <w:color w:val="auto"/>
        </w:rPr>
        <w:t>WARD</w:t>
      </w:r>
      <w:r>
        <w:rPr>
          <w:rFonts w:ascii="Arial" w:cs="Arial" w:eastAsia="Arial" w:hAnsi="Arial"/>
          <w:sz w:val="18"/>
          <w:szCs w:val="18"/>
          <w:color w:val="auto"/>
        </w:rPr>
        <w:t xml:space="preserve"> N</w:t>
      </w:r>
      <w:r>
        <w:rPr>
          <w:rFonts w:ascii="Arial" w:cs="Arial" w:eastAsia="Arial" w:hAnsi="Arial"/>
          <w:sz w:val="12"/>
          <w:szCs w:val="12"/>
          <w:color w:val="auto"/>
        </w:rPr>
        <w:t>OTICE AND</w:t>
      </w:r>
      <w:r>
        <w:rPr>
          <w:rFonts w:ascii="Arial" w:cs="Arial" w:eastAsia="Arial" w:hAnsi="Arial"/>
          <w:sz w:val="18"/>
          <w:szCs w:val="18"/>
          <w:color w:val="auto"/>
        </w:rPr>
        <w:t xml:space="preserve"> R</w:t>
      </w:r>
      <w:r>
        <w:rPr>
          <w:rFonts w:ascii="Arial" w:cs="Arial" w:eastAsia="Arial" w:hAnsi="Arial"/>
          <w:sz w:val="12"/>
          <w:szCs w:val="12"/>
          <w:color w:val="auto"/>
        </w:rPr>
        <w:t>ESTRICTED</w:t>
      </w:r>
      <w:r>
        <w:rPr>
          <w:rFonts w:ascii="Arial" w:cs="Arial" w:eastAsia="Arial" w:hAnsi="Arial"/>
          <w:sz w:val="18"/>
          <w:szCs w:val="18"/>
          <w:color w:val="auto"/>
        </w:rPr>
        <w:t xml:space="preserve"> S</w:t>
      </w:r>
      <w:r>
        <w:rPr>
          <w:rFonts w:ascii="Arial" w:cs="Arial" w:eastAsia="Arial" w:hAnsi="Arial"/>
          <w:sz w:val="12"/>
          <w:szCs w:val="12"/>
          <w:color w:val="auto"/>
        </w:rPr>
        <w:t>TOCK</w:t>
      </w:r>
      <w:r>
        <w:rPr>
          <w:rFonts w:ascii="Arial" w:cs="Arial" w:eastAsia="Arial" w:hAnsi="Arial"/>
          <w:sz w:val="18"/>
          <w:szCs w:val="18"/>
          <w:color w:val="auto"/>
        </w:rPr>
        <w:t xml:space="preserve"> A</w:t>
      </w:r>
      <w:r>
        <w:rPr>
          <w:rFonts w:ascii="Arial" w:cs="Arial" w:eastAsia="Arial" w:hAnsi="Arial"/>
          <w:sz w:val="12"/>
          <w:szCs w:val="12"/>
          <w:color w:val="auto"/>
        </w:rPr>
        <w:t>GREEMENT</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between Hawkins, Inc., a Minnesota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the above-named participant (the “</w:t>
      </w:r>
      <w:r>
        <w:rPr>
          <w:rFonts w:ascii="Arial" w:cs="Arial" w:eastAsia="Arial" w:hAnsi="Arial"/>
          <w:sz w:val="18"/>
          <w:szCs w:val="18"/>
          <w:b w:val="1"/>
          <w:bCs w:val="1"/>
          <w:color w:val="auto"/>
        </w:rPr>
        <w:t>Participant</w:t>
      </w:r>
      <w:r>
        <w:rPr>
          <w:rFonts w:ascii="Arial" w:cs="Arial" w:eastAsia="Arial" w:hAnsi="Arial"/>
          <w:sz w:val="18"/>
          <w:szCs w:val="18"/>
          <w:color w:val="auto"/>
        </w:rPr>
        <w:t>”) effective as of the Unit Grant Date specified above.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w:t>
      </w:r>
    </w:p>
    <w:p>
      <w:pPr>
        <w:spacing w:after="0" w:line="225" w:lineRule="exact"/>
        <w:rPr>
          <w:sz w:val="20"/>
          <w:szCs w:val="20"/>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maintains the Hawkins, Inc. 2010 Omnibus Incentive Plan (as amended from time to time, the “</w:t>
      </w:r>
      <w:r>
        <w:rPr>
          <w:rFonts w:ascii="Arial" w:cs="Arial" w:eastAsia="Arial" w:hAnsi="Arial"/>
          <w:sz w:val="18"/>
          <w:szCs w:val="18"/>
          <w:b w:val="1"/>
          <w:bCs w:val="1"/>
          <w:color w:val="auto"/>
        </w:rPr>
        <w:t>Plan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580" w:right="20" w:hanging="572"/>
        <w:spacing w:after="0" w:line="313" w:lineRule="auto"/>
        <w:tabs>
          <w:tab w:leader="none" w:pos="580" w:val="left"/>
        </w:tabs>
        <w:numPr>
          <w:ilvl w:val="0"/>
          <w:numId w:val="4"/>
        </w:numPr>
        <w:rPr>
          <w:rFonts w:ascii="Arial" w:cs="Arial" w:eastAsia="Arial" w:hAnsi="Arial"/>
          <w:sz w:val="17"/>
          <w:szCs w:val="17"/>
          <w:color w:val="auto"/>
        </w:rPr>
      </w:pPr>
      <w:r>
        <w:rPr>
          <w:rFonts w:ascii="Arial" w:cs="Arial" w:eastAsia="Arial" w:hAnsi="Arial"/>
          <w:sz w:val="17"/>
          <w:szCs w:val="17"/>
          <w:color w:val="auto"/>
        </w:rPr>
        <w:t>Under the Plan, a committee of two or more non-employee directors of the Company (the “</w:t>
      </w:r>
      <w:r>
        <w:rPr>
          <w:rFonts w:ascii="Arial" w:cs="Arial" w:eastAsia="Arial" w:hAnsi="Arial"/>
          <w:sz w:val="17"/>
          <w:szCs w:val="17"/>
          <w:b w:val="1"/>
          <w:bCs w:val="1"/>
          <w:color w:val="auto"/>
        </w:rPr>
        <w:t>Committee</w:t>
      </w:r>
      <w:r>
        <w:rPr>
          <w:rFonts w:ascii="Arial" w:cs="Arial" w:eastAsia="Arial" w:hAnsi="Arial"/>
          <w:sz w:val="17"/>
          <w:szCs w:val="17"/>
          <w:color w:val="auto"/>
        </w:rPr>
        <w:t>”) designated by the Board of Directors of the Company (the “</w:t>
      </w:r>
      <w:r>
        <w:rPr>
          <w:rFonts w:ascii="Arial" w:cs="Arial" w:eastAsia="Arial" w:hAnsi="Arial"/>
          <w:sz w:val="17"/>
          <w:szCs w:val="17"/>
          <w:b w:val="1"/>
          <w:bCs w:val="1"/>
          <w:color w:val="auto"/>
        </w:rPr>
        <w:t>Board</w:t>
      </w:r>
      <w:r>
        <w:rPr>
          <w:rFonts w:ascii="Arial" w:cs="Arial" w:eastAsia="Arial" w:hAnsi="Arial"/>
          <w:sz w:val="17"/>
          <w:szCs w:val="17"/>
          <w:color w:val="auto"/>
        </w:rPr>
        <w:t>”) administers the Plan and has the authority to determine the awards to be granted under the Plan.</w:t>
      </w:r>
    </w:p>
    <w:p>
      <w:pPr>
        <w:spacing w:after="0" w:line="142" w:lineRule="exact"/>
        <w:rPr>
          <w:rFonts w:ascii="Arial" w:cs="Arial" w:eastAsia="Arial" w:hAnsi="Arial"/>
          <w:sz w:val="17"/>
          <w:szCs w:val="17"/>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Participant, on the date hereof, is a key employee or officer of the Company or a Subsidiary of the Company.</w:t>
      </w:r>
    </w:p>
    <w:p>
      <w:pPr>
        <w:spacing w:after="0" w:line="225"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wishes to grant a performance-based restricted stock unit award to Participant payable in shares of the Company’s common stock pursuant to the Plan.</w:t>
      </w:r>
    </w:p>
    <w:p>
      <w:pPr>
        <w:spacing w:after="0" w:line="170"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Committee has determined that the Participant is eligible to receive such an award and hereby grants an award to the Participant on the terms and conditions that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355600</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Terms and Conditions*</w:t>
      </w:r>
    </w:p>
    <w:p>
      <w:pPr>
        <w:spacing w:after="0" w:line="252" w:lineRule="exact"/>
        <w:rPr>
          <w:sz w:val="20"/>
          <w:szCs w:val="20"/>
          <w:color w:val="auto"/>
        </w:rPr>
      </w:pPr>
    </w:p>
    <w:p>
      <w:pPr>
        <w:jc w:val="both"/>
        <w:ind w:left="700" w:hanging="692"/>
        <w:spacing w:after="0" w:line="287" w:lineRule="auto"/>
        <w:tabs>
          <w:tab w:leader="none" w:pos="700" w:val="left"/>
        </w:tabs>
        <w:numPr>
          <w:ilvl w:val="0"/>
          <w:numId w:val="5"/>
        </w:numPr>
        <w:rPr>
          <w:rFonts w:ascii="Arial" w:cs="Arial" w:eastAsia="Arial" w:hAnsi="Arial"/>
          <w:sz w:val="16"/>
          <w:szCs w:val="16"/>
          <w:color w:val="auto"/>
        </w:rPr>
      </w:pPr>
      <w:r>
        <w:rPr>
          <w:rFonts w:ascii="Arial" w:cs="Arial" w:eastAsia="Arial" w:hAnsi="Arial"/>
          <w:sz w:val="16"/>
          <w:szCs w:val="16"/>
          <w:b w:val="1"/>
          <w:bCs w:val="1"/>
          <w:u w:val="single" w:color="auto"/>
          <w:color w:val="auto"/>
        </w:rPr>
        <w:t>Grant</w:t>
      </w:r>
      <w:r>
        <w:rPr>
          <w:rFonts w:ascii="Arial" w:cs="Arial" w:eastAsia="Arial" w:hAnsi="Arial"/>
          <w:sz w:val="16"/>
          <w:szCs w:val="16"/>
          <w:color w:val="auto"/>
        </w:rPr>
        <w:t>. The Company hereby grants to Participant on the Grant Date that number of performance-based restricted stock units (each a “</w:t>
      </w:r>
      <w:r>
        <w:rPr>
          <w:rFonts w:ascii="Arial" w:cs="Arial" w:eastAsia="Arial" w:hAnsi="Arial"/>
          <w:sz w:val="16"/>
          <w:szCs w:val="16"/>
          <w:b w:val="1"/>
          <w:bCs w:val="1"/>
          <w:color w:val="auto"/>
        </w:rPr>
        <w:t>Unit</w:t>
      </w:r>
      <w:r>
        <w:rPr>
          <w:rFonts w:ascii="Arial" w:cs="Arial" w:eastAsia="Arial" w:hAnsi="Arial"/>
          <w:sz w:val="16"/>
          <w:szCs w:val="16"/>
          <w:color w:val="auto"/>
        </w:rPr>
        <w:t>”) equal</w:t>
      </w:r>
      <w:r>
        <w:rPr>
          <w:rFonts w:ascii="Arial" w:cs="Arial" w:eastAsia="Arial" w:hAnsi="Arial"/>
          <w:sz w:val="16"/>
          <w:szCs w:val="16"/>
          <w:b w:val="1"/>
          <w:bCs w:val="1"/>
          <w:color w:val="auto"/>
        </w:rPr>
        <w:t xml:space="preserve"> </w:t>
      </w:r>
      <w:r>
        <w:rPr>
          <w:rFonts w:ascii="Arial" w:cs="Arial" w:eastAsia="Arial" w:hAnsi="Arial"/>
          <w:sz w:val="16"/>
          <w:szCs w:val="16"/>
          <w:color w:val="auto"/>
        </w:rPr>
        <w:t>to the Maximum Number of Units specified in the table above on the terms and conditions set forth in this Agreement and as otherwise provided in the Plan. Each Unit that vests will entitle the Participant to receive either (i) one restricted share of the Company’s common stock (each a “</w:t>
      </w:r>
      <w:r>
        <w:rPr>
          <w:rFonts w:ascii="Arial" w:cs="Arial" w:eastAsia="Arial" w:hAnsi="Arial"/>
          <w:sz w:val="16"/>
          <w:szCs w:val="16"/>
          <w:b w:val="1"/>
          <w:bCs w:val="1"/>
          <w:color w:val="auto"/>
        </w:rPr>
        <w:t>Restricted Share</w:t>
      </w:r>
      <w:r>
        <w:rPr>
          <w:rFonts w:ascii="Arial" w:cs="Arial" w:eastAsia="Arial" w:hAnsi="Arial"/>
          <w:sz w:val="16"/>
          <w:szCs w:val="16"/>
          <w:color w:val="auto"/>
        </w:rPr>
        <w:t>”), which shall remain forfeitable by the Participant unti l satisfaction of the vesting conditions set forth in Section 5(a) hereof, or</w:t>
      </w:r>
    </w:p>
    <w:p>
      <w:pPr>
        <w:spacing w:after="0" w:line="2" w:lineRule="exact"/>
        <w:rPr>
          <w:rFonts w:ascii="Arial" w:cs="Arial" w:eastAsia="Arial" w:hAnsi="Arial"/>
          <w:sz w:val="16"/>
          <w:szCs w:val="16"/>
          <w:color w:val="auto"/>
        </w:rPr>
      </w:pPr>
    </w:p>
    <w:p>
      <w:pPr>
        <w:ind w:left="960" w:hanging="263"/>
        <w:spacing w:after="0"/>
        <w:tabs>
          <w:tab w:leader="none" w:pos="960" w:val="left"/>
        </w:tabs>
        <w:numPr>
          <w:ilvl w:val="1"/>
          <w:numId w:val="5"/>
        </w:numPr>
        <w:rPr>
          <w:rFonts w:ascii="Arial" w:cs="Arial" w:eastAsia="Arial" w:hAnsi="Arial"/>
          <w:sz w:val="17"/>
          <w:szCs w:val="17"/>
          <w:color w:val="auto"/>
        </w:rPr>
      </w:pPr>
      <w:r>
        <w:rPr>
          <w:rFonts w:ascii="Arial" w:cs="Arial" w:eastAsia="Arial" w:hAnsi="Arial"/>
          <w:sz w:val="17"/>
          <w:szCs w:val="17"/>
          <w:color w:val="auto"/>
        </w:rPr>
        <w:t>one unrestricted share of the Company’s common stock (each an “</w:t>
      </w:r>
      <w:r>
        <w:rPr>
          <w:rFonts w:ascii="Arial" w:cs="Arial" w:eastAsia="Arial" w:hAnsi="Arial"/>
          <w:sz w:val="17"/>
          <w:szCs w:val="17"/>
          <w:b w:val="1"/>
          <w:bCs w:val="1"/>
          <w:color w:val="auto"/>
        </w:rPr>
        <w:t>Unrestricted Share</w:t>
      </w:r>
      <w:r>
        <w:rPr>
          <w:rFonts w:ascii="Arial" w:cs="Arial" w:eastAsia="Arial" w:hAnsi="Arial"/>
          <w:sz w:val="17"/>
          <w:szCs w:val="17"/>
          <w:color w:val="auto"/>
        </w:rPr>
        <w:t>”), as hereinafter provided for in this Agreement.</w:t>
      </w:r>
    </w:p>
    <w:p>
      <w:pPr>
        <w:spacing w:after="0" w:line="245" w:lineRule="exact"/>
        <w:rPr>
          <w:rFonts w:ascii="Arial" w:cs="Arial" w:eastAsia="Arial" w:hAnsi="Arial"/>
          <w:sz w:val="17"/>
          <w:szCs w:val="17"/>
          <w:color w:val="auto"/>
        </w:rPr>
      </w:pPr>
    </w:p>
    <w:p>
      <w:pPr>
        <w:jc w:val="both"/>
        <w:ind w:left="700" w:hanging="692"/>
        <w:spacing w:after="0" w:line="256"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b w:val="1"/>
          <w:bCs w:val="1"/>
          <w:u w:val="single" w:color="auto"/>
          <w:color w:val="auto"/>
        </w:rPr>
        <w:t>Nature of Units</w:t>
      </w:r>
      <w:r>
        <w:rPr>
          <w:rFonts w:ascii="Arial" w:cs="Arial" w:eastAsia="Arial" w:hAnsi="Arial"/>
          <w:sz w:val="18"/>
          <w:szCs w:val="18"/>
          <w:color w:val="auto"/>
        </w:rPr>
        <w:t>. The Units granted pursuant to this Agreement are bookkeeping entries only and do not provide the Participant with any dividend,</w:t>
      </w:r>
      <w:r>
        <w:rPr>
          <w:rFonts w:ascii="Arial" w:cs="Arial" w:eastAsia="Arial" w:hAnsi="Arial"/>
          <w:sz w:val="18"/>
          <w:szCs w:val="18"/>
          <w:b w:val="1"/>
          <w:bCs w:val="1"/>
          <w:color w:val="auto"/>
        </w:rPr>
        <w:t xml:space="preserve"> </w:t>
      </w:r>
      <w:r>
        <w:rPr>
          <w:rFonts w:ascii="Arial" w:cs="Arial" w:eastAsia="Arial" w:hAnsi="Arial"/>
          <w:sz w:val="18"/>
          <w:szCs w:val="18"/>
          <w:color w:val="auto"/>
        </w:rPr>
        <w:t>voting or other rights of a stockholder of the Company. The Units shall remain forfeitable at all times unless and to the extent the vesting conditions set forth in Sections 3 or 4 of this Agreement are satisfied. Neither this Agreement nor the Units may be sold, transferred, assigned, encumbered or otherwise disposed of, except by will or the laws of descent and distribution in the event of the Participant’s death. Any attempt to otherwise transfer the Units or this Agreement shall be void and without effect. Any determination of a number of Units to vest under this Agreement will be rounded up to the nearest whole Unit.</w:t>
      </w:r>
    </w:p>
    <w:p>
      <w:pPr>
        <w:spacing w:after="0" w:line="214" w:lineRule="exact"/>
        <w:rPr>
          <w:rFonts w:ascii="Arial" w:cs="Arial" w:eastAsia="Arial" w:hAnsi="Arial"/>
          <w:sz w:val="18"/>
          <w:szCs w:val="18"/>
          <w:color w:val="auto"/>
        </w:rPr>
      </w:pPr>
    </w:p>
    <w:p>
      <w:pPr>
        <w:jc w:val="both"/>
        <w:ind w:left="700" w:hanging="692"/>
        <w:spacing w:after="0" w:line="255"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b w:val="1"/>
          <w:bCs w:val="1"/>
          <w:u w:val="single" w:color="auto"/>
          <w:color w:val="auto"/>
        </w:rPr>
        <w:t>Vesting of Units</w:t>
      </w:r>
      <w:r>
        <w:rPr>
          <w:rFonts w:ascii="Arial" w:cs="Arial" w:eastAsia="Arial" w:hAnsi="Arial"/>
          <w:sz w:val="18"/>
          <w:szCs w:val="18"/>
          <w:color w:val="auto"/>
        </w:rPr>
        <w:t>. Except as otherwise provided in Section 4 hereof and subject to Section 6 hereof, if, after the Performance Period has concluded,</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Committee certifies (the “</w:t>
      </w:r>
      <w:r>
        <w:rPr>
          <w:rFonts w:ascii="Arial" w:cs="Arial" w:eastAsia="Arial" w:hAnsi="Arial"/>
          <w:sz w:val="18"/>
          <w:szCs w:val="18"/>
          <w:b w:val="1"/>
          <w:bCs w:val="1"/>
          <w:color w:val="auto"/>
        </w:rPr>
        <w:t>Committee Certification</w:t>
      </w:r>
      <w:r>
        <w:rPr>
          <w:rFonts w:ascii="Arial" w:cs="Arial" w:eastAsia="Arial" w:hAnsi="Arial"/>
          <w:sz w:val="18"/>
          <w:szCs w:val="18"/>
          <w:color w:val="auto"/>
        </w:rPr>
        <w:t xml:space="preserve">”) that the Company achieved at least the Minimum Performance Threshold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this Agreement, then a number of Units, as determined by the procedures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will vest immediately. As soon as practicable after the Committee Certification, but no later than July 15 of the Company fiscal year following the end of the Performance Period, the Company will cause to be issued to the Participant (or the Participant’s beneficiary or personal representative) one Restricted Share in payment and settlement of each vested Unit. Immediately after the Committee Certification, the Participant shall forfeit to the Company all remaining unvested Units.</w:t>
      </w:r>
    </w:p>
    <w:p>
      <w:pPr>
        <w:spacing w:after="0" w:line="216" w:lineRule="exact"/>
        <w:rPr>
          <w:rFonts w:ascii="Arial" w:cs="Arial" w:eastAsia="Arial" w:hAnsi="Arial"/>
          <w:sz w:val="18"/>
          <w:szCs w:val="18"/>
          <w:color w:val="auto"/>
        </w:rPr>
      </w:pPr>
    </w:p>
    <w:p>
      <w:pPr>
        <w:ind w:left="700" w:hanging="692"/>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b w:val="1"/>
          <w:bCs w:val="1"/>
          <w:u w:val="single" w:color="auto"/>
          <w:color w:val="auto"/>
        </w:rPr>
        <w:t>Acceleration of Vesting</w:t>
      </w:r>
      <w:r>
        <w:rPr>
          <w:rFonts w:ascii="Arial" w:cs="Arial" w:eastAsia="Arial" w:hAnsi="Arial"/>
          <w:sz w:val="18"/>
          <w:szCs w:val="18"/>
          <w:color w:val="auto"/>
        </w:rPr>
        <w:t>.</w:t>
      </w:r>
    </w:p>
    <w:p>
      <w:pPr>
        <w:spacing w:after="0" w:line="256" w:lineRule="exact"/>
        <w:rPr>
          <w:rFonts w:ascii="Arial" w:cs="Arial" w:eastAsia="Arial" w:hAnsi="Arial"/>
          <w:sz w:val="18"/>
          <w:szCs w:val="18"/>
          <w:color w:val="auto"/>
        </w:rPr>
      </w:pPr>
    </w:p>
    <w:p>
      <w:pPr>
        <w:jc w:val="both"/>
        <w:ind w:left="1380" w:hanging="683"/>
        <w:spacing w:after="0" w:line="272" w:lineRule="auto"/>
        <w:tabs>
          <w:tab w:leader="none" w:pos="1380" w:val="left"/>
        </w:tabs>
        <w:numPr>
          <w:ilvl w:val="1"/>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Death or Disability. </w:t>
      </w:r>
      <w:r>
        <w:rPr>
          <w:rFonts w:ascii="Arial" w:cs="Arial" w:eastAsia="Arial" w:hAnsi="Arial"/>
          <w:sz w:val="17"/>
          <w:szCs w:val="17"/>
          <w:color w:val="auto"/>
        </w:rPr>
        <w:t>If the Participant’s employment with the Company and all of its Subsidiaries ceases due to death or Disability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defined in Section 7 hereof) at any time during the Performance Period, then a number of Units, as would be determined by the procedure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if the Company were to achieve 100% of the Performance Target, will vest immediately. As soon as practicable after the Participant’s employment ceases due to death or Disability, but in no event later than two and one-half months after the later of the end of the calendar year or the end of the Company fiscal year in which the death or determination of Disability oc curred, the Company will cause to be issued to the Participant (or the Participant’s beneficiary or personal representative) one Unrestricted Share in payment and settlement of each vested Unit. The Participant shall forfeit all remaining unvested Units.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117" w:lineRule="exact"/>
        <w:rPr>
          <w:sz w:val="20"/>
          <w:szCs w:val="20"/>
          <w:color w:val="auto"/>
        </w:rPr>
      </w:pPr>
    </w:p>
    <w:p>
      <w:pPr>
        <w:ind w:left="46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Unless the context indicates otherwise, terms that are not defined in this Agreement shall have the meaning set forth in the Plan as it currently exists or as it is amended in the future.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3" w:name="page24"/>
    <w:bookmarkEnd w:id="23"/>
    <w:p>
      <w:pPr>
        <w:ind w:left="802" w:hanging="802"/>
        <w:spacing w:after="0"/>
        <w:tabs>
          <w:tab w:leader="none" w:pos="802"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Fundamental Change</w:t>
      </w:r>
      <w:r>
        <w:rPr>
          <w:rFonts w:ascii="Arial" w:cs="Arial" w:eastAsia="Arial" w:hAnsi="Arial"/>
          <w:sz w:val="18"/>
          <w:szCs w:val="18"/>
          <w:color w:val="auto"/>
        </w:rPr>
        <w:t>. In the event of a proposed Fundamental Change, then one of the following must occur:</w:t>
      </w:r>
    </w:p>
    <w:p>
      <w:pPr>
        <w:spacing w:after="0" w:line="279" w:lineRule="exact"/>
        <w:rPr>
          <w:rFonts w:ascii="Arial" w:cs="Arial" w:eastAsia="Arial" w:hAnsi="Arial"/>
          <w:sz w:val="18"/>
          <w:szCs w:val="18"/>
          <w:color w:val="auto"/>
        </w:rPr>
      </w:pPr>
    </w:p>
    <w:p>
      <w:pPr>
        <w:jc w:val="both"/>
        <w:ind w:left="1602" w:hanging="805"/>
        <w:spacing w:after="0" w:line="302" w:lineRule="auto"/>
        <w:tabs>
          <w:tab w:leader="none" w:pos="1602" w:val="left"/>
        </w:tabs>
        <w:numPr>
          <w:ilvl w:val="1"/>
          <w:numId w:val="8"/>
        </w:numPr>
        <w:rPr>
          <w:rFonts w:ascii="Arial" w:cs="Arial" w:eastAsia="Arial" w:hAnsi="Arial"/>
          <w:sz w:val="16"/>
          <w:szCs w:val="16"/>
          <w:color w:val="auto"/>
        </w:rPr>
      </w:pPr>
      <w:r>
        <w:rPr>
          <w:rFonts w:ascii="Arial" w:cs="Arial" w:eastAsia="Arial" w:hAnsi="Arial"/>
          <w:sz w:val="16"/>
          <w:szCs w:val="16"/>
          <w:color w:val="auto"/>
        </w:rPr>
        <w:t>If, pending the Fundamental Change, the Committee determines that this Agreement will not continue after the Fundamental Change or that the successor entity (or its parent) will not agree to provide for the assumption or replacement of this Agreement with a comparable equity-based award covering shares of the successor entity (or its parent) that would equitably preserve the compensation element of this Agreement at the time of the Fundamental Change, then either:</w:t>
      </w:r>
    </w:p>
    <w:p>
      <w:pPr>
        <w:spacing w:after="0" w:line="181" w:lineRule="exact"/>
        <w:rPr>
          <w:rFonts w:ascii="Arial" w:cs="Arial" w:eastAsia="Arial" w:hAnsi="Arial"/>
          <w:sz w:val="16"/>
          <w:szCs w:val="16"/>
          <w:color w:val="auto"/>
        </w:rPr>
      </w:pPr>
    </w:p>
    <w:p>
      <w:pPr>
        <w:jc w:val="both"/>
        <w:ind w:left="2382" w:hanging="788"/>
        <w:spacing w:after="0" w:line="257" w:lineRule="auto"/>
        <w:tabs>
          <w:tab w:leader="none" w:pos="2382" w:val="left"/>
        </w:tabs>
        <w:numPr>
          <w:ilvl w:val="2"/>
          <w:numId w:val="8"/>
        </w:numPr>
        <w:rPr>
          <w:rFonts w:ascii="Arial" w:cs="Arial" w:eastAsia="Arial" w:hAnsi="Arial"/>
          <w:sz w:val="18"/>
          <w:szCs w:val="18"/>
          <w:color w:val="auto"/>
        </w:rPr>
      </w:pPr>
      <w:r>
        <w:rPr>
          <w:rFonts w:ascii="Arial" w:cs="Arial" w:eastAsia="Arial" w:hAnsi="Arial"/>
          <w:sz w:val="18"/>
          <w:szCs w:val="18"/>
          <w:color w:val="auto"/>
        </w:rPr>
        <w:t xml:space="preserve">If the Fundamental Change occurs during the Performance Period, then a number of Units, as would be determined by the procedure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if the Company were to achieve 100% of the Performance Target, will vest, and the Company shall cause to be issued to the Participant one Unrestricted Share in payment and settlement of each vested Unit, immediately before the consummation of the Fundamental Change. The Participant shall forfeit all remaining unvested Units.</w:t>
      </w:r>
    </w:p>
    <w:p>
      <w:pPr>
        <w:spacing w:after="0" w:line="215" w:lineRule="exact"/>
        <w:rPr>
          <w:rFonts w:ascii="Arial" w:cs="Arial" w:eastAsia="Arial" w:hAnsi="Arial"/>
          <w:sz w:val="18"/>
          <w:szCs w:val="18"/>
          <w:color w:val="auto"/>
        </w:rPr>
      </w:pPr>
    </w:p>
    <w:p>
      <w:pPr>
        <w:jc w:val="both"/>
        <w:ind w:left="2382" w:hanging="788"/>
        <w:spacing w:after="0" w:line="255" w:lineRule="auto"/>
        <w:tabs>
          <w:tab w:leader="none" w:pos="2382" w:val="left"/>
        </w:tabs>
        <w:numPr>
          <w:ilvl w:val="2"/>
          <w:numId w:val="8"/>
        </w:numPr>
        <w:rPr>
          <w:rFonts w:ascii="Arial" w:cs="Arial" w:eastAsia="Arial" w:hAnsi="Arial"/>
          <w:sz w:val="18"/>
          <w:szCs w:val="18"/>
          <w:color w:val="auto"/>
        </w:rPr>
      </w:pPr>
      <w:r>
        <w:rPr>
          <w:rFonts w:ascii="Arial" w:cs="Arial" w:eastAsia="Arial" w:hAnsi="Arial"/>
          <w:sz w:val="18"/>
          <w:szCs w:val="18"/>
          <w:color w:val="auto"/>
        </w:rPr>
        <w:t xml:space="preserve">If the Fundamental Change occurs between the end of the Performance Period and the Restricted Share Vesting Date, all of the Restricted Shares granted or to be granted under this Agreement will vest and cease to be subject to forfeiture under Subsection 5(b) hereof immediately before the consummation of the Fundamental Change. If audited financial information for the Performance Period is unavailable before the consummation of the Fundamental Change, the Committee will perform the procedure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using such financial information as may be available to it at the time.</w:t>
      </w:r>
    </w:p>
    <w:p>
      <w:pPr>
        <w:spacing w:after="0" w:line="220" w:lineRule="exact"/>
        <w:rPr>
          <w:rFonts w:ascii="Arial" w:cs="Arial" w:eastAsia="Arial" w:hAnsi="Arial"/>
          <w:sz w:val="18"/>
          <w:szCs w:val="18"/>
          <w:color w:val="auto"/>
        </w:rPr>
      </w:pPr>
    </w:p>
    <w:p>
      <w:pPr>
        <w:jc w:val="both"/>
        <w:ind w:left="1602" w:hanging="805"/>
        <w:spacing w:after="0" w:line="255" w:lineRule="auto"/>
        <w:tabs>
          <w:tab w:leader="none" w:pos="1602" w:val="left"/>
        </w:tabs>
        <w:numPr>
          <w:ilvl w:val="1"/>
          <w:numId w:val="8"/>
        </w:numPr>
        <w:rPr>
          <w:rFonts w:ascii="Arial" w:cs="Arial" w:eastAsia="Arial" w:hAnsi="Arial"/>
          <w:sz w:val="18"/>
          <w:szCs w:val="18"/>
          <w:color w:val="auto"/>
        </w:rPr>
      </w:pPr>
      <w:r>
        <w:rPr>
          <w:rFonts w:ascii="Arial" w:cs="Arial" w:eastAsia="Arial" w:hAnsi="Arial"/>
          <w:sz w:val="18"/>
          <w:szCs w:val="18"/>
          <w:color w:val="auto"/>
        </w:rPr>
        <w:t>If, in connection with the Fundamental Change, Subsection 4(b)(i) hereof is not applicable and this Agreement is continued, assumed or replaced by a comparable equity-based award covering shares of the successor entity (or its parent) that equitably preserves the compensation element of this Agreement at the time of the Fundamental Change, and if the Participant’s employment with the Company and all of its Subsidiaries (or with any successor entity) is terminated by the employer for reasons other than Cause (as defined in Section 7 hereof) or is terminated by the Participant for Good Reason (as defined in Section 7 hereof), then</w:t>
      </w:r>
    </w:p>
    <w:p>
      <w:pPr>
        <w:spacing w:after="0" w:line="220" w:lineRule="exact"/>
        <w:rPr>
          <w:sz w:val="20"/>
          <w:szCs w:val="20"/>
          <w:color w:val="auto"/>
        </w:rPr>
      </w:pPr>
    </w:p>
    <w:p>
      <w:pPr>
        <w:ind w:left="4782"/>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-516255</wp:posOffset>
            </wp:positionH>
            <wp:positionV relativeFrom="paragraph">
              <wp:posOffset>81280</wp:posOffset>
            </wp:positionV>
            <wp:extent cx="726757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602"/>
          </w:cols>
          <w:pgMar w:left="1058" w:top="611" w:right="239" w:bottom="1440" w:gutter="0" w:footer="0" w:header="0"/>
        </w:sectPr>
      </w:pPr>
    </w:p>
    <w:bookmarkStart w:id="24" w:name="page25"/>
    <w:bookmarkEnd w:id="24"/>
    <w:p>
      <w:pPr>
        <w:jc w:val="both"/>
        <w:ind w:left="3200" w:hanging="788"/>
        <w:spacing w:after="0" w:line="271" w:lineRule="auto"/>
        <w:tabs>
          <w:tab w:leader="none" w:pos="3200"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If the termination of employment occurs during the Performance Period, then a number of Units, as would be determined by the procedure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if the Company were to achieve 100% of the Performance Target, will vest immediately upon the termination of employment. As soon as practicable after the termination of employment, but in no event later than two and one-half months after the later of the end of the calendar year or the end of the Company (or successor entity) fiscal year in which the termination of employment occurred, the Company or its successor entity shall cause to be issued to the Participant one Unrestricted Share or, the equivalent in shares of stock in the surviving corporation pursuant to Section 8(b), in payment and set tlement of each vested Unit. The Participant shall forfeit all remaining unvested Units.</w:t>
      </w:r>
    </w:p>
    <w:p>
      <w:pPr>
        <w:spacing w:after="0" w:line="205" w:lineRule="exact"/>
        <w:rPr>
          <w:rFonts w:ascii="Arial" w:cs="Arial" w:eastAsia="Arial" w:hAnsi="Arial"/>
          <w:sz w:val="17"/>
          <w:szCs w:val="17"/>
          <w:color w:val="auto"/>
        </w:rPr>
      </w:pPr>
    </w:p>
    <w:p>
      <w:pPr>
        <w:jc w:val="both"/>
        <w:ind w:left="3200" w:hanging="788"/>
        <w:spacing w:after="0" w:line="293" w:lineRule="auto"/>
        <w:tabs>
          <w:tab w:leader="none" w:pos="320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If the termination of employment occurs between the end of the Performance Period and the Restricted Share Vesting Date, all of the Restricted Shares granted or to be granted under this Agreement, or equivalent shares of stock in the surviving corporation pursuant to Section 8(b), will vest and cease to be subject to forfeiture under Subsection 5(b) hereof immediately upon the termination of employment. If audited financial information for the Performance Period is unavailable before the termination of employment, the Committee will perform the procedure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using such financial information as may be available to it at the time.</w:t>
      </w:r>
    </w:p>
    <w:p>
      <w:pPr>
        <w:spacing w:after="0" w:line="188" w:lineRule="exact"/>
        <w:rPr>
          <w:sz w:val="20"/>
          <w:szCs w:val="20"/>
          <w:color w:val="auto"/>
        </w:rPr>
      </w:pPr>
    </w:p>
    <w:p>
      <w:pPr>
        <w:ind w:left="820" w:hanging="812"/>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Restricted Shares</w:t>
      </w:r>
      <w:r>
        <w:rPr>
          <w:rFonts w:ascii="Arial" w:cs="Arial" w:eastAsia="Arial" w:hAnsi="Arial"/>
          <w:sz w:val="18"/>
          <w:szCs w:val="18"/>
          <w:color w:val="auto"/>
        </w:rPr>
        <w:t>.</w:t>
      </w:r>
    </w:p>
    <w:p>
      <w:pPr>
        <w:spacing w:after="0" w:line="256" w:lineRule="exact"/>
        <w:rPr>
          <w:rFonts w:ascii="Arial" w:cs="Arial" w:eastAsia="Arial" w:hAnsi="Arial"/>
          <w:sz w:val="18"/>
          <w:szCs w:val="18"/>
          <w:color w:val="auto"/>
        </w:rPr>
      </w:pPr>
    </w:p>
    <w:p>
      <w:pPr>
        <w:jc w:val="both"/>
        <w:ind w:left="1620" w:hanging="802"/>
        <w:spacing w:after="0" w:line="264" w:lineRule="auto"/>
        <w:tabs>
          <w:tab w:leader="none" w:pos="1620" w:val="left"/>
        </w:tabs>
        <w:numPr>
          <w:ilvl w:val="1"/>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Vesting of Restricted Shares</w:t>
      </w:r>
      <w:r>
        <w:rPr>
          <w:rFonts w:ascii="Arial" w:cs="Arial" w:eastAsia="Arial" w:hAnsi="Arial"/>
          <w:sz w:val="18"/>
          <w:szCs w:val="18"/>
          <w:color w:val="auto"/>
        </w:rPr>
        <w:t>. Subject to Section 6 hereof, all Restricted Shares granted pursuant to this Agreement that have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already vested under Section 4 hereof shall cease to be subject to forfeiture under Subsection 5(b) hereof upon the Restricted Share Vesting Date specified at the beginning of this Agreement.</w:t>
      </w:r>
    </w:p>
    <w:p>
      <w:pPr>
        <w:spacing w:after="0" w:line="208" w:lineRule="exact"/>
        <w:rPr>
          <w:rFonts w:ascii="Arial" w:cs="Arial" w:eastAsia="Arial" w:hAnsi="Arial"/>
          <w:sz w:val="18"/>
          <w:szCs w:val="18"/>
          <w:color w:val="auto"/>
        </w:rPr>
      </w:pPr>
    </w:p>
    <w:p>
      <w:pPr>
        <w:jc w:val="both"/>
        <w:ind w:left="1620" w:hanging="802"/>
        <w:spacing w:after="0" w:line="255" w:lineRule="auto"/>
        <w:tabs>
          <w:tab w:leader="none" w:pos="1620" w:val="left"/>
        </w:tabs>
        <w:numPr>
          <w:ilvl w:val="1"/>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Restricted Share Forfeiture Events</w:t>
      </w:r>
      <w:r>
        <w:rPr>
          <w:rFonts w:ascii="Arial" w:cs="Arial" w:eastAsia="Arial" w:hAnsi="Arial"/>
          <w:sz w:val="18"/>
          <w:szCs w:val="18"/>
          <w:color w:val="auto"/>
        </w:rPr>
        <w:t>. Upon the occurrence of a Restricted Share Forfeiture Event (as defined below), the Participant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shall immediately forfeit to the Company all of the Restricted Shares that have not become vested pursuant to this Agreement, and upon such forfeiture the Participant shall immediately return any stock certificates representing the forfeited Restricted Shares and execute and deliver such stock powers as the Company may request. The Restricted Shares that are forfeited pursuant to the previous sentence shall become authorized but unissued shares of the Company’s capital stock. A “</w:t>
      </w:r>
      <w:r>
        <w:rPr>
          <w:rFonts w:ascii="Arial" w:cs="Arial" w:eastAsia="Arial" w:hAnsi="Arial"/>
          <w:sz w:val="18"/>
          <w:szCs w:val="18"/>
          <w:b w:val="1"/>
          <w:bCs w:val="1"/>
          <w:color w:val="auto"/>
        </w:rPr>
        <w:t>Restricted Share Forfeiture Event</w:t>
      </w:r>
      <w:r>
        <w:rPr>
          <w:rFonts w:ascii="Arial" w:cs="Arial" w:eastAsia="Arial" w:hAnsi="Arial"/>
          <w:sz w:val="18"/>
          <w:szCs w:val="18"/>
          <w:color w:val="auto"/>
        </w:rPr>
        <w:t>” means an y of the following events:</w:t>
      </w:r>
    </w:p>
    <w:p>
      <w:pPr>
        <w:spacing w:after="0" w:line="220" w:lineRule="exact"/>
        <w:rPr>
          <w:rFonts w:ascii="Arial" w:cs="Arial" w:eastAsia="Arial" w:hAnsi="Arial"/>
          <w:sz w:val="18"/>
          <w:szCs w:val="18"/>
          <w:color w:val="auto"/>
        </w:rPr>
      </w:pPr>
    </w:p>
    <w:p>
      <w:pPr>
        <w:ind w:left="2420" w:hanging="805"/>
        <w:spacing w:after="0" w:line="277" w:lineRule="auto"/>
        <w:tabs>
          <w:tab w:leader="none" w:pos="2420" w:val="left"/>
        </w:tabs>
        <w:numPr>
          <w:ilvl w:val="2"/>
          <w:numId w:val="10"/>
        </w:numPr>
        <w:rPr>
          <w:rFonts w:ascii="Arial" w:cs="Arial" w:eastAsia="Arial" w:hAnsi="Arial"/>
          <w:sz w:val="18"/>
          <w:szCs w:val="18"/>
          <w:color w:val="auto"/>
        </w:rPr>
      </w:pPr>
      <w:r>
        <w:rPr>
          <w:rFonts w:ascii="Arial" w:cs="Arial" w:eastAsia="Arial" w:hAnsi="Arial"/>
          <w:sz w:val="18"/>
          <w:szCs w:val="18"/>
          <w:color w:val="auto"/>
        </w:rPr>
        <w:t>any attempt to transfer or otherwise dispose of any of the Restricted Shares, or to levy any attachment or pursue any similar involuntary process with respect to any Restricted Shares, in violation of Subsection 5(c) hereof; 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5" w:name="page26"/>
    <w:bookmarkEnd w:id="25"/>
    <w:p>
      <w:pPr>
        <w:ind w:left="1383" w:hanging="694"/>
        <w:spacing w:after="0"/>
        <w:tabs>
          <w:tab w:leader="none" w:pos="1383" w:val="left"/>
        </w:tabs>
        <w:numPr>
          <w:ilvl w:val="1"/>
          <w:numId w:val="11"/>
        </w:numPr>
        <w:rPr>
          <w:rFonts w:ascii="Arial" w:cs="Arial" w:eastAsia="Arial" w:hAnsi="Arial"/>
          <w:sz w:val="18"/>
          <w:szCs w:val="18"/>
          <w:color w:val="auto"/>
        </w:rPr>
      </w:pPr>
      <w:r>
        <w:rPr>
          <w:rFonts w:ascii="Arial" w:cs="Arial" w:eastAsia="Arial" w:hAnsi="Arial"/>
          <w:sz w:val="18"/>
          <w:szCs w:val="18"/>
          <w:color w:val="auto"/>
        </w:rPr>
        <w:t>a termination of employment as contemplated by Section 6 hereof.</w:t>
      </w:r>
    </w:p>
    <w:p>
      <w:pPr>
        <w:spacing w:after="0" w:line="279" w:lineRule="exact"/>
        <w:rPr>
          <w:rFonts w:ascii="Arial" w:cs="Arial" w:eastAsia="Arial" w:hAnsi="Arial"/>
          <w:sz w:val="18"/>
          <w:szCs w:val="18"/>
          <w:color w:val="auto"/>
        </w:rPr>
      </w:pPr>
    </w:p>
    <w:p>
      <w:pPr>
        <w:jc w:val="both"/>
        <w:ind w:left="683" w:hanging="683"/>
        <w:spacing w:after="0" w:line="257" w:lineRule="auto"/>
        <w:tabs>
          <w:tab w:leader="none" w:pos="683"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Limitation on Transfer</w:t>
      </w:r>
      <w:r>
        <w:rPr>
          <w:rFonts w:ascii="Arial" w:cs="Arial" w:eastAsia="Arial" w:hAnsi="Arial"/>
          <w:sz w:val="18"/>
          <w:szCs w:val="18"/>
          <w:color w:val="auto"/>
        </w:rPr>
        <w:t>. Until such time as the Restricted Shares have become vested under Subsection 5(a) hereof or such earlier time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otherwise provided for herein, the Participant shall not transfer the Restricted Shares and the Restricted Shares shall not be subject to pledge hypothecation, execution, attachment or similar processes. Any attempt to assign, transfer, pledge, hypothecate or otherwise dispose of any Restricted Shares contrary to the provisions of this Agreement and any attempt to levy any attachment or pursue any similar process with respect to the Restricted Shares shall be null and void.</w:t>
      </w:r>
    </w:p>
    <w:p>
      <w:pPr>
        <w:spacing w:after="0" w:line="215" w:lineRule="exact"/>
        <w:rPr>
          <w:rFonts w:ascii="Arial" w:cs="Arial" w:eastAsia="Arial" w:hAnsi="Arial"/>
          <w:sz w:val="18"/>
          <w:szCs w:val="18"/>
          <w:color w:val="auto"/>
        </w:rPr>
      </w:pPr>
    </w:p>
    <w:p>
      <w:pPr>
        <w:ind w:left="683" w:right="20" w:hanging="683"/>
        <w:spacing w:after="0" w:line="277" w:lineRule="auto"/>
        <w:tabs>
          <w:tab w:leader="none" w:pos="683"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Shareholder Rights</w:t>
      </w:r>
      <w:r>
        <w:rPr>
          <w:rFonts w:ascii="Arial" w:cs="Arial" w:eastAsia="Arial" w:hAnsi="Arial"/>
          <w:sz w:val="18"/>
          <w:szCs w:val="18"/>
          <w:color w:val="auto"/>
        </w:rPr>
        <w:t>. Upon the issuance of Restricted Shares, the Participant shall have all of the rights of a shareholder of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respect to those Restricted Shares, except as otherwise specifically provided in this Agreement.</w:t>
      </w:r>
    </w:p>
    <w:p>
      <w:pPr>
        <w:spacing w:after="0" w:line="197" w:lineRule="exact"/>
        <w:rPr>
          <w:rFonts w:ascii="Arial" w:cs="Arial" w:eastAsia="Arial" w:hAnsi="Arial"/>
          <w:sz w:val="18"/>
          <w:szCs w:val="18"/>
          <w:color w:val="auto"/>
        </w:rPr>
      </w:pPr>
    </w:p>
    <w:p>
      <w:pPr>
        <w:ind w:left="683" w:hanging="683"/>
        <w:spacing w:after="0"/>
        <w:tabs>
          <w:tab w:leader="none" w:pos="683"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Restrictive Legends and Stop-Transfer Orders</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jc w:val="both"/>
        <w:ind w:left="1383" w:right="20" w:hanging="694"/>
        <w:spacing w:after="0" w:line="264" w:lineRule="auto"/>
        <w:tabs>
          <w:tab w:leader="none" w:pos="1383" w:val="left"/>
        </w:tabs>
        <w:numPr>
          <w:ilvl w:val="1"/>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Legends</w:t>
      </w:r>
      <w:r>
        <w:rPr>
          <w:rFonts w:ascii="Arial" w:cs="Arial" w:eastAsia="Arial" w:hAnsi="Arial"/>
          <w:sz w:val="18"/>
          <w:szCs w:val="18"/>
          <w:color w:val="auto"/>
        </w:rPr>
        <w:t>. The certificate or certificates representing the Restricted Shares shall bear the following legend (as well as any legends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required by applicable state and federal corporate and securities laws) noting the existence of the restrictions set forth in this Agreement:</w:t>
      </w:r>
    </w:p>
    <w:p>
      <w:pPr>
        <w:spacing w:after="0" w:line="208" w:lineRule="exact"/>
        <w:rPr>
          <w:sz w:val="20"/>
          <w:szCs w:val="20"/>
          <w:color w:val="auto"/>
        </w:rPr>
      </w:pPr>
    </w:p>
    <w:p>
      <w:pPr>
        <w:jc w:val="both"/>
        <w:ind w:left="3" w:right="660"/>
        <w:spacing w:after="0" w:line="264" w:lineRule="auto"/>
        <w:rPr>
          <w:sz w:val="20"/>
          <w:szCs w:val="20"/>
          <w:color w:val="auto"/>
        </w:rPr>
      </w:pPr>
      <w:r>
        <w:rPr>
          <w:rFonts w:ascii="Arial" w:cs="Arial" w:eastAsia="Arial" w:hAnsi="Arial"/>
          <w:sz w:val="18"/>
          <w:szCs w:val="18"/>
          <w:color w:val="auto"/>
        </w:rPr>
        <w:t>“THE SHARES REPRESENTED BY THIS CERTIFICATE ARE SUBJECT TO FORFEITURE AND MAY BE TRANSFERRED ONLY IN ACCORDANCE WITH THE TERMS OF A RESTRICTED SHARE AGREEMENT BETWEEN THE COMPANY AND THE PARTICIPANT, A COPY OF WHICH IS ON FILE WITH THE SECRETARY OF THE COMPANY.”</w:t>
      </w:r>
    </w:p>
    <w:p>
      <w:pPr>
        <w:spacing w:after="0" w:line="208" w:lineRule="exact"/>
        <w:rPr>
          <w:sz w:val="20"/>
          <w:szCs w:val="20"/>
          <w:color w:val="auto"/>
        </w:rPr>
      </w:pPr>
    </w:p>
    <w:p>
      <w:pPr>
        <w:jc w:val="both"/>
        <w:ind w:left="1383" w:hanging="694"/>
        <w:spacing w:after="0" w:line="264" w:lineRule="auto"/>
        <w:tabs>
          <w:tab w:leader="none" w:pos="1383"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Stop-Transfer Notices</w:t>
      </w:r>
      <w:r>
        <w:rPr>
          <w:rFonts w:ascii="Arial" w:cs="Arial" w:eastAsia="Arial" w:hAnsi="Arial"/>
          <w:sz w:val="18"/>
          <w:szCs w:val="18"/>
          <w:color w:val="auto"/>
        </w:rPr>
        <w:t>. The Participant agrees that, in order to ensure compliance with the restrictions referred to herein,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may issue appropriate “stop transfer” instructions to its transfer agent, if any, and that, if the Company transfers its own securities, it may make appropriate notations to the same effect in its own records.</w:t>
      </w:r>
    </w:p>
    <w:p>
      <w:pPr>
        <w:spacing w:after="0" w:line="208" w:lineRule="exact"/>
        <w:rPr>
          <w:rFonts w:ascii="Arial" w:cs="Arial" w:eastAsia="Arial" w:hAnsi="Arial"/>
          <w:sz w:val="18"/>
          <w:szCs w:val="18"/>
          <w:color w:val="auto"/>
        </w:rPr>
      </w:pPr>
    </w:p>
    <w:p>
      <w:pPr>
        <w:jc w:val="both"/>
        <w:ind w:left="1383" w:hanging="694"/>
        <w:spacing w:after="0" w:line="259" w:lineRule="auto"/>
        <w:tabs>
          <w:tab w:leader="none" w:pos="1383"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Refusal to Transfer</w:t>
      </w:r>
      <w:r>
        <w:rPr>
          <w:rFonts w:ascii="Arial" w:cs="Arial" w:eastAsia="Arial" w:hAnsi="Arial"/>
          <w:sz w:val="18"/>
          <w:szCs w:val="18"/>
          <w:color w:val="auto"/>
        </w:rPr>
        <w:t>. The Company shall not be required to (1) transfer on its books any Restricted Shares that have been sold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otherwise transferred in violation of any of the provisions of this Agreement or (2) treat as owner of the Restricted Shares or to accord the right to vote or pay dividends to any purchaser or other transferee to whom the Restricted Shares shall have been so transferred.</w:t>
      </w:r>
    </w:p>
    <w:p>
      <w:pPr>
        <w:spacing w:after="0" w:line="214" w:lineRule="exact"/>
        <w:rPr>
          <w:sz w:val="20"/>
          <w:szCs w:val="20"/>
          <w:color w:val="auto"/>
        </w:rPr>
      </w:pPr>
    </w:p>
    <w:p>
      <w:pPr>
        <w:ind w:left="4903"/>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81280</wp:posOffset>
            </wp:positionV>
            <wp:extent cx="726757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723"/>
          </w:cols>
          <w:pgMar w:left="937" w:top="854" w:right="239" w:bottom="1440" w:gutter="0" w:footer="0" w:header="0"/>
        </w:sectPr>
      </w:pPr>
    </w:p>
    <w:bookmarkStart w:id="26" w:name="page27"/>
    <w:bookmarkEnd w:id="26"/>
    <w:p>
      <w:pPr>
        <w:jc w:val="both"/>
        <w:ind w:left="700" w:hanging="692"/>
        <w:spacing w:after="0" w:line="261"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b w:val="1"/>
          <w:bCs w:val="1"/>
          <w:u w:val="single" w:color="auto"/>
          <w:color w:val="auto"/>
        </w:rPr>
        <w:t>Employment Requirement</w:t>
      </w:r>
      <w:r>
        <w:rPr>
          <w:rFonts w:ascii="Arial" w:cs="Arial" w:eastAsia="Arial" w:hAnsi="Arial"/>
          <w:sz w:val="18"/>
          <w:szCs w:val="18"/>
          <w:color w:val="auto"/>
        </w:rPr>
        <w:t>. Upon termination of the Participants’ employment with the Company and all of its Subsidiaries for any reason not</w:t>
      </w:r>
      <w:r>
        <w:rPr>
          <w:rFonts w:ascii="Arial" w:cs="Arial" w:eastAsia="Arial" w:hAnsi="Arial"/>
          <w:sz w:val="18"/>
          <w:szCs w:val="18"/>
          <w:b w:val="1"/>
          <w:bCs w:val="1"/>
          <w:color w:val="auto"/>
        </w:rPr>
        <w:t xml:space="preserve"> </w:t>
      </w:r>
      <w:r>
        <w:rPr>
          <w:rFonts w:ascii="Arial" w:cs="Arial" w:eastAsia="Arial" w:hAnsi="Arial"/>
          <w:sz w:val="18"/>
          <w:szCs w:val="18"/>
          <w:color w:val="auto"/>
        </w:rPr>
        <w:t>addressed in Section 4 hereof, whether by the Company with or without Cause, voluntarily or involuntarily by the Participant for Good Reason or otherwise, the Participant shall immediately forfeit to the Company all Units and Restricted Shares granted under this Agreement that have not vested as of the date the Participant’s employment is terminated.</w:t>
      </w:r>
    </w:p>
    <w:p>
      <w:pPr>
        <w:spacing w:after="0" w:line="207" w:lineRule="exact"/>
        <w:rPr>
          <w:rFonts w:ascii="Arial" w:cs="Arial" w:eastAsia="Arial" w:hAnsi="Arial"/>
          <w:sz w:val="18"/>
          <w:szCs w:val="18"/>
          <w:color w:val="auto"/>
        </w:rPr>
      </w:pPr>
    </w:p>
    <w:p>
      <w:pPr>
        <w:ind w:left="700" w:hanging="692"/>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The following terms used in this Agreement will have the meanings indicated:</w:t>
      </w:r>
    </w:p>
    <w:p>
      <w:pPr>
        <w:spacing w:after="0" w:line="252" w:lineRule="exact"/>
        <w:rPr>
          <w:rFonts w:ascii="Arial" w:cs="Arial" w:eastAsia="Arial" w:hAnsi="Arial"/>
          <w:sz w:val="18"/>
          <w:szCs w:val="18"/>
          <w:color w:val="auto"/>
        </w:rPr>
      </w:pPr>
    </w:p>
    <w:p>
      <w:pPr>
        <w:jc w:val="both"/>
        <w:ind w:left="1380" w:hanging="683"/>
        <w:spacing w:after="0" w:line="258" w:lineRule="auto"/>
        <w:tabs>
          <w:tab w:leader="none" w:pos="13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means what the term is expressly defined to mean in a then-effective employment agreement between the Participant and the Company, or in the absence of any such then-effective agreement or definition, means any medically determinable physical or mental impairment that can be expected to result in death or can be expected to last for a continuous period of not less than six months, where such impairment causes the Participant to be unable to perform the duties of Participant’s position of employment or any substantially similar position of employment.</w:t>
      </w:r>
    </w:p>
    <w:p>
      <w:pPr>
        <w:spacing w:after="0" w:line="210" w:lineRule="exact"/>
        <w:rPr>
          <w:rFonts w:ascii="Arial" w:cs="Arial" w:eastAsia="Arial" w:hAnsi="Arial"/>
          <w:sz w:val="18"/>
          <w:szCs w:val="18"/>
          <w:color w:val="auto"/>
        </w:rPr>
      </w:pPr>
    </w:p>
    <w:p>
      <w:pPr>
        <w:jc w:val="both"/>
        <w:ind w:left="1380" w:hanging="683"/>
        <w:spacing w:after="0" w:line="289" w:lineRule="auto"/>
        <w:tabs>
          <w:tab w:leader="none" w:pos="13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Good Reason</w:t>
      </w:r>
      <w:r>
        <w:rPr>
          <w:rFonts w:ascii="Arial" w:cs="Arial" w:eastAsia="Arial" w:hAnsi="Arial"/>
          <w:sz w:val="16"/>
          <w:szCs w:val="16"/>
          <w:color w:val="auto"/>
        </w:rPr>
        <w:t>” means what the term is expressly defined to mean in a then-effective employment agreement between the Participant and the Company, or in the absence of any such then-effective agreement or definition, means any of the following conditions arising without the consent of Participant, provided that Participant has first given written notice to the Company of the existence of the condition within</w:t>
      </w:r>
    </w:p>
    <w:p>
      <w:pPr>
        <w:spacing w:after="0" w:line="1" w:lineRule="exact"/>
        <w:rPr>
          <w:rFonts w:ascii="Arial" w:cs="Arial" w:eastAsia="Arial" w:hAnsi="Arial"/>
          <w:sz w:val="16"/>
          <w:szCs w:val="16"/>
          <w:color w:val="auto"/>
        </w:rPr>
      </w:pPr>
    </w:p>
    <w:p>
      <w:pPr>
        <w:ind w:left="1380"/>
        <w:spacing w:after="0"/>
        <w:rPr>
          <w:rFonts w:ascii="Arial" w:cs="Arial" w:eastAsia="Arial" w:hAnsi="Arial"/>
          <w:sz w:val="16"/>
          <w:szCs w:val="16"/>
          <w:color w:val="auto"/>
        </w:rPr>
      </w:pPr>
      <w:r>
        <w:rPr>
          <w:rFonts w:ascii="Arial" w:cs="Arial" w:eastAsia="Arial" w:hAnsi="Arial"/>
          <w:sz w:val="18"/>
          <w:szCs w:val="18"/>
          <w:color w:val="auto"/>
        </w:rPr>
        <w:t>90 days of its first occurrence, and the Company has failed to remedy the condition within 30 days thereafter:</w:t>
      </w:r>
    </w:p>
    <w:p>
      <w:pPr>
        <w:spacing w:after="0" w:line="237" w:lineRule="exact"/>
        <w:rPr>
          <w:rFonts w:ascii="Arial" w:cs="Arial" w:eastAsia="Arial" w:hAnsi="Arial"/>
          <w:sz w:val="16"/>
          <w:szCs w:val="16"/>
          <w:color w:val="auto"/>
        </w:rPr>
      </w:pPr>
    </w:p>
    <w:p>
      <w:pPr>
        <w:ind w:left="2080" w:hanging="694"/>
        <w:spacing w:after="0"/>
        <w:tabs>
          <w:tab w:leader="none" w:pos="2080" w:val="left"/>
        </w:tabs>
        <w:numPr>
          <w:ilvl w:val="2"/>
          <w:numId w:val="14"/>
        </w:numPr>
        <w:rPr>
          <w:rFonts w:ascii="Arial" w:cs="Arial" w:eastAsia="Arial" w:hAnsi="Arial"/>
          <w:sz w:val="18"/>
          <w:szCs w:val="18"/>
          <w:color w:val="auto"/>
        </w:rPr>
      </w:pPr>
      <w:r>
        <w:rPr>
          <w:rFonts w:ascii="Arial" w:cs="Arial" w:eastAsia="Arial" w:hAnsi="Arial"/>
          <w:sz w:val="18"/>
          <w:szCs w:val="18"/>
          <w:color w:val="auto"/>
        </w:rPr>
        <w:t>a decrease in the Participant’s base salary;</w:t>
      </w:r>
    </w:p>
    <w:p>
      <w:pPr>
        <w:spacing w:after="0" w:line="279" w:lineRule="exact"/>
        <w:rPr>
          <w:rFonts w:ascii="Arial" w:cs="Arial" w:eastAsia="Arial" w:hAnsi="Arial"/>
          <w:sz w:val="18"/>
          <w:szCs w:val="18"/>
          <w:color w:val="auto"/>
        </w:rPr>
      </w:pPr>
    </w:p>
    <w:p>
      <w:pPr>
        <w:ind w:left="2080" w:hanging="694"/>
        <w:spacing w:after="0"/>
        <w:tabs>
          <w:tab w:leader="none" w:pos="2080" w:val="left"/>
        </w:tabs>
        <w:numPr>
          <w:ilvl w:val="2"/>
          <w:numId w:val="14"/>
        </w:numPr>
        <w:rPr>
          <w:rFonts w:ascii="Arial" w:cs="Arial" w:eastAsia="Arial" w:hAnsi="Arial"/>
          <w:sz w:val="18"/>
          <w:szCs w:val="18"/>
          <w:color w:val="auto"/>
        </w:rPr>
      </w:pPr>
      <w:r>
        <w:rPr>
          <w:rFonts w:ascii="Arial" w:cs="Arial" w:eastAsia="Arial" w:hAnsi="Arial"/>
          <w:sz w:val="18"/>
          <w:szCs w:val="18"/>
          <w:color w:val="auto"/>
        </w:rPr>
        <w:t>a material diminution in the Participant’s authority, duties, or responsibilities;</w:t>
      </w:r>
    </w:p>
    <w:p>
      <w:pPr>
        <w:spacing w:after="0" w:line="279" w:lineRule="exact"/>
        <w:rPr>
          <w:rFonts w:ascii="Arial" w:cs="Arial" w:eastAsia="Arial" w:hAnsi="Arial"/>
          <w:sz w:val="18"/>
          <w:szCs w:val="18"/>
          <w:color w:val="auto"/>
        </w:rPr>
      </w:pPr>
    </w:p>
    <w:p>
      <w:pPr>
        <w:ind w:left="2080" w:hanging="694"/>
        <w:spacing w:after="0"/>
        <w:tabs>
          <w:tab w:leader="none" w:pos="2080" w:val="left"/>
        </w:tabs>
        <w:numPr>
          <w:ilvl w:val="2"/>
          <w:numId w:val="14"/>
        </w:numPr>
        <w:rPr>
          <w:rFonts w:ascii="Arial" w:cs="Arial" w:eastAsia="Arial" w:hAnsi="Arial"/>
          <w:sz w:val="18"/>
          <w:szCs w:val="18"/>
          <w:color w:val="auto"/>
        </w:rPr>
      </w:pPr>
      <w:r>
        <w:rPr>
          <w:rFonts w:ascii="Arial" w:cs="Arial" w:eastAsia="Arial" w:hAnsi="Arial"/>
          <w:sz w:val="18"/>
          <w:szCs w:val="18"/>
          <w:color w:val="auto"/>
        </w:rPr>
        <w:t>relocation of Participant’s principal office more than 50 miles from its current location; or</w:t>
      </w:r>
    </w:p>
    <w:p>
      <w:pPr>
        <w:spacing w:after="0" w:line="279" w:lineRule="exact"/>
        <w:rPr>
          <w:rFonts w:ascii="Arial" w:cs="Arial" w:eastAsia="Arial" w:hAnsi="Arial"/>
          <w:sz w:val="18"/>
          <w:szCs w:val="18"/>
          <w:color w:val="auto"/>
        </w:rPr>
      </w:pPr>
    </w:p>
    <w:p>
      <w:pPr>
        <w:ind w:left="2080" w:hanging="694"/>
        <w:spacing w:after="0" w:line="277" w:lineRule="auto"/>
        <w:tabs>
          <w:tab w:leader="none" w:pos="2080" w:val="left"/>
        </w:tabs>
        <w:numPr>
          <w:ilvl w:val="2"/>
          <w:numId w:val="14"/>
        </w:numPr>
        <w:rPr>
          <w:rFonts w:ascii="Arial" w:cs="Arial" w:eastAsia="Arial" w:hAnsi="Arial"/>
          <w:sz w:val="18"/>
          <w:szCs w:val="18"/>
          <w:color w:val="auto"/>
        </w:rPr>
      </w:pPr>
      <w:r>
        <w:rPr>
          <w:rFonts w:ascii="Arial" w:cs="Arial" w:eastAsia="Arial" w:hAnsi="Arial"/>
          <w:sz w:val="18"/>
          <w:szCs w:val="18"/>
          <w:color w:val="auto"/>
        </w:rPr>
        <w:t>any other action or inaction that constitutes a material breach by the Company of any terms or conditions of any agreement between the Company and the Participant, which breach has not been caused by Participant.</w:t>
      </w:r>
    </w:p>
    <w:p>
      <w:pPr>
        <w:spacing w:after="0" w:line="193" w:lineRule="exact"/>
        <w:rPr>
          <w:rFonts w:ascii="Arial" w:cs="Arial" w:eastAsia="Arial" w:hAnsi="Arial"/>
          <w:sz w:val="18"/>
          <w:szCs w:val="18"/>
          <w:color w:val="auto"/>
        </w:rPr>
      </w:pPr>
    </w:p>
    <w:p>
      <w:pPr>
        <w:ind w:left="1380" w:right="20" w:hanging="683"/>
        <w:spacing w:after="0" w:line="282" w:lineRule="auto"/>
        <w:tabs>
          <w:tab w:leader="none" w:pos="13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Performance Period</w:t>
      </w:r>
      <w:r>
        <w:rPr>
          <w:rFonts w:ascii="Arial" w:cs="Arial" w:eastAsia="Arial" w:hAnsi="Arial"/>
          <w:sz w:val="18"/>
          <w:szCs w:val="18"/>
          <w:color w:val="auto"/>
        </w:rPr>
        <w:t>” means the period beginning on the Performance Period Start Date and ending on the Performance Period End Date as specified in the table at the beginning of this Agreement.</w:t>
      </w:r>
    </w:p>
    <w:p>
      <w:pPr>
        <w:spacing w:after="0" w:line="188" w:lineRule="exact"/>
        <w:rPr>
          <w:rFonts w:ascii="Arial" w:cs="Arial" w:eastAsia="Arial" w:hAnsi="Arial"/>
          <w:sz w:val="18"/>
          <w:szCs w:val="18"/>
          <w:color w:val="auto"/>
        </w:rPr>
      </w:pPr>
    </w:p>
    <w:p>
      <w:pPr>
        <w:ind w:left="700" w:hanging="692"/>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 Provisions</w:t>
      </w:r>
      <w:r>
        <w:rPr>
          <w:rFonts w:ascii="Arial" w:cs="Arial" w:eastAsia="Arial" w:hAnsi="Arial"/>
          <w:sz w:val="18"/>
          <w:szCs w:val="18"/>
          <w:color w:val="auto"/>
        </w:rPr>
        <w:t>.</w:t>
      </w:r>
    </w:p>
    <w:p>
      <w:pPr>
        <w:spacing w:after="0" w:line="256" w:lineRule="exact"/>
        <w:rPr>
          <w:rFonts w:ascii="Arial" w:cs="Arial" w:eastAsia="Arial" w:hAnsi="Arial"/>
          <w:sz w:val="18"/>
          <w:szCs w:val="18"/>
          <w:color w:val="auto"/>
        </w:rPr>
      </w:pPr>
    </w:p>
    <w:p>
      <w:pPr>
        <w:jc w:val="both"/>
        <w:ind w:left="1380" w:hanging="683"/>
        <w:spacing w:after="0" w:line="259" w:lineRule="auto"/>
        <w:tabs>
          <w:tab w:leader="none" w:pos="1380" w:val="left"/>
        </w:tabs>
        <w:numPr>
          <w:ilvl w:val="1"/>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Securities Law Compliance</w:t>
      </w:r>
      <w:r>
        <w:rPr>
          <w:rFonts w:ascii="Arial" w:cs="Arial" w:eastAsia="Arial" w:hAnsi="Arial"/>
          <w:sz w:val="18"/>
          <w:szCs w:val="18"/>
          <w:color w:val="auto"/>
        </w:rPr>
        <w:t>. No securities issuable pursuant to this Agreement shall be issued and delivered unless the issuance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complies with all applicable legal requirements, including compliance with the provisions of applicable state securities laws, the Securities Act of 1933, as amended, the Securities Exchange Act of 1934, as amended, and the requirements of the exchanges on which the Company’s stock may, at the time, be listed.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7" w:name="page28"/>
    <w:bookmarkEnd w:id="27"/>
    <w:p>
      <w:pPr>
        <w:jc w:val="both"/>
        <w:ind w:left="683" w:hanging="683"/>
        <w:spacing w:after="0" w:line="259" w:lineRule="auto"/>
        <w:tabs>
          <w:tab w:leader="none" w:pos="683"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Mergers, Recapitalizations, Stock Splits, Etc</w:t>
      </w:r>
      <w:r>
        <w:rPr>
          <w:rFonts w:ascii="Arial" w:cs="Arial" w:eastAsia="Arial" w:hAnsi="Arial"/>
          <w:sz w:val="18"/>
          <w:szCs w:val="18"/>
          <w:color w:val="auto"/>
        </w:rPr>
        <w:t>. Pursuant and subject to the Plan, certain changes in the number of shares or character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of the Company (through merger, consolidation, exchange, reorganization, divestiture (including a spin-off), liquidation, recapitalization, stock split, stock dividend or otherwise) shall result in an equitable adjustment to avoid dilution or enlargement of Participant’s rights with respect to any Units that have not yet vested under Sections 3 or 4 hereof.</w:t>
      </w:r>
    </w:p>
    <w:p>
      <w:pPr>
        <w:spacing w:after="0" w:line="213" w:lineRule="exact"/>
        <w:rPr>
          <w:rFonts w:ascii="Arial" w:cs="Arial" w:eastAsia="Arial" w:hAnsi="Arial"/>
          <w:sz w:val="18"/>
          <w:szCs w:val="18"/>
          <w:color w:val="auto"/>
        </w:rPr>
      </w:pPr>
    </w:p>
    <w:p>
      <w:pPr>
        <w:ind w:left="683" w:hanging="683"/>
        <w:spacing w:after="0" w:line="277" w:lineRule="auto"/>
        <w:tabs>
          <w:tab w:leader="none" w:pos="683"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Shares Reserved</w:t>
      </w:r>
      <w:r>
        <w:rPr>
          <w:rFonts w:ascii="Arial" w:cs="Arial" w:eastAsia="Arial" w:hAnsi="Arial"/>
          <w:sz w:val="18"/>
          <w:szCs w:val="18"/>
          <w:color w:val="auto"/>
        </w:rPr>
        <w:t>. The Company shall at all times during the term of this Agreement reserve and keep available such number of shares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common stock as will be sufficient to satisfy the requirements of this Agreement.</w:t>
      </w:r>
    </w:p>
    <w:p>
      <w:pPr>
        <w:spacing w:after="0" w:line="197" w:lineRule="exact"/>
        <w:rPr>
          <w:rFonts w:ascii="Arial" w:cs="Arial" w:eastAsia="Arial" w:hAnsi="Arial"/>
          <w:sz w:val="18"/>
          <w:szCs w:val="18"/>
          <w:color w:val="auto"/>
        </w:rPr>
      </w:pPr>
    </w:p>
    <w:p>
      <w:pPr>
        <w:jc w:val="both"/>
        <w:ind w:left="683" w:hanging="683"/>
        <w:spacing w:after="0" w:line="270" w:lineRule="auto"/>
        <w:tabs>
          <w:tab w:leader="none" w:pos="683" w:val="left"/>
        </w:tabs>
        <w:numPr>
          <w:ilvl w:val="0"/>
          <w:numId w:val="15"/>
        </w:numPr>
        <w:rPr>
          <w:rFonts w:ascii="Arial" w:cs="Arial" w:eastAsia="Arial" w:hAnsi="Arial"/>
          <w:sz w:val="17"/>
          <w:szCs w:val="17"/>
          <w:color w:val="auto"/>
        </w:rPr>
      </w:pPr>
      <w:r>
        <w:rPr>
          <w:rFonts w:ascii="Arial" w:cs="Arial" w:eastAsia="Arial" w:hAnsi="Arial"/>
          <w:sz w:val="17"/>
          <w:szCs w:val="17"/>
          <w:b w:val="1"/>
          <w:bCs w:val="1"/>
          <w:i w:val="1"/>
          <w:iCs w:val="1"/>
          <w:color w:val="auto"/>
        </w:rPr>
        <w:t>Withholding Taxes</w:t>
      </w:r>
      <w:r>
        <w:rPr>
          <w:rFonts w:ascii="Arial" w:cs="Arial" w:eastAsia="Arial" w:hAnsi="Arial"/>
          <w:sz w:val="17"/>
          <w:szCs w:val="17"/>
          <w:color w:val="auto"/>
        </w:rPr>
        <w:t>. The parties hereto recognize that the Company or a Subsidiary may be obligated to withhold federal and state taxes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 taxes upon the vesting of the Restricted Shares, or, in the event that the Participant elects under Code Section 83(b) to report the receipt of the Restricted Shares as income in the year of receipt, upon the Participant’s receipt of the Restricted Shares. The Participant agrees that, at such time, if the Company or a subsidiary is required to withhold such taxes, the Participant will promptly pay, in cash or through the forfeiture of unencumbered shares of Company stock (or in any other manner permitted by the Committee in accordance with the terms of the Plan), upon demand, to the Company or the subsidiary having such obligation, such amounts as shall be necessary to satisfy such obligation. The Participant further acknowledges that the Company has directed the Participant to seek independent advice regarding the applicable provisions of the Code, the income tax laws of any municipality, state or foreign country in which the Participant may reside, and the tax consequences of the Participant’s death.</w:t>
      </w:r>
    </w:p>
    <w:p>
      <w:pPr>
        <w:spacing w:after="0" w:line="208" w:lineRule="exact"/>
        <w:rPr>
          <w:rFonts w:ascii="Arial" w:cs="Arial" w:eastAsia="Arial" w:hAnsi="Arial"/>
          <w:sz w:val="17"/>
          <w:szCs w:val="17"/>
          <w:color w:val="auto"/>
        </w:rPr>
      </w:pPr>
    </w:p>
    <w:p>
      <w:pPr>
        <w:jc w:val="both"/>
        <w:ind w:left="683" w:hanging="683"/>
        <w:spacing w:after="0" w:line="312" w:lineRule="auto"/>
        <w:tabs>
          <w:tab w:leader="none" w:pos="683" w:val="left"/>
        </w:tabs>
        <w:numPr>
          <w:ilvl w:val="0"/>
          <w:numId w:val="15"/>
        </w:numPr>
        <w:rPr>
          <w:rFonts w:ascii="Arial" w:cs="Arial" w:eastAsia="Arial" w:hAnsi="Arial"/>
          <w:sz w:val="16"/>
          <w:szCs w:val="16"/>
          <w:color w:val="auto"/>
        </w:rPr>
      </w:pPr>
      <w:r>
        <w:rPr>
          <w:rFonts w:ascii="Arial" w:cs="Arial" w:eastAsia="Arial" w:hAnsi="Arial"/>
          <w:sz w:val="16"/>
          <w:szCs w:val="16"/>
          <w:b w:val="1"/>
          <w:bCs w:val="1"/>
          <w:i w:val="1"/>
          <w:iCs w:val="1"/>
          <w:color w:val="auto"/>
        </w:rPr>
        <w:t>Scope of Agreement</w:t>
      </w:r>
      <w:r>
        <w:rPr>
          <w:rFonts w:ascii="Arial" w:cs="Arial" w:eastAsia="Arial" w:hAnsi="Arial"/>
          <w:sz w:val="16"/>
          <w:szCs w:val="16"/>
          <w:color w:val="auto"/>
        </w:rPr>
        <w:t>. This Agreement shall bind and inure to the benefit of the Company, its Affiliates and their successors and assigns,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shall bind and inure to the benefit of Participant and any successor or successors of Participant permitted herein. This Agreement is expressly subject to all terms and conditions contained in the Plan, and Participant shall comply with all such terms and conditions.</w:t>
      </w:r>
    </w:p>
    <w:p>
      <w:pPr>
        <w:spacing w:after="0" w:line="173" w:lineRule="exact"/>
        <w:rPr>
          <w:rFonts w:ascii="Arial" w:cs="Arial" w:eastAsia="Arial" w:hAnsi="Arial"/>
          <w:sz w:val="16"/>
          <w:szCs w:val="16"/>
          <w:color w:val="auto"/>
        </w:rPr>
      </w:pPr>
    </w:p>
    <w:p>
      <w:pPr>
        <w:ind w:left="683" w:hanging="683"/>
        <w:spacing w:after="0" w:line="277" w:lineRule="auto"/>
        <w:tabs>
          <w:tab w:leader="none" w:pos="683"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Choice of Law. </w:t>
      </w:r>
      <w:r>
        <w:rPr>
          <w:rFonts w:ascii="Arial" w:cs="Arial" w:eastAsia="Arial" w:hAnsi="Arial"/>
          <w:sz w:val="18"/>
          <w:szCs w:val="18"/>
          <w:color w:val="auto"/>
        </w:rPr>
        <w:t>This Agreement is subject to the laws of the State of Minnesota and shall be construed and interpreted thereunder (without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regard to its conflicts of laws principles).</w:t>
      </w:r>
    </w:p>
    <w:p>
      <w:pPr>
        <w:spacing w:after="0" w:line="197" w:lineRule="exact"/>
        <w:rPr>
          <w:rFonts w:ascii="Arial" w:cs="Arial" w:eastAsia="Arial" w:hAnsi="Arial"/>
          <w:sz w:val="18"/>
          <w:szCs w:val="18"/>
          <w:color w:val="auto"/>
        </w:rPr>
      </w:pPr>
    </w:p>
    <w:p>
      <w:pPr>
        <w:jc w:val="both"/>
        <w:ind w:left="683" w:hanging="683"/>
        <w:spacing w:after="0" w:line="264" w:lineRule="auto"/>
        <w:tabs>
          <w:tab w:leader="none" w:pos="683"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Interpretation of This Agreement</w:t>
      </w:r>
      <w:r>
        <w:rPr>
          <w:rFonts w:ascii="Arial" w:cs="Arial" w:eastAsia="Arial" w:hAnsi="Arial"/>
          <w:sz w:val="18"/>
          <w:szCs w:val="18"/>
          <w:color w:val="auto"/>
        </w:rPr>
        <w:t>. All decisions and interpretations made by the Committee with regard to any question arising hereunder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under the Plan shall be binding and conclusive upon the Company and the Participant. If there is any inconsistency between the provisions of this Agreement and the Plan, the provisions of the Plan shall govern.</w:t>
      </w:r>
    </w:p>
    <w:p>
      <w:pPr>
        <w:spacing w:after="0" w:line="208" w:lineRule="exact"/>
        <w:rPr>
          <w:sz w:val="20"/>
          <w:szCs w:val="20"/>
          <w:color w:val="auto"/>
        </w:rPr>
      </w:pPr>
    </w:p>
    <w:p>
      <w:pPr>
        <w:ind w:left="4903"/>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81280</wp:posOffset>
            </wp:positionV>
            <wp:extent cx="726757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723"/>
          </w:cols>
          <w:pgMar w:left="937" w:top="611" w:right="239" w:bottom="1440" w:gutter="0" w:footer="0" w:header="0"/>
        </w:sectPr>
      </w:pPr>
    </w:p>
    <w:bookmarkStart w:id="28" w:name="page29"/>
    <w:bookmarkEnd w:id="28"/>
    <w:p>
      <w:pPr>
        <w:ind w:left="683" w:hanging="683"/>
        <w:spacing w:after="0"/>
        <w:tabs>
          <w:tab w:leader="none" w:pos="683"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Binding Effect</w:t>
      </w:r>
      <w:r>
        <w:rPr>
          <w:rFonts w:ascii="Arial" w:cs="Arial" w:eastAsia="Arial" w:hAnsi="Arial"/>
          <w:sz w:val="16"/>
          <w:szCs w:val="16"/>
          <w:color w:val="auto"/>
        </w:rPr>
        <w:t>. This Agreement shall be binding in all respects on the heirs, representatives, successors and assigns of the Participant.</w:t>
      </w:r>
    </w:p>
    <w:p>
      <w:pPr>
        <w:spacing w:after="0" w:line="302" w:lineRule="exact"/>
        <w:rPr>
          <w:rFonts w:ascii="Arial" w:cs="Arial" w:eastAsia="Arial" w:hAnsi="Arial"/>
          <w:sz w:val="16"/>
          <w:szCs w:val="16"/>
          <w:color w:val="auto"/>
        </w:rPr>
      </w:pPr>
    </w:p>
    <w:p>
      <w:pPr>
        <w:jc w:val="both"/>
        <w:ind w:left="683" w:hanging="683"/>
        <w:spacing w:after="0" w:line="312" w:lineRule="auto"/>
        <w:tabs>
          <w:tab w:leader="none" w:pos="683"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Entire Agreement</w:t>
      </w:r>
      <w:r>
        <w:rPr>
          <w:rFonts w:ascii="Arial" w:cs="Arial" w:eastAsia="Arial" w:hAnsi="Arial"/>
          <w:sz w:val="16"/>
          <w:szCs w:val="16"/>
          <w:color w:val="auto"/>
        </w:rPr>
        <w:t>. This Agreement and the Plan set forth the entire agreement and understanding of the parties hereto with respect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issuance and sale of the Units and Restricted Shares and the administration of the Plan and supersede all prior agreements, arrangements, plans, and understandings relating to the issuance and sale of these Units and Restricted Shares and the administration of the Plan.</w:t>
      </w:r>
    </w:p>
    <w:p>
      <w:pPr>
        <w:spacing w:after="0" w:line="173" w:lineRule="exact"/>
        <w:rPr>
          <w:rFonts w:ascii="Arial" w:cs="Arial" w:eastAsia="Arial" w:hAnsi="Arial"/>
          <w:sz w:val="16"/>
          <w:szCs w:val="16"/>
          <w:color w:val="auto"/>
        </w:rPr>
      </w:pPr>
    </w:p>
    <w:p>
      <w:pPr>
        <w:ind w:left="683" w:hanging="683"/>
        <w:spacing w:after="0" w:line="277" w:lineRule="auto"/>
        <w:tabs>
          <w:tab w:leader="none" w:pos="683"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Amendment and Waiver</w:t>
      </w:r>
      <w:r>
        <w:rPr>
          <w:rFonts w:ascii="Arial" w:cs="Arial" w:eastAsia="Arial" w:hAnsi="Arial"/>
          <w:sz w:val="18"/>
          <w:szCs w:val="18"/>
          <w:color w:val="auto"/>
        </w:rPr>
        <w:t>. Except as provided in the Plan, this Agreement may be amended, waived, modified, or canceled only by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written instrument executed by the parties or, in the case of a waiver, by the party waiving compliance.</w:t>
      </w:r>
    </w:p>
    <w:p>
      <w:pPr>
        <w:spacing w:after="0" w:line="197" w:lineRule="exact"/>
        <w:rPr>
          <w:rFonts w:ascii="Arial" w:cs="Arial" w:eastAsia="Arial" w:hAnsi="Arial"/>
          <w:sz w:val="18"/>
          <w:szCs w:val="18"/>
          <w:color w:val="auto"/>
        </w:rPr>
      </w:pPr>
    </w:p>
    <w:p>
      <w:pPr>
        <w:ind w:left="683" w:hanging="683"/>
        <w:spacing w:after="0"/>
        <w:tabs>
          <w:tab w:leader="none" w:pos="683" w:val="left"/>
        </w:tabs>
        <w:numPr>
          <w:ilvl w:val="0"/>
          <w:numId w:val="16"/>
        </w:numPr>
        <w:rPr>
          <w:rFonts w:ascii="Arial" w:cs="Arial" w:eastAsia="Arial" w:hAnsi="Arial"/>
          <w:sz w:val="17"/>
          <w:szCs w:val="17"/>
          <w:color w:val="auto"/>
        </w:rPr>
      </w:pPr>
      <w:r>
        <w:rPr>
          <w:rFonts w:ascii="Arial" w:cs="Arial" w:eastAsia="Arial" w:hAnsi="Arial"/>
          <w:sz w:val="17"/>
          <w:szCs w:val="17"/>
          <w:b w:val="1"/>
          <w:bCs w:val="1"/>
          <w:i w:val="1"/>
          <w:iCs w:val="1"/>
          <w:color w:val="auto"/>
        </w:rPr>
        <w:t>Acknowledgment of Receipt of Copy</w:t>
      </w:r>
      <w:r>
        <w:rPr>
          <w:rFonts w:ascii="Arial" w:cs="Arial" w:eastAsia="Arial" w:hAnsi="Arial"/>
          <w:sz w:val="17"/>
          <w:szCs w:val="17"/>
          <w:color w:val="auto"/>
        </w:rPr>
        <w:t>. By execution hereof, the Participant acknowledges having received a copy of the Plan.</w:t>
      </w:r>
    </w:p>
    <w:p>
      <w:pPr>
        <w:spacing w:after="0" w:line="200" w:lineRule="exact"/>
        <w:rPr>
          <w:sz w:val="20"/>
          <w:szCs w:val="20"/>
          <w:color w:val="auto"/>
        </w:rPr>
      </w:pPr>
    </w:p>
    <w:p>
      <w:pPr>
        <w:spacing w:after="0" w:line="334" w:lineRule="exact"/>
        <w:rPr>
          <w:sz w:val="20"/>
          <w:szCs w:val="20"/>
          <w:color w:val="auto"/>
        </w:rPr>
      </w:pPr>
    </w:p>
    <w:p>
      <w:pPr>
        <w:ind w:left="4903"/>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81280</wp:posOffset>
            </wp:positionV>
            <wp:extent cx="726757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723"/>
          </w:cols>
          <w:pgMar w:left="937" w:top="611"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The Participant and the Company have executed this Agreement as of the ____ day of ________, 20__.</w:t>
      </w:r>
    </w:p>
    <w:p>
      <w:pPr>
        <w:spacing w:after="0" w:line="252"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3973195</wp:posOffset>
            </wp:positionH>
            <wp:positionV relativeFrom="paragraph">
              <wp:posOffset>340995</wp:posOffset>
            </wp:positionV>
            <wp:extent cx="282130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HAWKINS, INC.</w:t>
      </w:r>
    </w:p>
    <w:p>
      <w:pPr>
        <w:spacing w:after="0" w:line="200" w:lineRule="exact"/>
        <w:rPr>
          <w:sz w:val="20"/>
          <w:szCs w:val="20"/>
          <w:color w:val="auto"/>
        </w:rPr>
      </w:pPr>
    </w:p>
    <w:p>
      <w:pPr>
        <w:spacing w:after="0" w:line="322"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4187190</wp:posOffset>
            </wp:positionH>
            <wp:positionV relativeFrom="paragraph">
              <wp:posOffset>31750</wp:posOffset>
            </wp:positionV>
            <wp:extent cx="260731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7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4187190</wp:posOffset>
            </wp:positionH>
            <wp:positionV relativeFrom="paragraph">
              <wp:posOffset>31750</wp:posOffset>
            </wp:positionV>
            <wp:extent cx="260731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ind w:right="1179"/>
        <w:spacing w:after="0"/>
        <w:rPr>
          <w:sz w:val="20"/>
          <w:szCs w:val="20"/>
          <w:color w:val="auto"/>
        </w:rPr>
      </w:pPr>
      <w:r>
        <w:rPr>
          <w:rFonts w:ascii="Arial" w:cs="Arial" w:eastAsia="Arial" w:hAnsi="Arial"/>
          <w:sz w:val="18"/>
          <w:szCs w:val="18"/>
          <w:color w:val="auto"/>
        </w:rPr>
        <w:t>[Signature Page to Performance-Based Unit Award Notice and Restricted Stock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389890</wp:posOffset>
            </wp:positionV>
            <wp:extent cx="7267575"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499"/>
          </w:cols>
          <w:pgMar w:left="960" w:top="368" w:right="1440"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8000" w:type="dxa"/>
            <w:vAlign w:val="bottom"/>
            <w:gridSpan w:val="2"/>
          </w:tcPr>
          <w:p>
            <w:pPr>
              <w:ind w:left="840"/>
              <w:spacing w:after="0"/>
              <w:rPr>
                <w:sz w:val="20"/>
                <w:szCs w:val="20"/>
                <w:color w:val="auto"/>
              </w:rPr>
            </w:pPr>
            <w:r>
              <w:rPr>
                <w:rFonts w:ascii="Arial" w:cs="Arial" w:eastAsia="Arial" w:hAnsi="Arial"/>
                <w:sz w:val="18"/>
                <w:szCs w:val="18"/>
                <w:b w:val="1"/>
                <w:bCs w:val="1"/>
                <w:color w:val="auto"/>
              </w:rPr>
              <w:t>Vested Unit Determination Procedure</w:t>
            </w:r>
          </w:p>
        </w:tc>
      </w:tr>
      <w:tr>
        <w:trPr>
          <w:trHeight w:val="265"/>
        </w:trPr>
        <w:tc>
          <w:tcPr>
            <w:tcW w:w="40" w:type="dxa"/>
            <w:vAlign w:val="bottom"/>
            <w:tcBorders>
              <w:bottom w:val="single" w:sz="8" w:color="auto"/>
            </w:tcBorders>
          </w:tcPr>
          <w:p>
            <w:pPr>
              <w:spacing w:after="0"/>
              <w:rPr>
                <w:sz w:val="23"/>
                <w:szCs w:val="23"/>
                <w:color w:val="auto"/>
              </w:rPr>
            </w:pPr>
          </w:p>
        </w:tc>
        <w:tc>
          <w:tcPr>
            <w:tcW w:w="3380" w:type="dxa"/>
            <w:vAlign w:val="bottom"/>
            <w:tcBorders>
              <w:bottom w:val="single" w:sz="8" w:color="auto"/>
            </w:tcBorders>
          </w:tcPr>
          <w:p>
            <w:pPr>
              <w:spacing w:after="0"/>
              <w:rPr>
                <w:sz w:val="23"/>
                <w:szCs w:val="23"/>
                <w:color w:val="auto"/>
              </w:rPr>
            </w:pPr>
          </w:p>
        </w:tc>
        <w:tc>
          <w:tcPr>
            <w:tcW w:w="2300" w:type="dxa"/>
            <w:vAlign w:val="bottom"/>
            <w:tcBorders>
              <w:bottom w:val="single" w:sz="8" w:color="auto"/>
            </w:tcBorders>
          </w:tcPr>
          <w:p>
            <w:pPr>
              <w:spacing w:after="0"/>
              <w:rPr>
                <w:sz w:val="23"/>
                <w:szCs w:val="23"/>
                <w:color w:val="auto"/>
              </w:rPr>
            </w:pPr>
          </w:p>
        </w:tc>
        <w:tc>
          <w:tcPr>
            <w:tcW w:w="5700" w:type="dxa"/>
            <w:vAlign w:val="bottom"/>
            <w:tcBorders>
              <w:bottom w:val="single" w:sz="8" w:color="auto"/>
            </w:tcBorders>
          </w:tcPr>
          <w:p>
            <w:pPr>
              <w:spacing w:after="0"/>
              <w:rPr>
                <w:sz w:val="23"/>
                <w:szCs w:val="2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3380" w:type="dxa"/>
            <w:vAlign w:val="bottom"/>
          </w:tcPr>
          <w:p>
            <w:pPr>
              <w:ind w:left="100"/>
              <w:spacing w:after="0"/>
              <w:rPr>
                <w:sz w:val="20"/>
                <w:szCs w:val="20"/>
                <w:color w:val="auto"/>
              </w:rPr>
            </w:pPr>
            <w:r>
              <w:rPr>
                <w:rFonts w:ascii="Arial" w:cs="Arial" w:eastAsia="Arial" w:hAnsi="Arial"/>
                <w:sz w:val="18"/>
                <w:szCs w:val="18"/>
                <w:color w:val="auto"/>
              </w:rPr>
              <w:t>Target Unit Amount:</w:t>
            </w:r>
          </w:p>
        </w:tc>
        <w:tc>
          <w:tcPr>
            <w:tcW w:w="2300" w:type="dxa"/>
            <w:vAlign w:val="bottom"/>
            <w:tcBorders>
              <w:right w:val="single" w:sz="8" w:color="auto"/>
            </w:tcBorders>
          </w:tcPr>
          <w:p>
            <w:pPr>
              <w:spacing w:after="0"/>
              <w:rPr>
                <w:sz w:val="18"/>
                <w:szCs w:val="18"/>
                <w:color w:val="auto"/>
              </w:rPr>
            </w:pPr>
          </w:p>
        </w:tc>
        <w:tc>
          <w:tcPr>
            <w:tcW w:w="57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Performance Target:</w:t>
            </w: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3380" w:type="dxa"/>
            <w:vAlign w:val="bottom"/>
            <w:tcBorders>
              <w:bottom w:val="single" w:sz="8" w:color="auto"/>
            </w:tcBorders>
          </w:tcPr>
          <w:p>
            <w:pPr>
              <w:spacing w:after="0"/>
              <w:rPr>
                <w:sz w:val="17"/>
                <w:szCs w:val="17"/>
                <w:color w:val="auto"/>
              </w:rPr>
            </w:pPr>
          </w:p>
        </w:tc>
        <w:tc>
          <w:tcPr>
            <w:tcW w:w="2300" w:type="dxa"/>
            <w:vAlign w:val="bottom"/>
            <w:tcBorders>
              <w:bottom w:val="single" w:sz="8" w:color="auto"/>
              <w:right w:val="single" w:sz="8" w:color="auto"/>
            </w:tcBorders>
          </w:tcPr>
          <w:p>
            <w:pPr>
              <w:spacing w:after="0"/>
              <w:rPr>
                <w:sz w:val="17"/>
                <w:szCs w:val="17"/>
                <w:color w:val="auto"/>
              </w:rPr>
            </w:pPr>
          </w:p>
        </w:tc>
        <w:tc>
          <w:tcPr>
            <w:tcW w:w="570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3380" w:type="dxa"/>
            <w:vAlign w:val="bottom"/>
          </w:tcPr>
          <w:p>
            <w:pPr>
              <w:ind w:left="100"/>
              <w:spacing w:after="0"/>
              <w:rPr>
                <w:sz w:val="20"/>
                <w:szCs w:val="20"/>
                <w:color w:val="auto"/>
              </w:rPr>
            </w:pPr>
            <w:r>
              <w:rPr>
                <w:rFonts w:ascii="Arial" w:cs="Arial" w:eastAsia="Arial" w:hAnsi="Arial"/>
                <w:sz w:val="18"/>
                <w:szCs w:val="18"/>
                <w:color w:val="auto"/>
              </w:rPr>
              <w:t>Performance Metric:</w:t>
            </w:r>
          </w:p>
        </w:tc>
        <w:tc>
          <w:tcPr>
            <w:tcW w:w="2300" w:type="dxa"/>
            <w:vAlign w:val="bottom"/>
          </w:tcPr>
          <w:p>
            <w:pPr>
              <w:spacing w:after="0"/>
              <w:rPr>
                <w:sz w:val="19"/>
                <w:szCs w:val="19"/>
                <w:color w:val="auto"/>
              </w:rPr>
            </w:pPr>
          </w:p>
        </w:tc>
        <w:tc>
          <w:tcPr>
            <w:tcW w:w="5700" w:type="dxa"/>
            <w:vAlign w:val="bottom"/>
            <w:tcBorders>
              <w:right w:val="single" w:sz="8" w:color="auto"/>
            </w:tcBorders>
          </w:tcPr>
          <w:p>
            <w:pPr>
              <w:spacing w:after="0"/>
              <w:rPr>
                <w:sz w:val="19"/>
                <w:szCs w:val="19"/>
                <w:color w:val="auto"/>
              </w:rPr>
            </w:pP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338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tcPr>
          <w:p>
            <w:pPr>
              <w:spacing w:after="0"/>
              <w:rPr>
                <w:sz w:val="17"/>
                <w:szCs w:val="17"/>
                <w:color w:val="auto"/>
              </w:rPr>
            </w:pPr>
          </w:p>
        </w:tc>
        <w:tc>
          <w:tcPr>
            <w:tcW w:w="570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3380" w:type="dxa"/>
            <w:vAlign w:val="bottom"/>
          </w:tcPr>
          <w:p>
            <w:pPr>
              <w:ind w:left="100"/>
              <w:spacing w:after="0"/>
              <w:rPr>
                <w:sz w:val="20"/>
                <w:szCs w:val="20"/>
                <w:color w:val="auto"/>
              </w:rPr>
            </w:pPr>
            <w:r>
              <w:rPr>
                <w:rFonts w:ascii="Arial" w:cs="Arial" w:eastAsia="Arial" w:hAnsi="Arial"/>
                <w:sz w:val="18"/>
                <w:szCs w:val="18"/>
                <w:color w:val="auto"/>
              </w:rPr>
              <w:t>Minimum Performance Threshold:</w:t>
            </w:r>
          </w:p>
        </w:tc>
        <w:tc>
          <w:tcPr>
            <w:tcW w:w="2300" w:type="dxa"/>
            <w:vAlign w:val="bottom"/>
            <w:tcBorders>
              <w:right w:val="single" w:sz="8" w:color="auto"/>
            </w:tcBorders>
          </w:tcPr>
          <w:p>
            <w:pPr>
              <w:spacing w:after="0"/>
              <w:rPr>
                <w:sz w:val="19"/>
                <w:szCs w:val="19"/>
                <w:color w:val="auto"/>
              </w:rPr>
            </w:pPr>
          </w:p>
        </w:tc>
        <w:tc>
          <w:tcPr>
            <w:tcW w:w="57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Maximum Performance Threshold:</w:t>
            </w: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3380" w:type="dxa"/>
            <w:vAlign w:val="bottom"/>
            <w:tcBorders>
              <w:bottom w:val="single" w:sz="8" w:color="auto"/>
            </w:tcBorders>
          </w:tcPr>
          <w:p>
            <w:pPr>
              <w:spacing w:after="0"/>
              <w:rPr>
                <w:sz w:val="17"/>
                <w:szCs w:val="17"/>
                <w:color w:val="auto"/>
              </w:rPr>
            </w:pPr>
          </w:p>
        </w:tc>
        <w:tc>
          <w:tcPr>
            <w:tcW w:w="2300" w:type="dxa"/>
            <w:vAlign w:val="bottom"/>
            <w:tcBorders>
              <w:bottom w:val="single" w:sz="8" w:color="auto"/>
              <w:right w:val="single" w:sz="8" w:color="auto"/>
            </w:tcBorders>
          </w:tcPr>
          <w:p>
            <w:pPr>
              <w:spacing w:after="0"/>
              <w:rPr>
                <w:sz w:val="17"/>
                <w:szCs w:val="17"/>
                <w:color w:val="auto"/>
              </w:rPr>
            </w:pPr>
          </w:p>
        </w:tc>
        <w:tc>
          <w:tcPr>
            <w:tcW w:w="5700" w:type="dxa"/>
            <w:vAlign w:val="bottom"/>
            <w:tcBorders>
              <w:bottom w:val="single" w:sz="8" w:color="auto"/>
              <w:right w:val="single" w:sz="8" w:color="auto"/>
            </w:tcBorders>
          </w:tcPr>
          <w:p>
            <w:pPr>
              <w:spacing w:after="0"/>
              <w:rPr>
                <w:sz w:val="17"/>
                <w:szCs w:val="17"/>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5700" w:type="dxa"/>
            <w:vAlign w:val="bottom"/>
            <w:tcBorders>
              <w:bottom w:val="single" w:sz="8" w:color="auto"/>
              <w:right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number of Units that will vest upon the Committee Certification or such other event as provided for in the Agreement will be determined as follows:</w:t>
      </w:r>
    </w:p>
    <w:p>
      <w:pPr>
        <w:spacing w:after="0" w:line="264" w:lineRule="exact"/>
        <w:rPr>
          <w:sz w:val="20"/>
          <w:szCs w:val="20"/>
          <w:color w:val="auto"/>
        </w:rPr>
      </w:pPr>
    </w:p>
    <w:p>
      <w:pPr>
        <w:ind w:left="700" w:right="40" w:hanging="692"/>
        <w:spacing w:after="0" w:line="277"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Performance Metric (set forth above) identifies the quantitative performance measure or combination of quantitative performance measures that the Committee will use to determine performance.</w:t>
      </w:r>
    </w:p>
    <w:p>
      <w:pPr>
        <w:spacing w:after="0" w:line="193" w:lineRule="exact"/>
        <w:rPr>
          <w:rFonts w:ascii="Arial" w:cs="Arial" w:eastAsia="Arial" w:hAnsi="Arial"/>
          <w:sz w:val="18"/>
          <w:szCs w:val="18"/>
          <w:color w:val="auto"/>
        </w:rPr>
      </w:pPr>
    </w:p>
    <w:p>
      <w:pPr>
        <w:ind w:left="700" w:hanging="692"/>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Performance Target (set forth above) (“</w:t>
      </w:r>
      <w:r>
        <w:rPr>
          <w:rFonts w:ascii="Arial" w:cs="Arial" w:eastAsia="Arial" w:hAnsi="Arial"/>
          <w:sz w:val="18"/>
          <w:szCs w:val="18"/>
          <w:b w:val="1"/>
          <w:bCs w:val="1"/>
          <w:color w:val="auto"/>
        </w:rPr>
        <w:t>PT</w:t>
      </w:r>
      <w:r>
        <w:rPr>
          <w:rFonts w:ascii="Arial" w:cs="Arial" w:eastAsia="Arial" w:hAnsi="Arial"/>
          <w:sz w:val="18"/>
          <w:szCs w:val="18"/>
          <w:color w:val="auto"/>
        </w:rPr>
        <w:t>”) represents the target value of the Performance Metric for the Performance Period.</w:t>
      </w:r>
    </w:p>
    <w:p>
      <w:pPr>
        <w:spacing w:after="0" w:line="256" w:lineRule="exact"/>
        <w:rPr>
          <w:rFonts w:ascii="Arial" w:cs="Arial" w:eastAsia="Arial" w:hAnsi="Arial"/>
          <w:sz w:val="18"/>
          <w:szCs w:val="18"/>
          <w:color w:val="auto"/>
        </w:rPr>
      </w:pPr>
    </w:p>
    <w:p>
      <w:pPr>
        <w:ind w:left="700" w:hanging="692"/>
        <w:spacing w:after="0"/>
        <w:tabs>
          <w:tab w:leader="none" w:pos="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Target Unit Amount (set forth above) represents the number of Units that will vest if exactly 100% of the Performance Target is achieved.</w:t>
      </w:r>
    </w:p>
    <w:p>
      <w:pPr>
        <w:spacing w:after="0" w:line="259" w:lineRule="exact"/>
        <w:rPr>
          <w:rFonts w:ascii="Arial" w:cs="Arial" w:eastAsia="Arial" w:hAnsi="Arial"/>
          <w:sz w:val="17"/>
          <w:szCs w:val="17"/>
          <w:color w:val="auto"/>
        </w:rPr>
      </w:pPr>
    </w:p>
    <w:p>
      <w:pPr>
        <w:ind w:left="700" w:right="680" w:hanging="692"/>
        <w:spacing w:after="0" w:line="282"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actual value of the Performance Metric for the Performance Period (“</w:t>
      </w:r>
      <w:r>
        <w:rPr>
          <w:rFonts w:ascii="Arial" w:cs="Arial" w:eastAsia="Arial" w:hAnsi="Arial"/>
          <w:sz w:val="18"/>
          <w:szCs w:val="18"/>
          <w:b w:val="1"/>
          <w:bCs w:val="1"/>
          <w:color w:val="auto"/>
        </w:rPr>
        <w:t>Actual Performance</w:t>
      </w:r>
      <w:r>
        <w:rPr>
          <w:rFonts w:ascii="Arial" w:cs="Arial" w:eastAsia="Arial" w:hAnsi="Arial"/>
          <w:sz w:val="18"/>
          <w:szCs w:val="18"/>
          <w:color w:val="auto"/>
        </w:rPr>
        <w:t>,” or “</w:t>
      </w:r>
      <w:r>
        <w:rPr>
          <w:rFonts w:ascii="Arial" w:cs="Arial" w:eastAsia="Arial" w:hAnsi="Arial"/>
          <w:sz w:val="18"/>
          <w:szCs w:val="18"/>
          <w:b w:val="1"/>
          <w:bCs w:val="1"/>
          <w:color w:val="auto"/>
        </w:rPr>
        <w:t>AP</w:t>
      </w:r>
      <w:r>
        <w:rPr>
          <w:rFonts w:ascii="Arial" w:cs="Arial" w:eastAsia="Arial" w:hAnsi="Arial"/>
          <w:sz w:val="18"/>
          <w:szCs w:val="18"/>
          <w:color w:val="auto"/>
        </w:rPr>
        <w:t>”) will be determined after audited Company financial information becomes available for the Performance Period.</w:t>
      </w:r>
    </w:p>
    <w:p>
      <w:pPr>
        <w:spacing w:after="0" w:line="192" w:lineRule="exact"/>
        <w:rPr>
          <w:rFonts w:ascii="Arial" w:cs="Arial" w:eastAsia="Arial" w:hAnsi="Arial"/>
          <w:sz w:val="18"/>
          <w:szCs w:val="18"/>
          <w:color w:val="auto"/>
        </w:rPr>
      </w:pPr>
    </w:p>
    <w:p>
      <w:pPr>
        <w:ind w:left="700" w:right="160" w:hanging="692"/>
        <w:spacing w:after="0" w:line="277"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Actual Performance, the number of Units that will vest will be determined from one of the following formulas (rounded up to the nearest whole Unit):</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4940" w:type="dxa"/>
            <w:vAlign w:val="bottom"/>
            <w:tcBorders>
              <w:top w:val="single" w:sz="8" w:color="auto"/>
              <w:left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0"/>
              </w:rPr>
              <w:t>Portion of Performance</w:t>
            </w:r>
          </w:p>
        </w:tc>
        <w:tc>
          <w:tcPr>
            <w:tcW w:w="648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90"/>
              </w:rPr>
              <w:t>Number of Units Vested</w:t>
            </w:r>
          </w:p>
        </w:tc>
        <w:tc>
          <w:tcPr>
            <w:tcW w:w="0" w:type="dxa"/>
            <w:vAlign w:val="bottom"/>
          </w:tcPr>
          <w:p>
            <w:pPr>
              <w:spacing w:after="0"/>
              <w:rPr>
                <w:sz w:val="1"/>
                <w:szCs w:val="1"/>
                <w:color w:val="auto"/>
              </w:rPr>
            </w:pPr>
          </w:p>
        </w:tc>
      </w:tr>
      <w:tr>
        <w:trPr>
          <w:trHeight w:val="126"/>
        </w:trPr>
        <w:tc>
          <w:tcPr>
            <w:tcW w:w="4940" w:type="dxa"/>
            <w:vAlign w:val="bottom"/>
            <w:tcBorders>
              <w:left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89"/>
              </w:rPr>
              <w:t>Target Achieved</w:t>
            </w:r>
          </w:p>
        </w:tc>
        <w:tc>
          <w:tcPr>
            <w:tcW w:w="6480" w:type="dxa"/>
            <w:vAlign w:val="bottom"/>
            <w:tcBorders>
              <w:right w:val="single" w:sz="8" w:color="auto"/>
            </w:tcBorders>
            <w:vMerge w:val="continue"/>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940" w:type="dxa"/>
            <w:vAlign w:val="bottom"/>
            <w:tcBorders>
              <w:left w:val="single" w:sz="8" w:color="auto"/>
              <w:bottom w:val="single" w:sz="8" w:color="auto"/>
              <w:right w:val="single" w:sz="8" w:color="auto"/>
            </w:tcBorders>
            <w:vMerge w:val="continue"/>
            <w:shd w:val="clear" w:color="auto" w:fill="D9D9D9"/>
          </w:tcPr>
          <w:p>
            <w:pPr>
              <w:spacing w:after="0"/>
              <w:rPr>
                <w:sz w:val="9"/>
                <w:szCs w:val="9"/>
                <w:color w:val="auto"/>
              </w:rPr>
            </w:pPr>
          </w:p>
        </w:tc>
        <w:tc>
          <w:tcPr>
            <w:tcW w:w="6480" w:type="dxa"/>
            <w:vAlign w:val="bottom"/>
            <w:tcBorders>
              <w:bottom w:val="single" w:sz="8" w:color="auto"/>
              <w:right w:val="single" w:sz="8" w:color="auto"/>
            </w:tcBorders>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4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&lt; Minimum Performance Threshold</w:t>
            </w:r>
          </w:p>
        </w:tc>
        <w:tc>
          <w:tcPr>
            <w:tcW w:w="6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None</w:t>
            </w:r>
          </w:p>
        </w:tc>
        <w:tc>
          <w:tcPr>
            <w:tcW w:w="0" w:type="dxa"/>
            <w:vAlign w:val="bottom"/>
          </w:tcPr>
          <w:p>
            <w:pPr>
              <w:spacing w:after="0"/>
              <w:rPr>
                <w:sz w:val="1"/>
                <w:szCs w:val="1"/>
                <w:color w:val="auto"/>
              </w:rPr>
            </w:pPr>
          </w:p>
        </w:tc>
      </w:tr>
      <w:tr>
        <w:trPr>
          <w:trHeight w:val="94"/>
        </w:trPr>
        <w:tc>
          <w:tcPr>
            <w:tcW w:w="4940" w:type="dxa"/>
            <w:vAlign w:val="bottom"/>
            <w:tcBorders>
              <w:left w:val="single" w:sz="8" w:color="auto"/>
              <w:right w:val="single" w:sz="8" w:color="auto"/>
            </w:tcBorders>
          </w:tcPr>
          <w:p>
            <w:pPr>
              <w:spacing w:after="0"/>
              <w:rPr>
                <w:sz w:val="8"/>
                <w:szCs w:val="8"/>
                <w:color w:val="auto"/>
              </w:rPr>
            </w:pPr>
          </w:p>
        </w:tc>
        <w:tc>
          <w:tcPr>
            <w:tcW w:w="64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940" w:type="dxa"/>
            <w:vAlign w:val="bottom"/>
            <w:tcBorders>
              <w:left w:val="single" w:sz="8" w:color="auto"/>
              <w:bottom w:val="single" w:sz="8" w:color="auto"/>
              <w:right w:val="single" w:sz="8" w:color="auto"/>
            </w:tcBorders>
          </w:tcPr>
          <w:p>
            <w:pPr>
              <w:spacing w:after="0"/>
              <w:rPr>
                <w:sz w:val="9"/>
                <w:szCs w:val="9"/>
                <w:color w:val="auto"/>
              </w:rPr>
            </w:pPr>
          </w:p>
        </w:tc>
        <w:tc>
          <w:tcPr>
            <w:tcW w:w="64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494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 Minimum Performance Threshold &amp;</w:t>
            </w:r>
          </w:p>
        </w:tc>
        <w:tc>
          <w:tcPr>
            <w:tcW w:w="64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 Maximum Performance Threshold</w:t>
            </w:r>
          </w:p>
        </w:tc>
        <w:tc>
          <w:tcPr>
            <w:tcW w:w="6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Target Unit Amount × ((AP/PT – 1) × 2.5) + 1)</w:t>
            </w:r>
          </w:p>
        </w:tc>
        <w:tc>
          <w:tcPr>
            <w:tcW w:w="0" w:type="dxa"/>
            <w:vAlign w:val="bottom"/>
          </w:tcPr>
          <w:p>
            <w:pPr>
              <w:spacing w:after="0"/>
              <w:rPr>
                <w:sz w:val="1"/>
                <w:szCs w:val="1"/>
                <w:color w:val="auto"/>
              </w:rPr>
            </w:pPr>
          </w:p>
        </w:tc>
      </w:tr>
      <w:tr>
        <w:trPr>
          <w:trHeight w:val="216"/>
        </w:trPr>
        <w:tc>
          <w:tcPr>
            <w:tcW w:w="4940" w:type="dxa"/>
            <w:vAlign w:val="bottom"/>
            <w:tcBorders>
              <w:left w:val="single" w:sz="8" w:color="auto"/>
              <w:bottom w:val="single" w:sz="8" w:color="auto"/>
              <w:right w:val="single" w:sz="8" w:color="auto"/>
            </w:tcBorders>
          </w:tcPr>
          <w:p>
            <w:pPr>
              <w:spacing w:after="0"/>
              <w:rPr>
                <w:sz w:val="18"/>
                <w:szCs w:val="18"/>
                <w:color w:val="auto"/>
              </w:rPr>
            </w:pPr>
          </w:p>
        </w:tc>
        <w:tc>
          <w:tcPr>
            <w:tcW w:w="64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&gt; Maximum Performance Threshold</w:t>
            </w:r>
          </w:p>
        </w:tc>
        <w:tc>
          <w:tcPr>
            <w:tcW w:w="6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Target Unit Amount × 1.5</w:t>
            </w:r>
          </w:p>
        </w:tc>
        <w:tc>
          <w:tcPr>
            <w:tcW w:w="0" w:type="dxa"/>
            <w:vAlign w:val="bottom"/>
          </w:tcPr>
          <w:p>
            <w:pPr>
              <w:spacing w:after="0"/>
              <w:rPr>
                <w:sz w:val="1"/>
                <w:szCs w:val="1"/>
                <w:color w:val="auto"/>
              </w:rPr>
            </w:pPr>
          </w:p>
        </w:tc>
      </w:tr>
      <w:tr>
        <w:trPr>
          <w:trHeight w:val="94"/>
        </w:trPr>
        <w:tc>
          <w:tcPr>
            <w:tcW w:w="4940" w:type="dxa"/>
            <w:vAlign w:val="bottom"/>
            <w:tcBorders>
              <w:left w:val="single" w:sz="8" w:color="auto"/>
              <w:right w:val="single" w:sz="8" w:color="auto"/>
            </w:tcBorders>
          </w:tcPr>
          <w:p>
            <w:pPr>
              <w:spacing w:after="0"/>
              <w:rPr>
                <w:sz w:val="8"/>
                <w:szCs w:val="8"/>
                <w:color w:val="auto"/>
              </w:rPr>
            </w:pPr>
          </w:p>
        </w:tc>
        <w:tc>
          <w:tcPr>
            <w:tcW w:w="64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940" w:type="dxa"/>
            <w:vAlign w:val="bottom"/>
            <w:tcBorders>
              <w:left w:val="single" w:sz="8" w:color="auto"/>
              <w:bottom w:val="single" w:sz="8" w:color="auto"/>
              <w:right w:val="single" w:sz="8" w:color="auto"/>
            </w:tcBorders>
          </w:tcPr>
          <w:p>
            <w:pPr>
              <w:spacing w:after="0"/>
              <w:rPr>
                <w:sz w:val="9"/>
                <w:szCs w:val="9"/>
                <w:color w:val="auto"/>
              </w:rPr>
            </w:pPr>
          </w:p>
        </w:tc>
        <w:tc>
          <w:tcPr>
            <w:tcW w:w="64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practical impact of these formulas is:</w:t>
      </w:r>
    </w:p>
    <w:p>
      <w:pPr>
        <w:spacing w:after="0" w:line="252" w:lineRule="exact"/>
        <w:rPr>
          <w:sz w:val="20"/>
          <w:szCs w:val="20"/>
          <w:color w:val="auto"/>
        </w:rPr>
      </w:pPr>
    </w:p>
    <w:p>
      <w:pPr>
        <w:ind w:left="1000" w:hanging="344"/>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Actual Performance is below the Minimum Performance Threshold, then no Units will 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67575"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1" w:name="page32"/>
    <w:bookmarkEnd w:id="31"/>
    <w:p>
      <w:pPr>
        <w:ind w:left="992" w:hanging="344"/>
        <w:spacing w:after="0" w:line="259" w:lineRule="auto"/>
        <w:tabs>
          <w:tab w:leader="none" w:pos="992" w:val="left"/>
        </w:tabs>
        <w:numPr>
          <w:ilvl w:val="1"/>
          <w:numId w:val="19"/>
        </w:numPr>
        <w:rPr>
          <w:rFonts w:ascii="Arial" w:cs="Arial" w:eastAsia="Arial" w:hAnsi="Arial"/>
          <w:sz w:val="18"/>
          <w:szCs w:val="18"/>
          <w:color w:val="auto"/>
        </w:rPr>
      </w:pPr>
      <w:r>
        <w:rPr>
          <w:rFonts w:ascii="Arial" w:cs="Arial" w:eastAsia="Arial" w:hAnsi="Arial"/>
          <w:sz w:val="18"/>
          <w:szCs w:val="18"/>
          <w:color w:val="auto"/>
        </w:rPr>
        <w:t>If Actual Performance is equal to or between the Minimum Performance Threshold and the Maximum Performance Threshold, then the number of Units that will vest is based on a sliding scale between a minimum of 50% of the Target Unit Amount if Actual Performance equals the Minimum Performance Threshold and a maximum of 150% of the Target Unit Amount if Actual Performance equals the Maximum Performance Threshold.</w:t>
      </w:r>
    </w:p>
    <w:p>
      <w:pPr>
        <w:spacing w:after="0" w:line="213" w:lineRule="exact"/>
        <w:rPr>
          <w:rFonts w:ascii="Arial" w:cs="Arial" w:eastAsia="Arial" w:hAnsi="Arial"/>
          <w:sz w:val="18"/>
          <w:szCs w:val="18"/>
          <w:color w:val="auto"/>
        </w:rPr>
      </w:pPr>
    </w:p>
    <w:p>
      <w:pPr>
        <w:ind w:left="992" w:hanging="344"/>
        <w:spacing w:after="0"/>
        <w:tabs>
          <w:tab w:leader="none" w:pos="992" w:val="left"/>
        </w:tabs>
        <w:numPr>
          <w:ilvl w:val="1"/>
          <w:numId w:val="19"/>
        </w:numPr>
        <w:rPr>
          <w:rFonts w:ascii="Arial" w:cs="Arial" w:eastAsia="Arial" w:hAnsi="Arial"/>
          <w:sz w:val="17"/>
          <w:szCs w:val="17"/>
          <w:color w:val="auto"/>
        </w:rPr>
      </w:pPr>
      <w:r>
        <w:rPr>
          <w:rFonts w:ascii="Arial" w:cs="Arial" w:eastAsia="Arial" w:hAnsi="Arial"/>
          <w:sz w:val="17"/>
          <w:szCs w:val="17"/>
          <w:color w:val="auto"/>
        </w:rPr>
        <w:t>If Actual Performance exceeds the Maximum Performance Threshold, then a maximum of 150% of the Target Unit Amount will vest.</w:t>
      </w:r>
    </w:p>
    <w:p>
      <w:pPr>
        <w:spacing w:after="0" w:line="263" w:lineRule="exact"/>
        <w:rPr>
          <w:rFonts w:ascii="Arial" w:cs="Arial" w:eastAsia="Arial" w:hAnsi="Arial"/>
          <w:sz w:val="17"/>
          <w:szCs w:val="17"/>
          <w:color w:val="auto"/>
        </w:rPr>
      </w:pPr>
    </w:p>
    <w:p>
      <w:pPr>
        <w:ind w:left="572" w:hanging="572"/>
        <w:spacing w:after="0"/>
        <w:tabs>
          <w:tab w:leader="none" w:pos="572"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example:</w:t>
      </w:r>
    </w:p>
    <w:p>
      <w:pPr>
        <w:spacing w:after="0" w:line="252" w:lineRule="exact"/>
        <w:rPr>
          <w:sz w:val="20"/>
          <w:szCs w:val="20"/>
          <w:color w:val="auto"/>
        </w:rPr>
      </w:pPr>
    </w:p>
    <w:p>
      <w:pPr>
        <w:ind w:left="3672" w:right="2580" w:hanging="3091"/>
        <w:spacing w:after="0" w:line="634" w:lineRule="auto"/>
        <w:tabs>
          <w:tab w:leader="none" w:pos="1139"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If Actual Performance is $110, the Performance Target is $100, and the Target Unit Amount is 100 Units: </w:t>
      </w:r>
      <w:r>
        <w:rPr>
          <w:rFonts w:ascii="Arial" w:cs="Arial" w:eastAsia="Arial" w:hAnsi="Arial"/>
          <w:sz w:val="16"/>
          <w:szCs w:val="16"/>
          <w:i w:val="1"/>
          <w:iCs w:val="1"/>
          <w:color w:val="auto"/>
        </w:rPr>
        <w:t>Number of Units Vested = 100 × ((110/100 – 1) × 2.5) + 1) = 125 Units</w:t>
      </w:r>
    </w:p>
    <w:p>
      <w:pPr>
        <w:ind w:left="4032"/>
        <w:spacing w:after="0"/>
        <w:rPr>
          <w:rFonts w:ascii="Arial" w:cs="Arial" w:eastAsia="Arial" w:hAnsi="Arial"/>
          <w:sz w:val="16"/>
          <w:szCs w:val="16"/>
          <w:color w:val="auto"/>
        </w:rPr>
      </w:pPr>
      <w:r>
        <w:rPr>
          <w:rFonts w:ascii="Arial" w:cs="Arial" w:eastAsia="Arial" w:hAnsi="Arial"/>
          <w:sz w:val="18"/>
          <w:szCs w:val="18"/>
          <w:color w:val="auto"/>
        </w:rPr>
        <w:t>Therefore, 125 Units would vest under the applicable formula.</w:t>
      </w:r>
    </w:p>
    <w:p>
      <w:pPr>
        <w:spacing w:after="0" w:line="279" w:lineRule="exact"/>
        <w:rPr>
          <w:rFonts w:ascii="Arial" w:cs="Arial" w:eastAsia="Arial" w:hAnsi="Arial"/>
          <w:sz w:val="16"/>
          <w:szCs w:val="16"/>
          <w:color w:val="auto"/>
        </w:rPr>
      </w:pPr>
    </w:p>
    <w:p>
      <w:pPr>
        <w:ind w:left="3772" w:right="2660" w:hanging="3191"/>
        <w:spacing w:after="0" w:line="634" w:lineRule="auto"/>
        <w:tabs>
          <w:tab w:leader="none" w:pos="1156"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If Actual Performance is $90, the Performance Target is $100, and the Target Unit Amount is 100 Units: </w:t>
      </w:r>
      <w:r>
        <w:rPr>
          <w:rFonts w:ascii="Arial" w:cs="Arial" w:eastAsia="Arial" w:hAnsi="Arial"/>
          <w:sz w:val="16"/>
          <w:szCs w:val="16"/>
          <w:i w:val="1"/>
          <w:iCs w:val="1"/>
          <w:color w:val="auto"/>
        </w:rPr>
        <w:t>Number of Units Vested = 100 × ((90/100 – 1) × 2.5) + 1) = 75 Units</w:t>
      </w:r>
    </w:p>
    <w:p>
      <w:pPr>
        <w:ind w:left="4072"/>
        <w:spacing w:after="0"/>
        <w:rPr>
          <w:rFonts w:ascii="Arial" w:cs="Arial" w:eastAsia="Arial" w:hAnsi="Arial"/>
          <w:sz w:val="16"/>
          <w:szCs w:val="16"/>
          <w:color w:val="auto"/>
        </w:rPr>
      </w:pPr>
      <w:r>
        <w:rPr>
          <w:rFonts w:ascii="Arial" w:cs="Arial" w:eastAsia="Arial" w:hAnsi="Arial"/>
          <w:sz w:val="18"/>
          <w:szCs w:val="18"/>
          <w:color w:val="auto"/>
        </w:rPr>
        <w:t>Therefore, 75 Units would vest under the applicable formula.</w:t>
      </w:r>
    </w:p>
    <w:p>
      <w:pPr>
        <w:spacing w:after="0" w:line="200" w:lineRule="exact"/>
        <w:rPr>
          <w:sz w:val="20"/>
          <w:szCs w:val="20"/>
          <w:color w:val="auto"/>
        </w:rPr>
      </w:pPr>
    </w:p>
    <w:p>
      <w:pPr>
        <w:spacing w:after="0" w:line="322" w:lineRule="exact"/>
        <w:rPr>
          <w:sz w:val="20"/>
          <w:szCs w:val="20"/>
          <w:color w:val="auto"/>
        </w:rPr>
      </w:pPr>
    </w:p>
    <w:p>
      <w:pPr>
        <w:ind w:left="5932"/>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52"/>
          </w:cols>
          <w:pgMar w:left="248" w:top="368" w:right="199" w:bottom="1440" w:gutter="0" w:footer="0" w:header="0"/>
        </w:sectPr>
      </w:pPr>
    </w:p>
    <w:bookmarkStart w:id="32" w:name="page33"/>
    <w:bookmarkEnd w:id="32"/>
    <w:p>
      <w:pPr>
        <w:jc w:val="right"/>
        <w:spacing w:after="0"/>
        <w:rPr>
          <w:sz w:val="20"/>
          <w:szCs w:val="20"/>
          <w:color w:val="auto"/>
        </w:rPr>
      </w:pPr>
      <w:r>
        <w:rPr>
          <w:rFonts w:ascii="Arial" w:cs="Arial" w:eastAsia="Arial" w:hAnsi="Arial"/>
          <w:sz w:val="22"/>
          <w:szCs w:val="22"/>
          <w:b w:val="1"/>
          <w:bCs w:val="1"/>
          <w:color w:val="auto"/>
        </w:rPr>
        <w:t>Exhibit 10.2</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20" w:type="dxa"/>
            <w:vAlign w:val="bottom"/>
            <w:gridSpan w:val="5"/>
          </w:tcPr>
          <w:p>
            <w:pPr>
              <w:jc w:val="center"/>
              <w:ind w:right="4380"/>
              <w:spacing w:after="0"/>
              <w:rPr>
                <w:sz w:val="20"/>
                <w:szCs w:val="20"/>
                <w:color w:val="auto"/>
              </w:rPr>
            </w:pPr>
            <w:r>
              <w:rPr>
                <w:rFonts w:ascii="Arial" w:cs="Arial" w:eastAsia="Arial" w:hAnsi="Arial"/>
                <w:sz w:val="22"/>
                <w:szCs w:val="22"/>
                <w:b w:val="1"/>
                <w:bCs w:val="1"/>
                <w:color w:val="auto"/>
                <w:w w:val="96"/>
              </w:rPr>
              <w:t>HAWKINS, INC.</w:t>
            </w:r>
          </w:p>
        </w:tc>
      </w:tr>
      <w:tr>
        <w:trPr>
          <w:trHeight w:val="281"/>
        </w:trPr>
        <w:tc>
          <w:tcPr>
            <w:tcW w:w="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580" w:type="dxa"/>
            <w:vAlign w:val="bottom"/>
            <w:gridSpan w:val="6"/>
          </w:tcPr>
          <w:p>
            <w:pPr>
              <w:jc w:val="center"/>
              <w:ind w:right="3840"/>
              <w:spacing w:after="0"/>
              <w:rPr>
                <w:sz w:val="20"/>
                <w:szCs w:val="20"/>
                <w:color w:val="auto"/>
              </w:rPr>
            </w:pPr>
            <w:r>
              <w:rPr>
                <w:rFonts w:ascii="Arial" w:cs="Arial" w:eastAsia="Arial" w:hAnsi="Arial"/>
                <w:sz w:val="22"/>
                <w:szCs w:val="22"/>
                <w:b w:val="1"/>
                <w:bCs w:val="1"/>
                <w:color w:val="auto"/>
                <w:w w:val="94"/>
              </w:rPr>
              <w:t>2010 OMNIBUS STOCK PLAN</w:t>
            </w:r>
          </w:p>
        </w:tc>
      </w:tr>
      <w:tr>
        <w:trPr>
          <w:trHeight w:val="436"/>
        </w:trPr>
        <w:tc>
          <w:tcPr>
            <w:tcW w:w="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20" w:type="dxa"/>
            <w:vAlign w:val="bottom"/>
            <w:gridSpan w:val="5"/>
          </w:tcPr>
          <w:p>
            <w:pPr>
              <w:jc w:val="center"/>
              <w:ind w:right="4380"/>
              <w:spacing w:after="0"/>
              <w:rPr>
                <w:sz w:val="20"/>
                <w:szCs w:val="20"/>
                <w:color w:val="auto"/>
              </w:rPr>
            </w:pPr>
            <w:r>
              <w:rPr>
                <w:rFonts w:ascii="Arial" w:cs="Arial" w:eastAsia="Arial" w:hAnsi="Arial"/>
                <w:sz w:val="22"/>
                <w:szCs w:val="22"/>
                <w:b w:val="1"/>
                <w:bCs w:val="1"/>
                <w:color w:val="auto"/>
              </w:rPr>
              <w:t>R</w:t>
            </w:r>
            <w:r>
              <w:rPr>
                <w:rFonts w:ascii="Arial" w:cs="Arial" w:eastAsia="Arial" w:hAnsi="Arial"/>
                <w:sz w:val="14"/>
                <w:szCs w:val="14"/>
                <w:b w:val="1"/>
                <w:bCs w:val="1"/>
                <w:color w:val="auto"/>
              </w:rPr>
              <w:t>ESTRICTED</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GREEMENT</w:t>
            </w:r>
          </w:p>
        </w:tc>
      </w:tr>
      <w:tr>
        <w:trPr>
          <w:trHeight w:val="493"/>
        </w:trPr>
        <w:tc>
          <w:tcPr>
            <w:tcW w:w="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3800" w:type="dxa"/>
            <w:vAlign w:val="bottom"/>
            <w:gridSpan w:val="3"/>
          </w:tcPr>
          <w:p>
            <w:pPr>
              <w:ind w:left="100"/>
              <w:spacing w:after="0"/>
              <w:rPr>
                <w:sz w:val="20"/>
                <w:szCs w:val="20"/>
                <w:color w:val="auto"/>
              </w:rPr>
            </w:pPr>
            <w:r>
              <w:rPr>
                <w:rFonts w:ascii="Arial" w:cs="Arial" w:eastAsia="Arial" w:hAnsi="Arial"/>
                <w:sz w:val="18"/>
                <w:szCs w:val="18"/>
                <w:color w:val="auto"/>
              </w:rPr>
              <w:t>Name of Director:</w:t>
            </w:r>
          </w:p>
        </w:tc>
        <w:tc>
          <w:tcPr>
            <w:tcW w:w="5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2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c>
          <w:tcPr>
            <w:tcW w:w="17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3800" w:type="dxa"/>
            <w:vAlign w:val="bottom"/>
            <w:gridSpan w:val="3"/>
          </w:tcPr>
          <w:p>
            <w:pPr>
              <w:ind w:left="100"/>
              <w:spacing w:after="0"/>
              <w:rPr>
                <w:sz w:val="20"/>
                <w:szCs w:val="20"/>
                <w:color w:val="auto"/>
              </w:rPr>
            </w:pPr>
            <w:r>
              <w:rPr>
                <w:rFonts w:ascii="Arial" w:cs="Arial" w:eastAsia="Arial" w:hAnsi="Arial"/>
                <w:sz w:val="18"/>
                <w:szCs w:val="18"/>
                <w:color w:val="auto"/>
              </w:rPr>
              <w:t>No. of Shares Covered:</w:t>
            </w:r>
          </w:p>
        </w:tc>
        <w:tc>
          <w:tcPr>
            <w:tcW w:w="560" w:type="dxa"/>
            <w:vAlign w:val="bottom"/>
          </w:tcPr>
          <w:p>
            <w:pPr>
              <w:spacing w:after="0"/>
              <w:rPr>
                <w:sz w:val="19"/>
                <w:szCs w:val="19"/>
                <w:color w:val="auto"/>
              </w:rPr>
            </w:pPr>
          </w:p>
        </w:tc>
        <w:tc>
          <w:tcPr>
            <w:tcW w:w="1320" w:type="dxa"/>
            <w:vAlign w:val="bottom"/>
            <w:tcBorders>
              <w:right w:val="single" w:sz="8" w:color="auto"/>
            </w:tcBorders>
          </w:tcPr>
          <w:p>
            <w:pPr>
              <w:spacing w:after="0"/>
              <w:rPr>
                <w:sz w:val="19"/>
                <w:szCs w:val="19"/>
                <w:color w:val="auto"/>
              </w:rPr>
            </w:pPr>
          </w:p>
        </w:tc>
        <w:tc>
          <w:tcPr>
            <w:tcW w:w="570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Date of Issuance:</w:t>
            </w: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2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c>
          <w:tcPr>
            <w:tcW w:w="1760" w:type="dxa"/>
            <w:vAlign w:val="bottom"/>
            <w:tcBorders>
              <w:bottom w:val="single" w:sz="8" w:color="auto"/>
              <w:right w:val="single" w:sz="8" w:color="auto"/>
            </w:tcBorders>
          </w:tcPr>
          <w:p>
            <w:pPr>
              <w:spacing w:after="0"/>
              <w:rPr>
                <w:sz w:val="17"/>
                <w:szCs w:val="17"/>
                <w:color w:val="auto"/>
              </w:rPr>
            </w:pPr>
          </w:p>
        </w:tc>
      </w:tr>
      <w:tr>
        <w:trPr>
          <w:trHeight w:val="426"/>
        </w:trPr>
        <w:tc>
          <w:tcPr>
            <w:tcW w:w="40" w:type="dxa"/>
            <w:vAlign w:val="bottom"/>
            <w:tcBorders>
              <w:right w:val="single" w:sz="8" w:color="auto"/>
            </w:tcBorders>
            <w:shd w:val="clear" w:color="auto" w:fill="000000"/>
          </w:tcPr>
          <w:p>
            <w:pPr>
              <w:spacing w:after="0"/>
              <w:rPr>
                <w:sz w:val="24"/>
                <w:szCs w:val="24"/>
                <w:color w:val="auto"/>
              </w:rPr>
            </w:pPr>
          </w:p>
        </w:tc>
        <w:tc>
          <w:tcPr>
            <w:tcW w:w="3800" w:type="dxa"/>
            <w:vAlign w:val="bottom"/>
            <w:gridSpan w:val="3"/>
          </w:tcPr>
          <w:p>
            <w:pPr>
              <w:ind w:left="100"/>
              <w:spacing w:after="0"/>
              <w:rPr>
                <w:sz w:val="20"/>
                <w:szCs w:val="20"/>
                <w:color w:val="auto"/>
              </w:rPr>
            </w:pPr>
            <w:r>
              <w:rPr>
                <w:rFonts w:ascii="Arial" w:cs="Arial" w:eastAsia="Arial" w:hAnsi="Arial"/>
                <w:sz w:val="18"/>
                <w:szCs w:val="18"/>
                <w:color w:val="auto"/>
              </w:rPr>
              <w:t>Vesting Schedule pursuant to Section 3:</w:t>
            </w: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r>
      <w:tr>
        <w:trPr>
          <w:trHeight w:val="418"/>
        </w:trPr>
        <w:tc>
          <w:tcPr>
            <w:tcW w:w="40" w:type="dxa"/>
            <w:vAlign w:val="bottom"/>
            <w:tcBorders>
              <w:right w:val="single" w:sz="8" w:color="auto"/>
            </w:tcBorders>
            <w:shd w:val="clear" w:color="auto" w:fill="000000"/>
          </w:tcPr>
          <w:p>
            <w:pPr>
              <w:spacing w:after="0"/>
              <w:rPr>
                <w:sz w:val="24"/>
                <w:szCs w:val="24"/>
                <w:color w:val="auto"/>
              </w:rPr>
            </w:pPr>
          </w:p>
        </w:tc>
        <w:tc>
          <w:tcPr>
            <w:tcW w:w="2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980" w:type="dxa"/>
            <w:vAlign w:val="bottom"/>
            <w:tcBorders>
              <w:right w:val="single" w:sz="8" w:color="auto"/>
            </w:tcBorders>
            <w:gridSpan w:val="2"/>
          </w:tcPr>
          <w:p>
            <w:pPr>
              <w:jc w:val="center"/>
              <w:ind w:right="1760"/>
              <w:spacing w:after="0"/>
              <w:rPr>
                <w:sz w:val="20"/>
                <w:szCs w:val="20"/>
                <w:color w:val="auto"/>
              </w:rPr>
            </w:pPr>
            <w:r>
              <w:rPr>
                <w:rFonts w:ascii="Arial" w:cs="Arial" w:eastAsia="Arial" w:hAnsi="Arial"/>
                <w:sz w:val="18"/>
                <w:szCs w:val="18"/>
                <w:color w:val="auto"/>
                <w:w w:val="88"/>
              </w:rPr>
              <w:t>No. of Shares Which</w:t>
            </w:r>
          </w:p>
        </w:tc>
      </w:tr>
      <w:tr>
        <w:trPr>
          <w:trHeight w:val="190"/>
        </w:trPr>
        <w:tc>
          <w:tcPr>
            <w:tcW w:w="40" w:type="dxa"/>
            <w:vAlign w:val="bottom"/>
            <w:tcBorders>
              <w:right w:val="single" w:sz="8" w:color="auto"/>
            </w:tcBorders>
            <w:shd w:val="clear" w:color="auto" w:fill="000000"/>
          </w:tcPr>
          <w:p>
            <w:pPr>
              <w:spacing w:after="0"/>
              <w:rPr>
                <w:sz w:val="16"/>
                <w:szCs w:val="16"/>
                <w:color w:val="auto"/>
              </w:rPr>
            </w:pPr>
          </w:p>
        </w:tc>
        <w:tc>
          <w:tcPr>
            <w:tcW w:w="3800" w:type="dxa"/>
            <w:vAlign w:val="bottom"/>
            <w:gridSpan w:val="3"/>
          </w:tcPr>
          <w:p>
            <w:pPr>
              <w:ind w:left="2300"/>
              <w:spacing w:after="0" w:line="190" w:lineRule="exact"/>
              <w:rPr>
                <w:sz w:val="20"/>
                <w:szCs w:val="20"/>
                <w:color w:val="auto"/>
              </w:rPr>
            </w:pPr>
            <w:r>
              <w:rPr>
                <w:rFonts w:ascii="Arial" w:cs="Arial" w:eastAsia="Arial" w:hAnsi="Arial"/>
                <w:sz w:val="18"/>
                <w:szCs w:val="18"/>
                <w:color w:val="auto"/>
              </w:rPr>
              <w:t>Vesting Date(s)</w:t>
            </w:r>
          </w:p>
        </w:tc>
        <w:tc>
          <w:tcPr>
            <w:tcW w:w="5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400" w:type="dxa"/>
            <w:vAlign w:val="bottom"/>
            <w:tcBorders>
              <w:right w:val="single" w:sz="8" w:color="auto"/>
            </w:tcBorders>
            <w:gridSpan w:val="3"/>
          </w:tcPr>
          <w:p>
            <w:pPr>
              <w:jc w:val="center"/>
              <w:ind w:right="1340"/>
              <w:spacing w:after="0" w:line="190" w:lineRule="exact"/>
              <w:rPr>
                <w:sz w:val="20"/>
                <w:szCs w:val="20"/>
                <w:color w:val="auto"/>
              </w:rPr>
            </w:pPr>
            <w:r>
              <w:rPr>
                <w:rFonts w:ascii="Arial" w:cs="Arial" w:eastAsia="Arial" w:hAnsi="Arial"/>
                <w:sz w:val="18"/>
                <w:szCs w:val="18"/>
                <w:color w:val="auto"/>
                <w:w w:val="85"/>
              </w:rPr>
              <w:t>Become Vested as of Such Date</w:t>
            </w:r>
          </w:p>
        </w:tc>
      </w:tr>
      <w:tr>
        <w:trPr>
          <w:trHeight w:val="1168"/>
        </w:trPr>
        <w:tc>
          <w:tcPr>
            <w:tcW w:w="40" w:type="dxa"/>
            <w:vAlign w:val="bottom"/>
            <w:tcBorders>
              <w:top w:val="single" w:sz="8" w:color="auto"/>
              <w:bottom w:val="single" w:sz="8" w:color="auto"/>
              <w:right w:val="single" w:sz="8" w:color="auto"/>
            </w:tcBorders>
            <w:shd w:val="clear" w:color="auto" w:fill="000000"/>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20" w:type="dxa"/>
            <w:vAlign w:val="bottom"/>
            <w:tcBorders>
              <w:top w:val="single" w:sz="8" w:color="auto"/>
              <w:bottom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This is a R</w:t>
      </w:r>
      <w:r>
        <w:rPr>
          <w:rFonts w:ascii="Arial" w:cs="Arial" w:eastAsia="Arial" w:hAnsi="Arial"/>
          <w:sz w:val="12"/>
          <w:szCs w:val="12"/>
          <w:color w:val="auto"/>
        </w:rPr>
        <w:t>ESTRICTED</w:t>
      </w:r>
      <w:r>
        <w:rPr>
          <w:rFonts w:ascii="Arial" w:cs="Arial" w:eastAsia="Arial" w:hAnsi="Arial"/>
          <w:sz w:val="18"/>
          <w:szCs w:val="18"/>
          <w:color w:val="auto"/>
        </w:rPr>
        <w:t xml:space="preserve"> S</w:t>
      </w:r>
      <w:r>
        <w:rPr>
          <w:rFonts w:ascii="Arial" w:cs="Arial" w:eastAsia="Arial" w:hAnsi="Arial"/>
          <w:sz w:val="12"/>
          <w:szCs w:val="12"/>
          <w:color w:val="auto"/>
        </w:rPr>
        <w:t>TOCK</w:t>
      </w:r>
      <w:r>
        <w:rPr>
          <w:rFonts w:ascii="Arial" w:cs="Arial" w:eastAsia="Arial" w:hAnsi="Arial"/>
          <w:sz w:val="18"/>
          <w:szCs w:val="18"/>
          <w:color w:val="auto"/>
        </w:rPr>
        <w:t xml:space="preserve"> A</w:t>
      </w:r>
      <w:r>
        <w:rPr>
          <w:rFonts w:ascii="Arial" w:cs="Arial" w:eastAsia="Arial" w:hAnsi="Arial"/>
          <w:sz w:val="12"/>
          <w:szCs w:val="12"/>
          <w:color w:val="auto"/>
        </w:rPr>
        <w:t>GREEMENT</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between Hawkins, Inc., a Minnesota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the above-named member of the Board of Directors (the “</w:t>
      </w:r>
      <w:r>
        <w:rPr>
          <w:rFonts w:ascii="Arial" w:cs="Arial" w:eastAsia="Arial" w:hAnsi="Arial"/>
          <w:sz w:val="18"/>
          <w:szCs w:val="18"/>
          <w:b w:val="1"/>
          <w:bCs w:val="1"/>
          <w:color w:val="auto"/>
        </w:rPr>
        <w:t>Director</w:t>
      </w:r>
      <w:r>
        <w:rPr>
          <w:rFonts w:ascii="Arial" w:cs="Arial" w:eastAsia="Arial" w:hAnsi="Arial"/>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Company maintains the Hawkins, Inc. 2010 Omnibus Stock Plan (as amended from time to time, the “</w:t>
      </w:r>
      <w:r>
        <w:rPr>
          <w:rFonts w:ascii="Arial" w:cs="Arial" w:eastAsia="Arial" w:hAnsi="Arial"/>
          <w:sz w:val="18"/>
          <w:szCs w:val="18"/>
          <w:b w:val="1"/>
          <w:bCs w:val="1"/>
          <w:color w:val="auto"/>
        </w:rPr>
        <w:t>Plan</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WHEREAS, the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of the Company has appointed the Compensation Committee (the “</w:t>
      </w:r>
      <w:r>
        <w:rPr>
          <w:rFonts w:ascii="Arial" w:cs="Arial" w:eastAsia="Arial" w:hAnsi="Arial"/>
          <w:sz w:val="18"/>
          <w:szCs w:val="18"/>
          <w:b w:val="1"/>
          <w:bCs w:val="1"/>
          <w:color w:val="auto"/>
        </w:rPr>
        <w:t>Committee</w:t>
      </w:r>
      <w:r>
        <w:rPr>
          <w:rFonts w:ascii="Arial" w:cs="Arial" w:eastAsia="Arial" w:hAnsi="Arial"/>
          <w:sz w:val="18"/>
          <w:szCs w:val="18"/>
          <w:color w:val="auto"/>
        </w:rPr>
        <w:t>”) with the authority to determine the awards to be granted under the Plan; and</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Committee or its designee has determined that the Director is eligible to receive an award under the Plan in the form of restricted stock and has set the terms thereof;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the Company and the Director mutually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u w:val="single" w:color="auto"/>
          <w:color w:val="auto"/>
        </w:rPr>
        <w:t>Terms and Conditions</w:t>
      </w:r>
      <w:r>
        <w:rPr>
          <w:rFonts w:ascii="Arial" w:cs="Arial" w:eastAsia="Arial" w:hAnsi="Arial"/>
          <w:sz w:val="18"/>
          <w:szCs w:val="18"/>
          <w:b w:val="1"/>
          <w:bCs w:val="1"/>
          <w:color w:val="auto"/>
        </w:rPr>
        <w:t>*</w:t>
      </w:r>
    </w:p>
    <w:p>
      <w:pPr>
        <w:spacing w:after="0" w:line="252" w:lineRule="exact"/>
        <w:rPr>
          <w:sz w:val="20"/>
          <w:szCs w:val="20"/>
          <w:color w:val="auto"/>
        </w:rPr>
      </w:pPr>
    </w:p>
    <w:p>
      <w:pPr>
        <w:ind w:left="820" w:hanging="812"/>
        <w:spacing w:after="0"/>
        <w:tabs>
          <w:tab w:leader="none" w:pos="8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Grant of Restricted Shares</w:t>
      </w:r>
      <w:r>
        <w:rPr>
          <w:rFonts w:ascii="Arial" w:cs="Arial" w:eastAsia="Arial" w:hAnsi="Arial"/>
          <w:sz w:val="18"/>
          <w:szCs w:val="18"/>
          <w:b w:val="1"/>
          <w:bCs w:val="1"/>
          <w:color w:val="auto"/>
        </w:rPr>
        <w:t>.</w:t>
      </w:r>
    </w:p>
    <w:p>
      <w:pPr>
        <w:spacing w:after="0" w:line="252" w:lineRule="exact"/>
        <w:rPr>
          <w:rFonts w:ascii="Arial" w:cs="Arial" w:eastAsia="Arial" w:hAnsi="Arial"/>
          <w:sz w:val="18"/>
          <w:szCs w:val="18"/>
          <w:b w:val="1"/>
          <w:bCs w:val="1"/>
          <w:color w:val="auto"/>
        </w:rPr>
      </w:pPr>
    </w:p>
    <w:p>
      <w:pPr>
        <w:jc w:val="both"/>
        <w:ind w:left="1620" w:hanging="802"/>
        <w:spacing w:after="0" w:line="281" w:lineRule="auto"/>
        <w:tabs>
          <w:tab w:leader="none" w:pos="1620" w:val="left"/>
        </w:tabs>
        <w:numPr>
          <w:ilvl w:val="1"/>
          <w:numId w:val="2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Grant. </w:t>
      </w:r>
      <w:r>
        <w:rPr>
          <w:rFonts w:ascii="Arial" w:cs="Arial" w:eastAsia="Arial" w:hAnsi="Arial"/>
          <w:sz w:val="17"/>
          <w:szCs w:val="17"/>
          <w:color w:val="auto"/>
        </w:rPr>
        <w:t>The Company hereby issues to the Director the number of shares specified at the beginning of this Agreement (the “</w:t>
      </w:r>
      <w:r>
        <w:rPr>
          <w:rFonts w:ascii="Arial" w:cs="Arial" w:eastAsia="Arial" w:hAnsi="Arial"/>
          <w:sz w:val="17"/>
          <w:szCs w:val="17"/>
          <w:b w:val="1"/>
          <w:bCs w:val="1"/>
          <w:color w:val="auto"/>
        </w:rPr>
        <w:t>Restricted Shares</w:t>
      </w:r>
      <w:r>
        <w:rPr>
          <w:rFonts w:ascii="Arial" w:cs="Arial" w:eastAsia="Arial" w:hAnsi="Arial"/>
          <w:sz w:val="17"/>
          <w:szCs w:val="17"/>
          <w:color w:val="auto"/>
        </w:rPr>
        <w:t>”) on the terms and conditions and subject to the restrictions set forth in this Agreement. The term “Restricted Shares” also refers to</w:t>
      </w:r>
      <w:r>
        <w:rPr>
          <w:rFonts w:ascii="Arial" w:cs="Arial" w:eastAsia="Arial" w:hAnsi="Arial"/>
          <w:sz w:val="17"/>
          <w:szCs w:val="17"/>
          <w:b w:val="1"/>
          <w:bCs w:val="1"/>
          <w:color w:val="auto"/>
        </w:rPr>
        <w:t xml:space="preserve"> </w:t>
      </w:r>
      <w:r>
        <w:rPr>
          <w:rFonts w:ascii="Arial" w:cs="Arial" w:eastAsia="Arial" w:hAnsi="Arial"/>
          <w:sz w:val="17"/>
          <w:szCs w:val="17"/>
          <w:color w:val="auto"/>
        </w:rPr>
        <w:t>all securities received by the Director in replacement of or in connection with the Restricted Shares granted hereby pursuant to a recapitalization, reclassification, stock dividend, stock split, stock combination or other relevant event.</w:t>
      </w:r>
    </w:p>
    <w:p>
      <w:pPr>
        <w:spacing w:after="0" w:line="191" w:lineRule="exact"/>
        <w:rPr>
          <w:rFonts w:ascii="Arial" w:cs="Arial" w:eastAsia="Arial" w:hAnsi="Arial"/>
          <w:sz w:val="17"/>
          <w:szCs w:val="17"/>
          <w:b w:val="1"/>
          <w:bCs w:val="1"/>
          <w:color w:val="auto"/>
        </w:rPr>
      </w:pPr>
    </w:p>
    <w:p>
      <w:pPr>
        <w:jc w:val="both"/>
        <w:ind w:left="1620" w:hanging="802"/>
        <w:spacing w:after="0" w:line="288" w:lineRule="auto"/>
        <w:tabs>
          <w:tab w:leader="none" w:pos="1620" w:val="left"/>
        </w:tabs>
        <w:numPr>
          <w:ilvl w:val="1"/>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Certificate. </w:t>
      </w:r>
      <w:r>
        <w:rPr>
          <w:rFonts w:ascii="Arial" w:cs="Arial" w:eastAsia="Arial" w:hAnsi="Arial"/>
          <w:sz w:val="16"/>
          <w:szCs w:val="16"/>
          <w:color w:val="auto"/>
        </w:rPr>
        <w:t>Within a reasonable time after the execution of this Agreement by the Director and the Company, the Company shall have a</w:t>
      </w:r>
      <w:r>
        <w:rPr>
          <w:rFonts w:ascii="Arial" w:cs="Arial" w:eastAsia="Arial" w:hAnsi="Arial"/>
          <w:sz w:val="16"/>
          <w:szCs w:val="16"/>
          <w:b w:val="1"/>
          <w:bCs w:val="1"/>
          <w:color w:val="auto"/>
        </w:rPr>
        <w:t xml:space="preserve"> </w:t>
      </w:r>
      <w:r>
        <w:rPr>
          <w:rFonts w:ascii="Arial" w:cs="Arial" w:eastAsia="Arial" w:hAnsi="Arial"/>
          <w:sz w:val="16"/>
          <w:szCs w:val="16"/>
          <w:color w:val="auto"/>
        </w:rPr>
        <w:t>certificate or certificates representing the Restricted Shares issued in the name of the Director and delivered to the Company to hold until the vesting and other conditions set forth in this Agreement have been satisfied. The Company shall pay all original issue or transfer taxes, if any, with respect to the issue or transfer of the Restricted Shares and all fees and expenses necessarily incurred by the Company in connection therewith. All Restricted Shares so issued shall be fully paid and nonassessable. Notwithstanding anything to the contrary in this Agreement, the Company shall not be required to deliver a cer tificate or certificates representing any Restricted Shares prior to (i) the vesting of such Restricted Shares in accordance with Section 3 and (ii) the completion of such registration or other qualification of such Restricted Shares for sale under the laws, rules or regulations of any state or other jurisdiction as the Company shall determine to be necessary or desirable. Upon the vesting of Restricted Shares in accordance with Section 3 and provided that the other conditions set forth in the previous sentence and elsewhere in this Agreement have been satisfied, the Company shall deliver a certificate or certificates representing such vested Restricted Shares to the Director as promptly as practicable.</w:t>
      </w:r>
    </w:p>
    <w:p>
      <w:pPr>
        <w:spacing w:after="0" w:line="191" w:lineRule="exact"/>
        <w:rPr>
          <w:rFonts w:ascii="Arial" w:cs="Arial" w:eastAsia="Arial" w:hAnsi="Arial"/>
          <w:sz w:val="16"/>
          <w:szCs w:val="16"/>
          <w:b w:val="1"/>
          <w:bCs w:val="1"/>
          <w:color w:val="auto"/>
        </w:rPr>
      </w:pPr>
    </w:p>
    <w:p>
      <w:pPr>
        <w:ind w:left="820" w:hanging="812"/>
        <w:spacing w:after="0"/>
        <w:tabs>
          <w:tab w:leader="none" w:pos="8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Forfeiture Events and Transfer Restrictions</w:t>
      </w:r>
      <w:r>
        <w:rPr>
          <w:rFonts w:ascii="Arial" w:cs="Arial" w:eastAsia="Arial" w:hAnsi="Arial"/>
          <w:sz w:val="18"/>
          <w:szCs w:val="18"/>
          <w:b w:val="1"/>
          <w:bCs w:val="1"/>
          <w:color w:val="auto"/>
        </w:rPr>
        <w:t>.</w:t>
      </w:r>
    </w:p>
    <w:p>
      <w:pPr>
        <w:spacing w:after="0" w:line="252" w:lineRule="exact"/>
        <w:rPr>
          <w:rFonts w:ascii="Arial" w:cs="Arial" w:eastAsia="Arial" w:hAnsi="Arial"/>
          <w:sz w:val="18"/>
          <w:szCs w:val="18"/>
          <w:b w:val="1"/>
          <w:bCs w:val="1"/>
          <w:color w:val="auto"/>
        </w:rPr>
      </w:pPr>
    </w:p>
    <w:p>
      <w:pPr>
        <w:jc w:val="both"/>
        <w:ind w:left="1620" w:hanging="802"/>
        <w:spacing w:after="0" w:line="277" w:lineRule="auto"/>
        <w:tabs>
          <w:tab w:leader="none" w:pos="1620" w:val="left"/>
        </w:tabs>
        <w:numPr>
          <w:ilvl w:val="1"/>
          <w:numId w:val="2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Forfeiture Events. </w:t>
      </w:r>
      <w:r>
        <w:rPr>
          <w:rFonts w:ascii="Arial" w:cs="Arial" w:eastAsia="Arial" w:hAnsi="Arial"/>
          <w:sz w:val="17"/>
          <w:szCs w:val="17"/>
          <w:color w:val="auto"/>
        </w:rPr>
        <w:t>Upon the occurrence of a “Forfeiture Event” (as defined below), the Director shall forfeit to the Company all of the</w:t>
      </w:r>
      <w:r>
        <w:rPr>
          <w:rFonts w:ascii="Arial" w:cs="Arial" w:eastAsia="Arial" w:hAnsi="Arial"/>
          <w:sz w:val="17"/>
          <w:szCs w:val="17"/>
          <w:b w:val="1"/>
          <w:bCs w:val="1"/>
          <w:color w:val="auto"/>
        </w:rPr>
        <w:t xml:space="preserve"> </w:t>
      </w:r>
      <w:r>
        <w:rPr>
          <w:rFonts w:ascii="Arial" w:cs="Arial" w:eastAsia="Arial" w:hAnsi="Arial"/>
          <w:sz w:val="17"/>
          <w:szCs w:val="17"/>
          <w:color w:val="auto"/>
        </w:rPr>
        <w:t>Restricted Shares that have not become vested pursuant to Section 3, and upon such forfeiture the Director shall immediately return any stock certificates representing Restricted Shares then held by the Director and execute and deliver such stock powers as the Company may request. The Restricted Shares that are forfeited pursuant to the previous sentence shall become authorized but unissued shares of the Company’s capital stock. A Forfeiture Event means any of the following events: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w:t>
      </w:r>
    </w:p>
    <w:p>
      <w:pPr>
        <w:spacing w:after="0" w:line="96" w:lineRule="exact"/>
        <w:rPr>
          <w:sz w:val="20"/>
          <w:szCs w:val="20"/>
          <w:color w:val="auto"/>
        </w:rPr>
      </w:pPr>
    </w:p>
    <w:p>
      <w:pPr>
        <w:ind w:left="460" w:hanging="452"/>
        <w:spacing w:after="0" w:line="277"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Unless the context indicates otherwise, terms that are not defined in this Agreement shall have the meaning set forth in the Plan as it currently exists or as it is amended in the future.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4" w:name="page35"/>
    <w:bookmarkEnd w:id="34"/>
    <w:p>
      <w:pPr>
        <w:ind w:left="2420" w:hanging="805"/>
        <w:spacing w:after="0" w:line="277" w:lineRule="auto"/>
        <w:tabs>
          <w:tab w:leader="none" w:pos="2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termination of the Director’s status as a member of the Board for any reason, whether by the Company with or without cause, voluntarily or involuntarily by the Director or otherwise (“</w:t>
      </w:r>
      <w:r>
        <w:rPr>
          <w:rFonts w:ascii="Arial" w:cs="Arial" w:eastAsia="Arial" w:hAnsi="Arial"/>
          <w:sz w:val="18"/>
          <w:szCs w:val="18"/>
          <w:b w:val="1"/>
          <w:bCs w:val="1"/>
          <w:color w:val="auto"/>
        </w:rPr>
        <w:t>Termination of Directorship</w:t>
      </w:r>
      <w:r>
        <w:rPr>
          <w:rFonts w:ascii="Arial" w:cs="Arial" w:eastAsia="Arial" w:hAnsi="Arial"/>
          <w:sz w:val="18"/>
          <w:szCs w:val="18"/>
          <w:color w:val="auto"/>
        </w:rPr>
        <w:t>”); or</w:t>
      </w:r>
    </w:p>
    <w:p>
      <w:pPr>
        <w:spacing w:after="0" w:line="197" w:lineRule="exact"/>
        <w:rPr>
          <w:rFonts w:ascii="Arial" w:cs="Arial" w:eastAsia="Arial" w:hAnsi="Arial"/>
          <w:sz w:val="18"/>
          <w:szCs w:val="18"/>
          <w:color w:val="auto"/>
        </w:rPr>
      </w:pPr>
    </w:p>
    <w:p>
      <w:pPr>
        <w:ind w:left="2420" w:hanging="805"/>
        <w:spacing w:after="0" w:line="308" w:lineRule="auto"/>
        <w:tabs>
          <w:tab w:leader="none" w:pos="24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any attempt to transfer or otherwise dispose of any of the Restricted Shares, or to levy any attachment or pursue any similar involuntary process with respect to any Restricted Shares, in violation of Section 2(b) of this Agreement.</w:t>
      </w:r>
    </w:p>
    <w:p>
      <w:pPr>
        <w:spacing w:after="0" w:line="174" w:lineRule="exact"/>
        <w:rPr>
          <w:sz w:val="20"/>
          <w:szCs w:val="20"/>
          <w:color w:val="auto"/>
        </w:rPr>
      </w:pPr>
    </w:p>
    <w:p>
      <w:pPr>
        <w:ind w:left="820"/>
        <w:spacing w:after="0"/>
        <w:rPr>
          <w:sz w:val="20"/>
          <w:szCs w:val="20"/>
          <w:color w:val="auto"/>
        </w:rPr>
      </w:pPr>
      <w:r>
        <w:rPr>
          <w:rFonts w:ascii="Arial" w:cs="Arial" w:eastAsia="Arial" w:hAnsi="Arial"/>
          <w:sz w:val="17"/>
          <w:szCs w:val="17"/>
          <w:color w:val="auto"/>
        </w:rPr>
        <w:t>For purposes of this Agreement, a leave of absence granted to the Director by the Board shall not be deemed a Termination of Directorship.</w:t>
      </w:r>
    </w:p>
    <w:p>
      <w:pPr>
        <w:spacing w:after="0" w:line="287" w:lineRule="exact"/>
        <w:rPr>
          <w:sz w:val="20"/>
          <w:szCs w:val="20"/>
          <w:color w:val="auto"/>
        </w:rPr>
      </w:pPr>
    </w:p>
    <w:p>
      <w:pPr>
        <w:jc w:val="both"/>
        <w:ind w:left="1620" w:hanging="802"/>
        <w:spacing w:after="0" w:line="303" w:lineRule="auto"/>
        <w:tabs>
          <w:tab w:leader="none" w:pos="1620" w:val="left"/>
        </w:tabs>
        <w:numPr>
          <w:ilvl w:val="1"/>
          <w:numId w:val="2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Limitation on Transfer. </w:t>
      </w:r>
      <w:r>
        <w:rPr>
          <w:rFonts w:ascii="Arial" w:cs="Arial" w:eastAsia="Arial" w:hAnsi="Arial"/>
          <w:sz w:val="16"/>
          <w:szCs w:val="16"/>
          <w:color w:val="auto"/>
        </w:rPr>
        <w:t>Until such time as the Restricted Shares have become vested under Section 3 of this Agreement, the Director shall</w:t>
      </w:r>
      <w:r>
        <w:rPr>
          <w:rFonts w:ascii="Arial" w:cs="Arial" w:eastAsia="Arial" w:hAnsi="Arial"/>
          <w:sz w:val="16"/>
          <w:szCs w:val="16"/>
          <w:b w:val="1"/>
          <w:bCs w:val="1"/>
          <w:color w:val="auto"/>
        </w:rPr>
        <w:t xml:space="preserve"> </w:t>
      </w:r>
      <w:r>
        <w:rPr>
          <w:rFonts w:ascii="Arial" w:cs="Arial" w:eastAsia="Arial" w:hAnsi="Arial"/>
          <w:sz w:val="16"/>
          <w:szCs w:val="16"/>
          <w:color w:val="auto"/>
        </w:rPr>
        <w:t>not transfer the Restricted Shares and the Restricted Shares shall not be subject to pledge, hypothecation, execution, attachment or similar process. Any attempt to assign, transfer, pledge, hypothecate or otherwise dispose of any Restricted Shares contrary to the provisions hereof, and any attempt to levy any attachment or pursue any similar process with respect to them, shall be null and void.</w:t>
      </w:r>
    </w:p>
    <w:p>
      <w:pPr>
        <w:spacing w:after="0" w:line="178" w:lineRule="exact"/>
        <w:rPr>
          <w:rFonts w:ascii="Arial" w:cs="Arial" w:eastAsia="Arial" w:hAnsi="Arial"/>
          <w:sz w:val="16"/>
          <w:szCs w:val="16"/>
          <w:b w:val="1"/>
          <w:bCs w:val="1"/>
          <w:color w:val="auto"/>
        </w:rPr>
      </w:pPr>
    </w:p>
    <w:p>
      <w:pPr>
        <w:jc w:val="both"/>
        <w:ind w:left="820" w:hanging="812"/>
        <w:spacing w:after="0" w:line="303" w:lineRule="auto"/>
        <w:tabs>
          <w:tab w:leader="none" w:pos="820"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Vesting</w:t>
      </w:r>
      <w:r>
        <w:rPr>
          <w:rFonts w:ascii="Arial" w:cs="Arial" w:eastAsia="Arial" w:hAnsi="Arial"/>
          <w:sz w:val="16"/>
          <w:szCs w:val="16"/>
          <w:b w:val="1"/>
          <w:bCs w:val="1"/>
          <w:color w:val="auto"/>
        </w:rPr>
        <w:t xml:space="preserve">. </w:t>
      </w:r>
      <w:r>
        <w:rPr>
          <w:rFonts w:ascii="Arial" w:cs="Arial" w:eastAsia="Arial" w:hAnsi="Arial"/>
          <w:sz w:val="16"/>
          <w:szCs w:val="16"/>
          <w:color w:val="auto"/>
        </w:rPr>
        <w:t>The Restricted Shares shall cease to be subject to forfeiture under Section 2 hereof in the numbers and on the dates specified in the vesting</w:t>
      </w:r>
      <w:r>
        <w:rPr>
          <w:rFonts w:ascii="Arial" w:cs="Arial" w:eastAsia="Arial" w:hAnsi="Arial"/>
          <w:sz w:val="16"/>
          <w:szCs w:val="16"/>
          <w:b w:val="1"/>
          <w:bCs w:val="1"/>
          <w:color w:val="auto"/>
        </w:rPr>
        <w:t xml:space="preserve"> </w:t>
      </w:r>
      <w:r>
        <w:rPr>
          <w:rFonts w:ascii="Arial" w:cs="Arial" w:eastAsia="Arial" w:hAnsi="Arial"/>
          <w:sz w:val="16"/>
          <w:szCs w:val="16"/>
          <w:color w:val="auto"/>
        </w:rPr>
        <w:t>schedule at the beginning of this Agreement; provided, however, that the Restricted Shares shall immediately cease to be subject to forfeiture under Section 2 hereof (i) upon the occurrence of a Fundamental Change or (ii) if the Director’s directorship terminates because of death or disability. Restricted Shares that have so ceased to be subject to forfeiture are sometimes referred to as “vested” or as “Vested Shares” in this Agreement.</w:t>
      </w:r>
    </w:p>
    <w:p>
      <w:pPr>
        <w:spacing w:after="0" w:line="178" w:lineRule="exact"/>
        <w:rPr>
          <w:rFonts w:ascii="Arial" w:cs="Arial" w:eastAsia="Arial" w:hAnsi="Arial"/>
          <w:sz w:val="16"/>
          <w:szCs w:val="16"/>
          <w:b w:val="1"/>
          <w:bCs w:val="1"/>
          <w:color w:val="auto"/>
        </w:rPr>
      </w:pPr>
    </w:p>
    <w:p>
      <w:pPr>
        <w:ind w:left="820" w:hanging="812"/>
        <w:spacing w:after="0" w:line="282" w:lineRule="auto"/>
        <w:tabs>
          <w:tab w:leader="none" w:pos="82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Shareholder Rights</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of issuance specified at the beginning of this Agreement, the Director shall have all of the rights of a shareholder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with respect to the Restricted Shares, except as otherwise specifically provided in this Agreement.</w:t>
      </w:r>
    </w:p>
    <w:p>
      <w:pPr>
        <w:spacing w:after="0" w:line="188" w:lineRule="exact"/>
        <w:rPr>
          <w:rFonts w:ascii="Arial" w:cs="Arial" w:eastAsia="Arial" w:hAnsi="Arial"/>
          <w:sz w:val="18"/>
          <w:szCs w:val="18"/>
          <w:b w:val="1"/>
          <w:bCs w:val="1"/>
          <w:color w:val="auto"/>
        </w:rPr>
      </w:pPr>
    </w:p>
    <w:p>
      <w:pPr>
        <w:jc w:val="both"/>
        <w:ind w:left="820" w:hanging="812"/>
        <w:spacing w:after="0" w:line="291" w:lineRule="auto"/>
        <w:tabs>
          <w:tab w:leader="none" w:pos="820"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Tax Withholding</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hereto recognize that the Company or a subsidiary of the Company may be obligated to withhold federal and state taxes</w:t>
      </w:r>
      <w:r>
        <w:rPr>
          <w:rFonts w:ascii="Arial" w:cs="Arial" w:eastAsia="Arial" w:hAnsi="Arial"/>
          <w:sz w:val="16"/>
          <w:szCs w:val="16"/>
          <w:b w:val="1"/>
          <w:bCs w:val="1"/>
          <w:color w:val="auto"/>
        </w:rPr>
        <w:t xml:space="preserve"> </w:t>
      </w:r>
      <w:r>
        <w:rPr>
          <w:rFonts w:ascii="Arial" w:cs="Arial" w:eastAsia="Arial" w:hAnsi="Arial"/>
          <w:sz w:val="16"/>
          <w:szCs w:val="16"/>
          <w:color w:val="auto"/>
        </w:rPr>
        <w:t>or other taxes upon the vesting of the Restricted Shares, or, in the event that the Director elects under Code Section 83(b) to report the receipt of the Restricted Shares as income in the year of receipt, upon the Director’s receipt of the Restricted Shares. The Director agrees that, at such time, if the Company or a subsidiary is required to withhold such taxes, the Director will promptly pay, in cash or through the forfeiture of Vested Shares to the Company (or in any other manner permitted by the Committe e in accordance with the terms of the Plan), upon demand, to the Company or the subsidiary having such obligation, such amounts as shall be necessary to satisfy such obligation. The Director further acknowledges that the Company has directed the Director to seek independent advice regarding the applicable provisions of the Code, the income tax laws of any municipality, state or foreign country in which the Director may reside, and the tax consequences of the Director’s death.</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5" w:name="page36"/>
    <w:bookmarkEnd w:id="35"/>
    <w:p>
      <w:pPr>
        <w:ind w:left="692" w:hanging="692"/>
        <w:spacing w:after="0"/>
        <w:tabs>
          <w:tab w:leader="none" w:pos="692"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Restrictive Legends and Stop-Transfer Orders</w:t>
      </w:r>
      <w:r>
        <w:rPr>
          <w:rFonts w:ascii="Arial" w:cs="Arial" w:eastAsia="Arial" w:hAnsi="Arial"/>
          <w:sz w:val="18"/>
          <w:szCs w:val="18"/>
          <w:b w:val="1"/>
          <w:bCs w:val="1"/>
          <w:color w:val="auto"/>
        </w:rPr>
        <w:t>.</w:t>
      </w:r>
    </w:p>
    <w:p>
      <w:pPr>
        <w:spacing w:after="0" w:line="252" w:lineRule="exact"/>
        <w:rPr>
          <w:sz w:val="20"/>
          <w:szCs w:val="20"/>
          <w:color w:val="auto"/>
        </w:rPr>
      </w:pPr>
    </w:p>
    <w:p>
      <w:pPr>
        <w:ind w:left="1372" w:hanging="683"/>
        <w:spacing w:after="0" w:line="347" w:lineRule="auto"/>
        <w:tabs>
          <w:tab w:leader="none" w:pos="1372"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Legends. </w:t>
      </w:r>
      <w:r>
        <w:rPr>
          <w:rFonts w:ascii="Arial" w:cs="Arial" w:eastAsia="Arial" w:hAnsi="Arial"/>
          <w:sz w:val="16"/>
          <w:szCs w:val="16"/>
          <w:color w:val="auto"/>
        </w:rPr>
        <w:t>The certificate or certificates representing the Restricted Shares shall bear the following legend (as well as any legends required</w:t>
      </w:r>
      <w:r>
        <w:rPr>
          <w:rFonts w:ascii="Arial" w:cs="Arial" w:eastAsia="Arial" w:hAnsi="Arial"/>
          <w:sz w:val="16"/>
          <w:szCs w:val="16"/>
          <w:b w:val="1"/>
          <w:bCs w:val="1"/>
          <w:color w:val="auto"/>
        </w:rPr>
        <w:t xml:space="preserve"> </w:t>
      </w:r>
      <w:r>
        <w:rPr>
          <w:rFonts w:ascii="Arial" w:cs="Arial" w:eastAsia="Arial" w:hAnsi="Arial"/>
          <w:sz w:val="16"/>
          <w:szCs w:val="16"/>
          <w:color w:val="auto"/>
        </w:rPr>
        <w:t>by applicable state and federal corporate and securities laws) noting the existence of the restrictions set forth in this Agreement:</w:t>
      </w:r>
    </w:p>
    <w:p>
      <w:pPr>
        <w:spacing w:after="0" w:line="147" w:lineRule="exact"/>
        <w:rPr>
          <w:sz w:val="20"/>
          <w:szCs w:val="20"/>
          <w:color w:val="auto"/>
        </w:rPr>
      </w:pPr>
    </w:p>
    <w:p>
      <w:pPr>
        <w:jc w:val="both"/>
        <w:ind w:left="2032" w:right="660"/>
        <w:spacing w:after="0" w:line="259" w:lineRule="auto"/>
        <w:rPr>
          <w:sz w:val="20"/>
          <w:szCs w:val="20"/>
          <w:color w:val="auto"/>
        </w:rPr>
      </w:pPr>
      <w:r>
        <w:rPr>
          <w:rFonts w:ascii="Arial" w:cs="Arial" w:eastAsia="Arial" w:hAnsi="Arial"/>
          <w:sz w:val="18"/>
          <w:szCs w:val="18"/>
          <w:color w:val="auto"/>
        </w:rPr>
        <w:t>“THE SHARES REPRESENTED BY THIS CERTIFICATE ARE SUBJECT TO FORFEITURE AND MAY BE TRANSFERRED ONLY IN ACCORDANCE WITH THE TERMS OF A RESTRICTED STOCK AGREEMENT BETWEEN THE COMPANY AND THE DIRECTOR, A COPY OF WHICH IS ON FILE WITH THE SECRETARY OF THE COMPANY.”</w:t>
      </w:r>
    </w:p>
    <w:p>
      <w:pPr>
        <w:spacing w:after="0" w:line="210" w:lineRule="exact"/>
        <w:rPr>
          <w:sz w:val="20"/>
          <w:szCs w:val="20"/>
          <w:color w:val="auto"/>
        </w:rPr>
      </w:pPr>
    </w:p>
    <w:p>
      <w:pPr>
        <w:jc w:val="both"/>
        <w:ind w:left="1372" w:hanging="683"/>
        <w:spacing w:after="0" w:line="266" w:lineRule="auto"/>
        <w:tabs>
          <w:tab w:leader="none" w:pos="1372" w:val="left"/>
        </w:tabs>
        <w:numPr>
          <w:ilvl w:val="1"/>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Stop-Transfer Notices. </w:t>
      </w:r>
      <w:r>
        <w:rPr>
          <w:rFonts w:ascii="Arial" w:cs="Arial" w:eastAsia="Arial" w:hAnsi="Arial"/>
          <w:sz w:val="18"/>
          <w:szCs w:val="18"/>
          <w:color w:val="auto"/>
        </w:rPr>
        <w:t>The Director agrees that, in order to ensure compliance with the restrictions referred to herein, the Company may</w:t>
      </w:r>
      <w:r>
        <w:rPr>
          <w:rFonts w:ascii="Arial" w:cs="Arial" w:eastAsia="Arial" w:hAnsi="Arial"/>
          <w:sz w:val="18"/>
          <w:szCs w:val="18"/>
          <w:b w:val="1"/>
          <w:bCs w:val="1"/>
          <w:color w:val="auto"/>
        </w:rPr>
        <w:t xml:space="preserve"> </w:t>
      </w:r>
      <w:r>
        <w:rPr>
          <w:rFonts w:ascii="Arial" w:cs="Arial" w:eastAsia="Arial" w:hAnsi="Arial"/>
          <w:sz w:val="18"/>
          <w:szCs w:val="18"/>
          <w:color w:val="auto"/>
        </w:rPr>
        <w:t>issue appropriate “stop transfer” instructions to its transfer agent, if any, and that, if the Company transfers its own securities, it may make appropriate notations to the same effect in its own records.</w:t>
      </w:r>
    </w:p>
    <w:p>
      <w:pPr>
        <w:spacing w:after="0" w:line="203" w:lineRule="exact"/>
        <w:rPr>
          <w:rFonts w:ascii="Arial" w:cs="Arial" w:eastAsia="Arial" w:hAnsi="Arial"/>
          <w:sz w:val="18"/>
          <w:szCs w:val="18"/>
          <w:b w:val="1"/>
          <w:bCs w:val="1"/>
          <w:color w:val="auto"/>
        </w:rPr>
      </w:pPr>
    </w:p>
    <w:p>
      <w:pPr>
        <w:jc w:val="both"/>
        <w:ind w:left="1372" w:hanging="683"/>
        <w:spacing w:after="0" w:line="314" w:lineRule="auto"/>
        <w:tabs>
          <w:tab w:leader="none" w:pos="1372" w:val="left"/>
        </w:tabs>
        <w:numPr>
          <w:ilvl w:val="1"/>
          <w:numId w:val="2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Refusal to Transfer. </w:t>
      </w:r>
      <w:r>
        <w:rPr>
          <w:rFonts w:ascii="Arial" w:cs="Arial" w:eastAsia="Arial" w:hAnsi="Arial"/>
          <w:sz w:val="16"/>
          <w:szCs w:val="16"/>
          <w:color w:val="auto"/>
        </w:rPr>
        <w:t>The Company shall not be required (i) to transfer on its books any Restricted Shares that have been sold or otherwise</w:t>
      </w:r>
      <w:r>
        <w:rPr>
          <w:rFonts w:ascii="Arial" w:cs="Arial" w:eastAsia="Arial" w:hAnsi="Arial"/>
          <w:sz w:val="16"/>
          <w:szCs w:val="16"/>
          <w:b w:val="1"/>
          <w:bCs w:val="1"/>
          <w:color w:val="auto"/>
        </w:rPr>
        <w:t xml:space="preserve"> </w:t>
      </w:r>
      <w:r>
        <w:rPr>
          <w:rFonts w:ascii="Arial" w:cs="Arial" w:eastAsia="Arial" w:hAnsi="Arial"/>
          <w:sz w:val="16"/>
          <w:szCs w:val="16"/>
          <w:color w:val="auto"/>
        </w:rPr>
        <w:t>transferred in violation of any of the provisions of this Agreement or (ii) to treat as owner of the Restricted Shares or to accord the right to vote or pay dividends to any purchaser or other transferee to whom the Restricted Shares shall have been so transferred.</w:t>
      </w:r>
    </w:p>
    <w:p>
      <w:pPr>
        <w:spacing w:after="0" w:line="169" w:lineRule="exact"/>
        <w:rPr>
          <w:rFonts w:ascii="Arial" w:cs="Arial" w:eastAsia="Arial" w:hAnsi="Arial"/>
          <w:sz w:val="16"/>
          <w:szCs w:val="16"/>
          <w:b w:val="1"/>
          <w:bCs w:val="1"/>
          <w:color w:val="auto"/>
        </w:rPr>
      </w:pPr>
    </w:p>
    <w:p>
      <w:pPr>
        <w:jc w:val="both"/>
        <w:ind w:left="692" w:hanging="692"/>
        <w:spacing w:after="0" w:line="266" w:lineRule="auto"/>
        <w:tabs>
          <w:tab w:leader="none" w:pos="692"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Interpretation of This Agreement</w:t>
      </w:r>
      <w:r>
        <w:rPr>
          <w:rFonts w:ascii="Arial" w:cs="Arial" w:eastAsia="Arial" w:hAnsi="Arial"/>
          <w:sz w:val="18"/>
          <w:szCs w:val="18"/>
          <w:color w:val="auto"/>
        </w:rPr>
        <w:t>. All decisions and interpretations made by the Committee with regard to any question arising hereunder or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shall be binding and conclusive upon the Company and the Director. If there is any inconsistency between the provisions of this Agreement and the Plan, the provisions of the Plan shall govern.</w:t>
      </w:r>
    </w:p>
    <w:p>
      <w:pPr>
        <w:spacing w:after="0" w:line="203" w:lineRule="exact"/>
        <w:rPr>
          <w:rFonts w:ascii="Arial" w:cs="Arial" w:eastAsia="Arial" w:hAnsi="Arial"/>
          <w:sz w:val="18"/>
          <w:szCs w:val="18"/>
          <w:b w:val="1"/>
          <w:bCs w:val="1"/>
          <w:color w:val="auto"/>
        </w:rPr>
      </w:pPr>
    </w:p>
    <w:p>
      <w:pPr>
        <w:ind w:left="692" w:hanging="692"/>
        <w:spacing w:after="0"/>
        <w:tabs>
          <w:tab w:leader="none" w:pos="692"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Binding Effect</w:t>
      </w:r>
      <w:r>
        <w:rPr>
          <w:rFonts w:ascii="Arial" w:cs="Arial" w:eastAsia="Arial" w:hAnsi="Arial"/>
          <w:sz w:val="18"/>
          <w:szCs w:val="18"/>
          <w:color w:val="auto"/>
        </w:rPr>
        <w:t>. This Agreement shall be binding in all respects on the heirs, representatives, successors and assigns of the Director.</w:t>
      </w:r>
    </w:p>
    <w:p>
      <w:pPr>
        <w:spacing w:after="0" w:line="252" w:lineRule="exact"/>
        <w:rPr>
          <w:rFonts w:ascii="Arial" w:cs="Arial" w:eastAsia="Arial" w:hAnsi="Arial"/>
          <w:sz w:val="18"/>
          <w:szCs w:val="18"/>
          <w:b w:val="1"/>
          <w:bCs w:val="1"/>
          <w:color w:val="auto"/>
        </w:rPr>
      </w:pPr>
    </w:p>
    <w:p>
      <w:pPr>
        <w:ind w:left="692" w:hanging="692"/>
        <w:spacing w:after="0" w:line="282" w:lineRule="auto"/>
        <w:tabs>
          <w:tab w:leader="none" w:pos="692"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Choice of Law</w:t>
      </w:r>
      <w:r>
        <w:rPr>
          <w:rFonts w:ascii="Arial" w:cs="Arial" w:eastAsia="Arial" w:hAnsi="Arial"/>
          <w:sz w:val="18"/>
          <w:szCs w:val="18"/>
          <w:color w:val="auto"/>
        </w:rPr>
        <w:t>. This Agreement is entered into under the laws of the State of Minnesota and shall be construed and interpreted thereunder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regard to its conflict-of-law principles).</w:t>
      </w:r>
    </w:p>
    <w:p>
      <w:pPr>
        <w:spacing w:after="0" w:line="188" w:lineRule="exact"/>
        <w:rPr>
          <w:rFonts w:ascii="Arial" w:cs="Arial" w:eastAsia="Arial" w:hAnsi="Arial"/>
          <w:sz w:val="18"/>
          <w:szCs w:val="18"/>
          <w:b w:val="1"/>
          <w:bCs w:val="1"/>
          <w:color w:val="auto"/>
        </w:rPr>
      </w:pPr>
    </w:p>
    <w:p>
      <w:pPr>
        <w:jc w:val="both"/>
        <w:ind w:left="692" w:hanging="692"/>
        <w:spacing w:after="0" w:line="289" w:lineRule="auto"/>
        <w:tabs>
          <w:tab w:leader="none" w:pos="692" w:val="left"/>
        </w:tabs>
        <w:numPr>
          <w:ilvl w:val="0"/>
          <w:numId w:val="2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Entire Agreement</w:t>
      </w:r>
      <w:r>
        <w:rPr>
          <w:rFonts w:ascii="Arial" w:cs="Arial" w:eastAsia="Arial" w:hAnsi="Arial"/>
          <w:sz w:val="17"/>
          <w:szCs w:val="17"/>
          <w:color w:val="auto"/>
        </w:rPr>
        <w:t>. This Agreement and the Plan set forth the entire agreement and understanding of the parties hereto with respect to the issuance and</w:t>
      </w:r>
      <w:r>
        <w:rPr>
          <w:rFonts w:ascii="Arial" w:cs="Arial" w:eastAsia="Arial" w:hAnsi="Arial"/>
          <w:sz w:val="17"/>
          <w:szCs w:val="17"/>
          <w:b w:val="1"/>
          <w:bCs w:val="1"/>
          <w:color w:val="auto"/>
        </w:rPr>
        <w:t xml:space="preserve"> </w:t>
      </w:r>
      <w:r>
        <w:rPr>
          <w:rFonts w:ascii="Arial" w:cs="Arial" w:eastAsia="Arial" w:hAnsi="Arial"/>
          <w:sz w:val="17"/>
          <w:szCs w:val="17"/>
          <w:color w:val="auto"/>
        </w:rPr>
        <w:t>sale of the Restricted Shares and the administration of the Plan and supersede all prior agreements, arrangements, plans, and understandings relating to the issuance and sale of these Restricted Shares and the administration of the Plan.</w:t>
      </w:r>
    </w:p>
    <w:p>
      <w:pPr>
        <w:spacing w:after="0" w:line="185" w:lineRule="exact"/>
        <w:rPr>
          <w:rFonts w:ascii="Arial" w:cs="Arial" w:eastAsia="Arial" w:hAnsi="Arial"/>
          <w:sz w:val="17"/>
          <w:szCs w:val="17"/>
          <w:b w:val="1"/>
          <w:bCs w:val="1"/>
          <w:color w:val="auto"/>
        </w:rPr>
      </w:pPr>
    </w:p>
    <w:p>
      <w:pPr>
        <w:ind w:left="692" w:hanging="692"/>
        <w:spacing w:after="0" w:line="282" w:lineRule="auto"/>
        <w:tabs>
          <w:tab w:leader="none" w:pos="692"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 and Waiver</w:t>
      </w:r>
      <w:r>
        <w:rPr>
          <w:rFonts w:ascii="Arial" w:cs="Arial" w:eastAsia="Arial" w:hAnsi="Arial"/>
          <w:sz w:val="18"/>
          <w:szCs w:val="18"/>
          <w:color w:val="auto"/>
        </w:rPr>
        <w:t>. Except as provided in the Plan, this Agreement may be amended, waived, modified, or canceled only by a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 executed by the parties or, in the case of a waiver, by the party waiving compliance.</w:t>
      </w:r>
    </w:p>
    <w:p>
      <w:pPr>
        <w:spacing w:after="0" w:line="19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12"/>
          </w:cols>
          <w:pgMar w:left="248" w:top="607" w:right="239" w:bottom="1440" w:gutter="0" w:footer="0" w:header="0"/>
        </w:sectPr>
      </w:pPr>
    </w:p>
    <w:bookmarkStart w:id="36" w:name="page37"/>
    <w:bookmarkEnd w:id="36"/>
    <w:p>
      <w:pPr>
        <w:ind w:left="700" w:hanging="692"/>
        <w:spacing w:after="0"/>
        <w:tabs>
          <w:tab w:leader="none" w:pos="7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Acknowledgment of Receipt of Copy</w:t>
      </w:r>
      <w:r>
        <w:rPr>
          <w:rFonts w:ascii="Arial" w:cs="Arial" w:eastAsia="Arial" w:hAnsi="Arial"/>
          <w:sz w:val="18"/>
          <w:szCs w:val="18"/>
          <w:color w:val="auto"/>
        </w:rPr>
        <w:t>. By execution hereof, the Director acknowledges having received a copy of the Plan.</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WITNESS WHEREOF, the Director and the Company have executed this Agreement as of the date of issuance specified at the beginning of this Agreement.</w:t>
      </w:r>
    </w:p>
    <w:p>
      <w:pPr>
        <w:spacing w:after="0" w:line="200" w:lineRule="exact"/>
        <w:rPr>
          <w:sz w:val="20"/>
          <w:szCs w:val="20"/>
          <w:color w:val="auto"/>
        </w:rPr>
      </w:pPr>
    </w:p>
    <w:p>
      <w:pPr>
        <w:spacing w:after="0" w:line="241"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340995</wp:posOffset>
            </wp:positionV>
            <wp:extent cx="282130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HAWKINS,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340995</wp:posOffset>
            </wp:positionV>
            <wp:extent cx="282130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850"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22"/>
          <w:szCs w:val="22"/>
          <w:b w:val="1"/>
          <w:bCs w:val="1"/>
          <w:color w:val="0D0E00"/>
        </w:rPr>
        <w:t>Exhibit 31.1</w:t>
      </w:r>
    </w:p>
    <w:p>
      <w:pPr>
        <w:spacing w:after="0" w:line="152"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SECTION 302 OF</w:t>
      </w:r>
    </w:p>
    <w:p>
      <w:pPr>
        <w:jc w:val="center"/>
        <w:spacing w:after="0"/>
        <w:rPr>
          <w:sz w:val="20"/>
          <w:szCs w:val="20"/>
          <w:color w:val="auto"/>
        </w:rPr>
      </w:pPr>
      <w:r>
        <w:rPr>
          <w:rFonts w:ascii="Arial" w:cs="Arial" w:eastAsia="Arial" w:hAnsi="Arial"/>
          <w:sz w:val="22"/>
          <w:szCs w:val="22"/>
          <w:b w:val="1"/>
          <w:bCs w:val="1"/>
          <w:color w:val="auto"/>
        </w:rPr>
        <w:t>THE SARBANES-OXLEY ACT OF 2002</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0D0E00"/>
        </w:rPr>
        <w:t>CERTIFICATIONS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0D0E00"/>
        </w:rPr>
        <w:t>I, John R. Hawkins, certify that:</w:t>
      </w:r>
    </w:p>
    <w:p>
      <w:pPr>
        <w:spacing w:after="0" w:line="252" w:lineRule="exact"/>
        <w:rPr>
          <w:sz w:val="20"/>
          <w:szCs w:val="20"/>
          <w:color w:val="auto"/>
        </w:rPr>
      </w:pPr>
    </w:p>
    <w:p>
      <w:pPr>
        <w:ind w:left="820" w:hanging="353"/>
        <w:spacing w:after="0"/>
        <w:tabs>
          <w:tab w:leader="none" w:pos="820" w:val="left"/>
        </w:tabs>
        <w:numPr>
          <w:ilvl w:val="0"/>
          <w:numId w:val="31"/>
        </w:numPr>
        <w:rPr>
          <w:rFonts w:ascii="Arial" w:cs="Arial" w:eastAsia="Arial" w:hAnsi="Arial"/>
          <w:sz w:val="18"/>
          <w:szCs w:val="18"/>
          <w:color w:val="0D0E00"/>
        </w:rPr>
      </w:pPr>
      <w:r>
        <w:rPr>
          <w:rFonts w:ascii="Arial" w:cs="Arial" w:eastAsia="Arial" w:hAnsi="Arial"/>
          <w:sz w:val="18"/>
          <w:szCs w:val="18"/>
          <w:color w:val="0D0E00"/>
        </w:rPr>
        <w:t>I have reviewed this quarterly report on Form 10-Q of Hawkins, Inc.;</w:t>
      </w:r>
    </w:p>
    <w:p>
      <w:pPr>
        <w:spacing w:after="0" w:line="279" w:lineRule="exact"/>
        <w:rPr>
          <w:rFonts w:ascii="Arial" w:cs="Arial" w:eastAsia="Arial" w:hAnsi="Arial"/>
          <w:sz w:val="18"/>
          <w:szCs w:val="18"/>
          <w:color w:val="0D0E00"/>
        </w:rPr>
      </w:pPr>
    </w:p>
    <w:p>
      <w:pPr>
        <w:jc w:val="both"/>
        <w:ind w:left="820" w:hanging="353"/>
        <w:spacing w:after="0" w:line="264" w:lineRule="auto"/>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820" w:hanging="353"/>
        <w:spacing w:after="0" w:line="308" w:lineRule="auto"/>
        <w:tabs>
          <w:tab w:leader="none" w:pos="8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820" w:right="20" w:hanging="353"/>
        <w:spacing w:after="0" w:line="264" w:lineRule="auto"/>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Rules 13a-15(f) and 15d-15(f)) for the registrant and we have:</w:t>
      </w:r>
    </w:p>
    <w:p>
      <w:pPr>
        <w:spacing w:after="0" w:line="208" w:lineRule="exact"/>
        <w:rPr>
          <w:rFonts w:ascii="Arial" w:cs="Arial" w:eastAsia="Arial" w:hAnsi="Arial"/>
          <w:sz w:val="18"/>
          <w:szCs w:val="18"/>
          <w:color w:val="auto"/>
        </w:rPr>
      </w:pPr>
    </w:p>
    <w:p>
      <w:pPr>
        <w:jc w:val="both"/>
        <w:ind w:left="1160" w:hanging="342"/>
        <w:spacing w:after="0" w:line="264" w:lineRule="auto"/>
        <w:tabs>
          <w:tab w:leader="none" w:pos="11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1160" w:hanging="342"/>
        <w:spacing w:after="0" w:line="264" w:lineRule="auto"/>
        <w:tabs>
          <w:tab w:leader="none" w:pos="11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160" w:hanging="342"/>
        <w:spacing w:after="0" w:line="308" w:lineRule="auto"/>
        <w:tabs>
          <w:tab w:leader="none" w:pos="1160" w:val="left"/>
        </w:tabs>
        <w:numPr>
          <w:ilvl w:val="1"/>
          <w:numId w:val="3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1160" w:hanging="342"/>
        <w:spacing w:after="0" w:line="264" w:lineRule="auto"/>
        <w:tabs>
          <w:tab w:leader="none" w:pos="11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8" w:lineRule="exact"/>
        <w:rPr>
          <w:rFonts w:ascii="Arial" w:cs="Arial" w:eastAsia="Arial" w:hAnsi="Arial"/>
          <w:sz w:val="18"/>
          <w:szCs w:val="18"/>
          <w:color w:val="auto"/>
        </w:rPr>
      </w:pPr>
    </w:p>
    <w:p>
      <w:pPr>
        <w:ind w:left="820" w:hanging="353"/>
        <w:spacing w:after="0" w:line="308" w:lineRule="auto"/>
        <w:tabs>
          <w:tab w:leader="none" w:pos="8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160" w:hanging="342"/>
        <w:spacing w:after="0" w:line="308" w:lineRule="auto"/>
        <w:tabs>
          <w:tab w:leader="none" w:pos="1160" w:val="left"/>
        </w:tabs>
        <w:numPr>
          <w:ilvl w:val="1"/>
          <w:numId w:val="31"/>
        </w:numPr>
        <w:rPr>
          <w:rFonts w:ascii="Arial" w:cs="Arial" w:eastAsia="Arial" w:hAnsi="Arial"/>
          <w:sz w:val="17"/>
          <w:szCs w:val="17"/>
          <w:color w:val="0D0E00"/>
        </w:rPr>
      </w:pPr>
      <w:r>
        <w:rPr>
          <w:rFonts w:ascii="Arial" w:cs="Arial" w:eastAsia="Arial" w:hAnsi="Arial"/>
          <w:sz w:val="17"/>
          <w:szCs w:val="17"/>
          <w:color w:val="0D0E0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0D0E00"/>
        </w:rPr>
      </w:pPr>
    </w:p>
    <w:p>
      <w:pPr>
        <w:ind w:left="1160" w:hanging="342"/>
        <w:spacing w:after="0" w:line="277" w:lineRule="auto"/>
        <w:tabs>
          <w:tab w:leader="none" w:pos="11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0D0E00"/>
        </w:rPr>
        <w:t>Date: July 29, 2010</w:t>
      </w:r>
    </w:p>
    <w:p>
      <w:pPr>
        <w:spacing w:after="0" w:line="252" w:lineRule="exact"/>
        <w:rPr>
          <w:sz w:val="20"/>
          <w:szCs w:val="20"/>
          <w:color w:val="auto"/>
        </w:rPr>
      </w:pPr>
    </w:p>
    <w:p>
      <w:pPr>
        <w:ind w:left="6640"/>
        <w:spacing w:after="0"/>
        <w:rPr>
          <w:sz w:val="20"/>
          <w:szCs w:val="20"/>
          <w:color w:val="auto"/>
        </w:rPr>
      </w:pPr>
      <w:r>
        <w:rPr>
          <w:rFonts w:ascii="Arial" w:cs="Arial" w:eastAsia="Arial" w:hAnsi="Arial"/>
          <w:sz w:val="18"/>
          <w:szCs w:val="18"/>
          <w:color w:val="0D0E00"/>
        </w:rPr>
        <w:t>/s/ John R. Hawkins</w:t>
      </w:r>
    </w:p>
    <w:p>
      <w:pPr>
        <w:spacing w:after="0" w:line="36" w:lineRule="exact"/>
        <w:rPr>
          <w:sz w:val="20"/>
          <w:szCs w:val="20"/>
          <w:color w:val="auto"/>
        </w:rPr>
      </w:pPr>
    </w:p>
    <w:p>
      <w:pPr>
        <w:ind w:left="6640"/>
        <w:spacing w:after="0"/>
        <w:rPr>
          <w:sz w:val="20"/>
          <w:szCs w:val="20"/>
          <w:color w:val="auto"/>
        </w:rPr>
      </w:pPr>
      <w:r>
        <w:rPr>
          <w:rFonts w:ascii="Arial" w:cs="Arial" w:eastAsia="Arial" w:hAnsi="Arial"/>
          <w:sz w:val="18"/>
          <w:szCs w:val="18"/>
          <w:color w:val="0D0E00"/>
        </w:rPr>
        <w:t>John R.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-130175</wp:posOffset>
            </wp:positionV>
            <wp:extent cx="30359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3" w:lineRule="exact"/>
        <w:rPr>
          <w:sz w:val="20"/>
          <w:szCs w:val="20"/>
          <w:color w:val="auto"/>
        </w:rPr>
      </w:pPr>
    </w:p>
    <w:p>
      <w:pPr>
        <w:ind w:left="6640"/>
        <w:spacing w:after="0"/>
        <w:rPr>
          <w:sz w:val="20"/>
          <w:szCs w:val="20"/>
          <w:color w:val="auto"/>
        </w:rPr>
      </w:pPr>
      <w:r>
        <w:rPr>
          <w:rFonts w:ascii="Arial" w:cs="Arial" w:eastAsia="Arial" w:hAnsi="Arial"/>
          <w:sz w:val="18"/>
          <w:szCs w:val="18"/>
          <w:color w:val="0D0E00"/>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67575"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22"/>
          <w:szCs w:val="22"/>
          <w:b w:val="1"/>
          <w:bCs w:val="1"/>
          <w:color w:val="0D0E00"/>
        </w:rPr>
        <w:t>Exhibit 31.2</w:t>
      </w:r>
    </w:p>
    <w:p>
      <w:pPr>
        <w:spacing w:after="0" w:line="233"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SECTION 302 OF</w:t>
      </w:r>
    </w:p>
    <w:p>
      <w:pPr>
        <w:jc w:val="center"/>
        <w:spacing w:after="0"/>
        <w:rPr>
          <w:sz w:val="20"/>
          <w:szCs w:val="20"/>
          <w:color w:val="auto"/>
        </w:rPr>
      </w:pPr>
      <w:r>
        <w:rPr>
          <w:rFonts w:ascii="Arial" w:cs="Arial" w:eastAsia="Arial" w:hAnsi="Arial"/>
          <w:sz w:val="22"/>
          <w:szCs w:val="22"/>
          <w:b w:val="1"/>
          <w:bCs w:val="1"/>
          <w:color w:val="auto"/>
        </w:rPr>
        <w:t>THE SARBANES-OXLEY ACT OF 2002</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0D0E00"/>
        </w:rPr>
        <w:t>CERTIFICATIONS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0D0E00"/>
        </w:rPr>
        <w:t>I, Kathleen P. Pepski, certify that:</w:t>
      </w:r>
    </w:p>
    <w:p>
      <w:pPr>
        <w:spacing w:after="0" w:line="252" w:lineRule="exact"/>
        <w:rPr>
          <w:sz w:val="20"/>
          <w:szCs w:val="20"/>
          <w:color w:val="auto"/>
        </w:rPr>
      </w:pPr>
    </w:p>
    <w:p>
      <w:pPr>
        <w:ind w:left="820" w:hanging="353"/>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0D0E00"/>
        </w:rPr>
        <w:t>I have reviewed this quarterly report on Form 10-Q of Hawkins, Inc.;</w:t>
      </w:r>
    </w:p>
    <w:p>
      <w:pPr>
        <w:spacing w:after="0" w:line="279" w:lineRule="exact"/>
        <w:rPr>
          <w:rFonts w:ascii="Arial" w:cs="Arial" w:eastAsia="Arial" w:hAnsi="Arial"/>
          <w:sz w:val="18"/>
          <w:szCs w:val="18"/>
          <w:color w:val="auto"/>
        </w:rPr>
      </w:pPr>
    </w:p>
    <w:p>
      <w:pPr>
        <w:jc w:val="both"/>
        <w:ind w:left="820" w:hanging="353"/>
        <w:spacing w:after="0" w:line="264" w:lineRule="auto"/>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820" w:hanging="353"/>
        <w:spacing w:after="0" w:line="308" w:lineRule="auto"/>
        <w:tabs>
          <w:tab w:leader="none" w:pos="8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820" w:right="20" w:hanging="353"/>
        <w:spacing w:after="0" w:line="264" w:lineRule="auto"/>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Rules 13a-15(f) and 15d-15(f)) for the registrant and we have:</w:t>
      </w:r>
    </w:p>
    <w:p>
      <w:pPr>
        <w:spacing w:after="0" w:line="208" w:lineRule="exact"/>
        <w:rPr>
          <w:rFonts w:ascii="Arial" w:cs="Arial" w:eastAsia="Arial" w:hAnsi="Arial"/>
          <w:sz w:val="18"/>
          <w:szCs w:val="18"/>
          <w:color w:val="auto"/>
        </w:rPr>
      </w:pPr>
    </w:p>
    <w:p>
      <w:pPr>
        <w:jc w:val="both"/>
        <w:ind w:left="1160" w:hanging="342"/>
        <w:spacing w:after="0" w:line="264" w:lineRule="auto"/>
        <w:tabs>
          <w:tab w:leader="none" w:pos="11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1160" w:hanging="342"/>
        <w:spacing w:after="0" w:line="264" w:lineRule="auto"/>
        <w:tabs>
          <w:tab w:leader="none" w:pos="11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160" w:hanging="342"/>
        <w:spacing w:after="0" w:line="308" w:lineRule="auto"/>
        <w:tabs>
          <w:tab w:leader="none" w:pos="1160" w:val="left"/>
        </w:tabs>
        <w:numPr>
          <w:ilvl w:val="1"/>
          <w:numId w:val="3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1160" w:hanging="342"/>
        <w:spacing w:after="0" w:line="264" w:lineRule="auto"/>
        <w:tabs>
          <w:tab w:leader="none" w:pos="11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8" w:lineRule="exact"/>
        <w:rPr>
          <w:rFonts w:ascii="Arial" w:cs="Arial" w:eastAsia="Arial" w:hAnsi="Arial"/>
          <w:sz w:val="18"/>
          <w:szCs w:val="18"/>
          <w:color w:val="auto"/>
        </w:rPr>
      </w:pPr>
    </w:p>
    <w:p>
      <w:pPr>
        <w:ind w:left="820" w:hanging="353"/>
        <w:spacing w:after="0" w:line="308" w:lineRule="auto"/>
        <w:tabs>
          <w:tab w:leader="none" w:pos="8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160" w:hanging="342"/>
        <w:spacing w:after="0" w:line="308" w:lineRule="auto"/>
        <w:tabs>
          <w:tab w:leader="none" w:pos="1160" w:val="left"/>
        </w:tabs>
        <w:numPr>
          <w:ilvl w:val="1"/>
          <w:numId w:val="3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160" w:hanging="342"/>
        <w:spacing w:after="0" w:line="277" w:lineRule="auto"/>
        <w:tabs>
          <w:tab w:leader="none" w:pos="11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0D0E00"/>
        </w:rPr>
        <w:t>Date: July 29, 2010</w:t>
      </w:r>
    </w:p>
    <w:p>
      <w:pPr>
        <w:spacing w:after="0" w:line="252" w:lineRule="exact"/>
        <w:rPr>
          <w:sz w:val="20"/>
          <w:szCs w:val="20"/>
          <w:color w:val="auto"/>
        </w:rPr>
      </w:pPr>
    </w:p>
    <w:p>
      <w:pPr>
        <w:ind w:left="6640"/>
        <w:spacing w:after="0"/>
        <w:rPr>
          <w:sz w:val="20"/>
          <w:szCs w:val="20"/>
          <w:color w:val="auto"/>
        </w:rPr>
      </w:pPr>
      <w:r>
        <w:rPr>
          <w:rFonts w:ascii="Arial" w:cs="Arial" w:eastAsia="Arial" w:hAnsi="Arial"/>
          <w:sz w:val="18"/>
          <w:szCs w:val="18"/>
          <w:color w:val="0D0E00"/>
        </w:rPr>
        <w:t>/s/ Kathleen P. Pepski</w:t>
      </w:r>
    </w:p>
    <w:p>
      <w:pPr>
        <w:spacing w:after="0" w:line="36" w:lineRule="exact"/>
        <w:rPr>
          <w:sz w:val="20"/>
          <w:szCs w:val="20"/>
          <w:color w:val="auto"/>
        </w:rPr>
      </w:pPr>
    </w:p>
    <w:p>
      <w:pPr>
        <w:ind w:left="6640"/>
        <w:spacing w:after="0"/>
        <w:rPr>
          <w:sz w:val="20"/>
          <w:szCs w:val="20"/>
          <w:color w:val="auto"/>
        </w:rPr>
      </w:pPr>
      <w:r>
        <w:rPr>
          <w:rFonts w:ascii="Arial" w:cs="Arial" w:eastAsia="Arial" w:hAnsi="Arial"/>
          <w:sz w:val="18"/>
          <w:szCs w:val="18"/>
          <w:color w:val="0D0E00"/>
        </w:rPr>
        <w:t>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-130175</wp:posOffset>
            </wp:positionV>
            <wp:extent cx="303593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3" w:lineRule="exact"/>
        <w:rPr>
          <w:sz w:val="20"/>
          <w:szCs w:val="20"/>
          <w:color w:val="auto"/>
        </w:rPr>
      </w:pPr>
    </w:p>
    <w:p>
      <w:pPr>
        <w:ind w:left="6640"/>
        <w:spacing w:after="0"/>
        <w:rPr>
          <w:sz w:val="20"/>
          <w:szCs w:val="20"/>
          <w:color w:val="auto"/>
        </w:rPr>
      </w:pPr>
      <w:r>
        <w:rPr>
          <w:rFonts w:ascii="Arial" w:cs="Arial" w:eastAsia="Arial" w:hAnsi="Arial"/>
          <w:sz w:val="18"/>
          <w:szCs w:val="18"/>
          <w:color w:val="0D0E00"/>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67575"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22"/>
          <w:szCs w:val="22"/>
          <w:b w:val="1"/>
          <w:bCs w:val="1"/>
          <w:color w:val="auto"/>
        </w:rPr>
        <w:t>Exhibit 32.1</w:t>
      </w:r>
    </w:p>
    <w:p>
      <w:pPr>
        <w:spacing w:after="0" w:line="233"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18 U.S.C. SECTION 1350,</w:t>
      </w:r>
    </w:p>
    <w:p>
      <w:pPr>
        <w:jc w:val="center"/>
        <w:ind w:right="60"/>
        <w:spacing w:after="0" w:line="230" w:lineRule="auto"/>
        <w:rPr>
          <w:sz w:val="20"/>
          <w:szCs w:val="20"/>
          <w:color w:val="auto"/>
        </w:rPr>
      </w:pPr>
      <w:r>
        <w:rPr>
          <w:rFonts w:ascii="Arial" w:cs="Arial" w:eastAsia="Arial" w:hAnsi="Arial"/>
          <w:sz w:val="22"/>
          <w:szCs w:val="22"/>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2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June 30, 2010, as filed with the Securities and Exchange Commission on the date hereof (the Report), I, John R. Hawkins, Chief Executive Officer of the Company, certify, pursuant to 18 U.S.C. § 1350, as adopted pursuant to § 906 of the Sarbanes-Oxley Act of 2002, that:</w:t>
      </w:r>
    </w:p>
    <w:p>
      <w:pPr>
        <w:spacing w:after="0" w:line="208" w:lineRule="exact"/>
        <w:rPr>
          <w:sz w:val="20"/>
          <w:szCs w:val="20"/>
          <w:color w:val="auto"/>
        </w:rPr>
      </w:pPr>
    </w:p>
    <w:p>
      <w:pPr>
        <w:ind w:left="920" w:hanging="264"/>
        <w:spacing w:after="0"/>
        <w:tabs>
          <w:tab w:leader="none" w:pos="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920" w:hanging="264"/>
        <w:spacing w:after="0"/>
        <w:tabs>
          <w:tab w:leader="none" w:pos="9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/s/ John R.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16649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0D0E00"/>
        </w:rPr>
        <w:t>John R. Hawkins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0D0E00"/>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D0E00"/>
        </w:rPr>
        <w:t>July 29,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1153160</wp:posOffset>
            </wp:positionV>
            <wp:extent cx="7267575"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22"/>
          <w:szCs w:val="22"/>
          <w:b w:val="1"/>
          <w:bCs w:val="1"/>
          <w:color w:val="auto"/>
        </w:rPr>
        <w:t>Exhibit 32.2</w:t>
      </w:r>
    </w:p>
    <w:p>
      <w:pPr>
        <w:spacing w:after="0" w:line="233"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18 U.S.C. SECTION 1350,</w:t>
      </w:r>
    </w:p>
    <w:p>
      <w:pPr>
        <w:jc w:val="center"/>
        <w:ind w:right="60"/>
        <w:spacing w:after="0" w:line="230" w:lineRule="auto"/>
        <w:rPr>
          <w:sz w:val="20"/>
          <w:szCs w:val="20"/>
          <w:color w:val="auto"/>
        </w:rPr>
      </w:pPr>
      <w:r>
        <w:rPr>
          <w:rFonts w:ascii="Arial" w:cs="Arial" w:eastAsia="Arial" w:hAnsi="Arial"/>
          <w:sz w:val="22"/>
          <w:szCs w:val="22"/>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2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June 30, 2010 as filed with the Securities and Exchange Commission on the date hereof (the Report), I, Kathleen P. Pepski, Chief Financial Officer of the Company, certify, pursuant to 18 U.S.C. § 1350, as adopted pursuant to § 906 of the Sarbanes-Oxley Act of 2002, that:</w:t>
      </w:r>
    </w:p>
    <w:p>
      <w:pPr>
        <w:spacing w:after="0" w:line="208" w:lineRule="exact"/>
        <w:rPr>
          <w:sz w:val="20"/>
          <w:szCs w:val="20"/>
          <w:color w:val="auto"/>
        </w:rPr>
      </w:pPr>
    </w:p>
    <w:p>
      <w:pPr>
        <w:ind w:left="920" w:hanging="264"/>
        <w:spacing w:after="0"/>
        <w:tabs>
          <w:tab w:leader="none" w:pos="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right="60" w:firstLine="656"/>
        <w:spacing w:after="0" w:line="548" w:lineRule="auto"/>
        <w:tabs>
          <w:tab w:leader="none" w:pos="903"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116649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0D0E00"/>
        </w:rPr>
        <w:t>Kathleen P. Pepski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0D0E00"/>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D0E00"/>
        </w:rPr>
        <w:t>July 29,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998220</wp:posOffset>
            </wp:positionV>
            <wp:extent cx="7267575"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3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1)"/>
      <w:numFmt w:val="lowerLetter"/>
      <w:start w:val="1"/>
    </w:lvl>
  </w:abstractNum>
  <w:abstractNum w:abstractNumId="1">
    <w:nsid w:val="431BD7B7"/>
    <w:multiLevelType w:val="hybridMultilevel"/>
    <w:lvl w:ilvl="0">
      <w:lvlJc w:val="left"/>
      <w:lvlText w:val="%1."/>
      <w:numFmt w:val="lowerLetter"/>
      <w:start w:val="1"/>
    </w:lvl>
  </w:abstractNum>
  <w:abstractNum w:abstractNumId="2">
    <w:nsid w:val="3F2DBA31"/>
    <w:multiLevelType w:val="hybridMultilevel"/>
    <w:lvl w:ilvl="0">
      <w:lvlJc w:val="left"/>
      <w:lvlText w:val="%1."/>
      <w:numFmt w:val="lowerLetter"/>
      <w:start w:val="3"/>
    </w:lvl>
  </w:abstractNum>
  <w:abstractNum w:abstractNumId="3">
    <w:nsid w:val="7C83E458"/>
    <w:multiLevelType w:val="hybridMultilevel"/>
    <w:lvl w:ilvl="0">
      <w:lvlJc w:val="left"/>
      <w:lvlText w:val="%1."/>
      <w:numFmt w:val="upperLetter"/>
      <w:start w:val="1"/>
    </w:lvl>
  </w:abstractNum>
  <w:abstractNum w:abstractNumId="4">
    <w:nsid w:val="257130A3"/>
    <w:multiLevelType w:val="hybridMultilevel"/>
    <w:lvl w:ilvl="0">
      <w:lvlJc w:val="left"/>
      <w:lvlText w:val="%1."/>
      <w:numFmt w:val="decimal"/>
      <w:start w:val="1"/>
    </w:lvl>
    <w:lvl w:ilvl="1">
      <w:lvlJc w:val="left"/>
      <w:lvlText w:val="(%2)"/>
      <w:numFmt w:val="lowerLetter"/>
      <w:start w:val="35"/>
    </w:lvl>
  </w:abstractNum>
  <w:abstractNum w:abstractNumId="5">
    <w:nsid w:val="62BBD95A"/>
    <w:multiLevelType w:val="hybridMultilevel"/>
    <w:lvl w:ilvl="0">
      <w:lvlJc w:val="left"/>
      <w:lvlText w:val="%1"/>
      <w:numFmt w:val="decimal"/>
      <w:start w:val="1"/>
    </w:lvl>
    <w:lvl w:ilvl="1">
      <w:lvlJc w:val="left"/>
      <w:lvlText w:val="(%2)"/>
      <w:numFmt w:val="lowerLetter"/>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8">
    <w:nsid w:val="333AB105"/>
    <w:multiLevelType w:val="hybridMultilevel"/>
    <w:lvl w:ilvl="0">
      <w:lvlJc w:val="left"/>
      <w:lvlText w:val="(%1)"/>
      <w:numFmt w:val="decimal"/>
      <w:start w:val="1"/>
    </w:lvl>
  </w:abstractNum>
  <w:abstractNum w:abstractNumId="9">
    <w:nsid w:val="721DA317"/>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0">
    <w:nsid w:val="2443A858"/>
    <w:multiLevelType w:val="hybridMultilevel"/>
    <w:lvl w:ilvl="0">
      <w:lvlJc w:val="left"/>
      <w:lvlText w:val="%1"/>
      <w:numFmt w:val="lowerLetter"/>
      <w:start w:val="1"/>
    </w:lvl>
    <w:lvl w:ilvl="1">
      <w:lvlJc w:val="left"/>
      <w:lvlText w:val="(%2)"/>
      <w:numFmt w:val="lowerLetter"/>
      <w:start w:val="35"/>
    </w:lvl>
  </w:abstractNum>
  <w:abstractNum w:abstractNumId="11">
    <w:nsid w:val="2D1D5AE9"/>
    <w:multiLevelType w:val="hybridMultilevel"/>
    <w:lvl w:ilvl="0">
      <w:lvlJc w:val="left"/>
      <w:lvlText w:val="(%1)"/>
      <w:numFmt w:val="lowerLetter"/>
      <w:start w:val="3"/>
    </w:lvl>
    <w:lvl w:ilvl="1">
      <w:lvlJc w:val="left"/>
      <w:lvlText w:val="(%2)"/>
      <w:numFmt w:val="lowerLetter"/>
      <w:start w:val="9"/>
    </w:lvl>
  </w:abstractNum>
  <w:abstractNum w:abstractNumId="12">
    <w:nsid w:val="6763845E"/>
    <w:multiLevelType w:val="hybridMultilevel"/>
    <w:lvl w:ilvl="0">
      <w:lvlJc w:val="left"/>
      <w:lvlText w:val="(%1)"/>
      <w:numFmt w:val="lowerRoman"/>
      <w:start w:val="2"/>
    </w:lvl>
  </w:abstractNum>
  <w:abstractNum w:abstractNumId="13">
    <w:nsid w:val="75A2A8D4"/>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4">
    <w:nsid w:val="8EDBDAB"/>
    <w:multiLevelType w:val="hybridMultilevel"/>
    <w:lvl w:ilvl="0">
      <w:lvlJc w:val="left"/>
      <w:lvlText w:val="(%1)"/>
      <w:numFmt w:val="lowerLetter"/>
      <w:start w:val="2"/>
    </w:lvl>
  </w:abstractNum>
  <w:abstractNum w:abstractNumId="15">
    <w:nsid w:val="79838CB2"/>
    <w:multiLevelType w:val="hybridMultilevel"/>
    <w:lvl w:ilvl="0">
      <w:lvlJc w:val="left"/>
      <w:lvlText w:val="(%1)"/>
      <w:numFmt w:val="lowerLetter"/>
      <w:start w:val="8"/>
    </w:lvl>
  </w:abstractNum>
  <w:abstractNum w:abstractNumId="16">
    <w:nsid w:val="4353D0CD"/>
    <w:multiLevelType w:val="hybridMultilevel"/>
    <w:lvl w:ilvl="0">
      <w:lvlJc w:val="left"/>
      <w:lvlText w:val="%1."/>
      <w:numFmt w:val="decimal"/>
      <w:start w:val="1"/>
    </w:lvl>
  </w:abstractNum>
  <w:abstractNum w:abstractNumId="17">
    <w:nsid w:val="B03E0C6"/>
    <w:multiLevelType w:val="hybridMultilevel"/>
    <w:lvl w:ilvl="0">
      <w:lvlJc w:val="left"/>
      <w:lvlText w:val="Ÿ"/>
      <w:numFmt w:val="bullet"/>
      <w:start w:val="1"/>
    </w:lvl>
  </w:abstractNum>
  <w:abstractNum w:abstractNumId="18">
    <w:nsid w:val="189A769B"/>
    <w:multiLevelType w:val="hybridMultilevel"/>
    <w:lvl w:ilvl="0">
      <w:lvlJc w:val="left"/>
      <w:lvlText w:val="%1."/>
      <w:numFmt w:val="decimal"/>
      <w:start w:val="5"/>
    </w:lvl>
    <w:lvl w:ilvl="1">
      <w:lvlJc w:val="left"/>
      <w:lvlText w:val="Ÿ"/>
      <w:numFmt w:val="bullet"/>
      <w:start w:val="1"/>
    </w:lvl>
  </w:abstractNum>
  <w:abstractNum w:abstractNumId="19">
    <w:nsid w:val="54E49EB4"/>
    <w:multiLevelType w:val="hybridMultilevel"/>
    <w:lvl w:ilvl="0">
      <w:lvlJc w:val="left"/>
      <w:lvlText w:val="(%1)"/>
      <w:numFmt w:val="lowerLetter"/>
      <w:start w:val="1"/>
    </w:lvl>
  </w:abstractNum>
  <w:abstractNum w:abstractNumId="20">
    <w:nsid w:val="71F32454"/>
    <w:multiLevelType w:val="hybridMultilevel"/>
    <w:lvl w:ilvl="0">
      <w:lvlJc w:val="left"/>
      <w:lvlText w:val="%1."/>
      <w:numFmt w:val="decimal"/>
      <w:start w:val="1"/>
    </w:lvl>
    <w:lvl w:ilvl="1">
      <w:lvlJc w:val="left"/>
      <w:lvlText w:val="(%2)"/>
      <w:numFmt w:val="lowerLetter"/>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1)"/>
      <w:numFmt w:val="lowerRoman"/>
      <w:start w:val="1"/>
    </w:lvl>
  </w:abstractNum>
  <w:abstractNum w:abstractNumId="23">
    <w:nsid w:val="2901D82"/>
    <w:multiLevelType w:val="hybridMultilevel"/>
    <w:lvl w:ilvl="0">
      <w:lvlJc w:val="left"/>
      <w:lvlText w:val="%1"/>
      <w:numFmt w:val="decimal"/>
      <w:start w:val="1"/>
    </w:lvl>
    <w:lvl w:ilvl="1">
      <w:lvlJc w:val="left"/>
      <w:lvlText w:val="(%2)"/>
      <w:numFmt w:val="lowerLetter"/>
      <w:start w:val="2"/>
    </w:lvl>
  </w:abstractNum>
  <w:abstractNum w:abstractNumId="24">
    <w:nsid w:val="3A95F874"/>
    <w:multiLevelType w:val="hybridMultilevel"/>
    <w:lvl w:ilvl="0">
      <w:lvlJc w:val="left"/>
      <w:lvlText w:val="%1."/>
      <w:numFmt w:val="decimal"/>
      <w:start w:val="3"/>
    </w:lvl>
    <w:lvl w:ilvl="1">
      <w:lvlJc w:val="left"/>
      <w:lvlText w:val="%2"/>
      <w:numFmt w:val="lowerLetter"/>
      <w:start w:val="1"/>
    </w:lvl>
  </w:abstractNum>
  <w:abstractNum w:abstractNumId="25">
    <w:nsid w:val="8138641"/>
    <w:multiLevelType w:val="hybridMultilevel"/>
    <w:lvl w:ilvl="0">
      <w:lvlJc w:val="left"/>
      <w:lvlText w:val="%1."/>
      <w:numFmt w:val="decimal"/>
      <w:start w:val="6"/>
    </w:lvl>
  </w:abstractNum>
  <w:abstractNum w:abstractNumId="26">
    <w:nsid w:val="1E7FF521"/>
    <w:multiLevelType w:val="hybridMultilevel"/>
    <w:lvl w:ilvl="0">
      <w:lvlJc w:val="left"/>
      <w:lvlText w:val="(%1)"/>
      <w:numFmt w:val="lowerLetter"/>
      <w:start w:val="1"/>
    </w:lvl>
  </w:abstractNum>
  <w:abstractNum w:abstractNumId="27">
    <w:nsid w:val="7C3DBD3D"/>
    <w:multiLevelType w:val="hybridMultilevel"/>
    <w:lvl w:ilvl="0">
      <w:lvlJc w:val="left"/>
      <w:lvlText w:val="%1"/>
      <w:numFmt w:val="decimal"/>
      <w:start w:val="1"/>
    </w:lvl>
    <w:lvl w:ilvl="1">
      <w:lvlJc w:val="left"/>
      <w:lvlText w:val="(%2)"/>
      <w:numFmt w:val="lowerLetter"/>
      <w:start w:val="2"/>
    </w:lvl>
  </w:abstractNum>
  <w:abstractNum w:abstractNumId="28">
    <w:nsid w:val="737B8DDC"/>
    <w:multiLevelType w:val="hybridMultilevel"/>
    <w:lvl w:ilvl="0">
      <w:lvlJc w:val="left"/>
      <w:lvlText w:val="%1."/>
      <w:numFmt w:val="decimal"/>
      <w:start w:val="7"/>
    </w:lvl>
    <w:lvl w:ilvl="1">
      <w:lvlJc w:val="left"/>
      <w:lvlText w:val="%2"/>
      <w:numFmt w:val="lowerLetter"/>
      <w:start w:val="1"/>
    </w:lvl>
  </w:abstractNum>
  <w:abstractNum w:abstractNumId="29">
    <w:nsid w:val="6CEAF087"/>
    <w:multiLevelType w:val="hybridMultilevel"/>
    <w:lvl w:ilvl="0">
      <w:lvlJc w:val="left"/>
      <w:lvlText w:val="%1."/>
      <w:numFmt w:val="decimal"/>
      <w:start w:val="12"/>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2019-12-10T01:01:45Z</dcterms:created>
  <dcterms:modified xsi:type="dcterms:W3CDTF">2019-12-10T01:01:45Z</dcterms:modified>
</cp:coreProperties>
</file>