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No.10)</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2008</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1,060,045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1,060,045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1,060,045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1,060,045</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10.34%</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1,060,045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1,060,045</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Special Equity Fund an investment company registered under the Investment Company Act of 1940 and managed by Royce &amp; Associates, LLC, amounted to 547,500 shares or 5.34%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2019-12-10T00:35:20Z</dcterms:created>
  <dcterms:modified xsi:type="dcterms:W3CDTF">2019-12-10T00:35:20Z</dcterms:modified>
</cp:coreProperties>
</file>