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32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0" w:lineRule="exact"/>
        <w:rPr>
          <w:sz w:val="24"/>
          <w:szCs w:val="24"/>
          <w:color w:val="auto"/>
        </w:rPr>
      </w:pPr>
    </w:p>
    <w:p>
      <w:pPr>
        <w:spacing w:after="0" w:line="38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CURRENT REPORT</w:t>
      </w:r>
    </w:p>
    <w:p>
      <w:pPr>
        <w:spacing w:after="0" w:line="18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14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October 21, 2020</w:t>
      </w:r>
    </w:p>
    <w:p>
      <w:pPr>
        <w:spacing w:after="0" w:line="36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Hawkins, Inc.</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240"/>
          </w:cols>
          <w:pgMar w:left="320" w:top="1035" w:right="339" w:bottom="1440" w:gutter="0" w:footer="0" w:header="0"/>
        </w:sectPr>
      </w:pPr>
    </w:p>
    <w:p>
      <w:pPr>
        <w:spacing w:after="0" w:line="230" w:lineRule="exact"/>
        <w:rPr>
          <w:sz w:val="24"/>
          <w:szCs w:val="24"/>
          <w:color w:val="auto"/>
        </w:rPr>
      </w:pPr>
    </w:p>
    <w:p>
      <w:pPr>
        <w:ind w:left="1140"/>
        <w:spacing w:after="0"/>
        <w:rPr>
          <w:sz w:val="20"/>
          <w:szCs w:val="20"/>
          <w:color w:val="auto"/>
        </w:rPr>
      </w:pPr>
      <w:r>
        <w:rPr>
          <w:rFonts w:ascii="Arial" w:cs="Arial" w:eastAsia="Arial" w:hAnsi="Arial"/>
          <w:sz w:val="17"/>
          <w:szCs w:val="17"/>
          <w:b w:val="1"/>
          <w:bCs w:val="1"/>
          <w:color w:val="auto"/>
        </w:rPr>
        <w:t>Minnesota</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jc w:val="center"/>
        <w:ind w:right="2300"/>
        <w:spacing w:after="0"/>
        <w:rPr>
          <w:sz w:val="20"/>
          <w:szCs w:val="20"/>
          <w:color w:val="auto"/>
        </w:rPr>
      </w:pPr>
      <w:r>
        <w:rPr>
          <w:rFonts w:ascii="Arial" w:cs="Arial" w:eastAsia="Arial" w:hAnsi="Arial"/>
          <w:sz w:val="18"/>
          <w:szCs w:val="18"/>
          <w:b w:val="1"/>
          <w:bCs w:val="1"/>
          <w:color w:val="auto"/>
        </w:rPr>
        <w:t>0-7647</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41-0771293</w:t>
      </w:r>
    </w:p>
    <w:p>
      <w:pPr>
        <w:spacing w:after="0" w:line="70" w:lineRule="exact"/>
        <w:rPr>
          <w:sz w:val="24"/>
          <w:szCs w:val="24"/>
          <w:color w:val="auto"/>
        </w:rPr>
      </w:pPr>
    </w:p>
    <w:p>
      <w:pPr>
        <w:sectPr>
          <w:pgSz w:w="11900" w:h="16838" w:orient="portrait"/>
          <w:cols w:equalWidth="0" w:num="3">
            <w:col w:w="4560" w:space="720"/>
            <w:col w:w="2880" w:space="720"/>
            <w:col w:w="2360"/>
          </w:cols>
          <w:pgMar w:left="320" w:top="1035" w:right="339" w:bottom="1440" w:gutter="0" w:footer="0" w:header="0"/>
          <w:type w:val="continuous"/>
        </w:sectPr>
      </w:pPr>
    </w:p>
    <w:p>
      <w:pPr>
        <w:ind w:left="60"/>
        <w:spacing w:after="0"/>
        <w:rPr>
          <w:sz w:val="20"/>
          <w:szCs w:val="20"/>
          <w:color w:val="auto"/>
        </w:rPr>
      </w:pPr>
      <w:r>
        <w:rPr>
          <w:rFonts w:ascii="Arial" w:cs="Arial" w:eastAsia="Arial" w:hAnsi="Arial"/>
          <w:sz w:val="14"/>
          <w:szCs w:val="14"/>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(IRS Employer Identification No.)</w:t>
      </w:r>
    </w:p>
    <w:p>
      <w:pPr>
        <w:spacing w:after="0" w:line="200" w:lineRule="exact"/>
        <w:rPr>
          <w:sz w:val="24"/>
          <w:szCs w:val="24"/>
          <w:color w:val="auto"/>
        </w:rPr>
      </w:pPr>
    </w:p>
    <w:p>
      <w:pPr>
        <w:sectPr>
          <w:pgSz w:w="11900" w:h="16838" w:orient="portrait"/>
          <w:cols w:equalWidth="0" w:num="3">
            <w:col w:w="3940" w:space="720"/>
            <w:col w:w="2860" w:space="720"/>
            <w:col w:w="3000"/>
          </w:cols>
          <w:pgMar w:left="320" w:top="1035" w:right="339" w:bottom="1440" w:gutter="0" w:footer="0" w:header="0"/>
          <w:type w:val="continuous"/>
        </w:sectPr>
      </w:pPr>
    </w:p>
    <w:p>
      <w:pPr>
        <w:spacing w:after="0" w:line="277" w:lineRule="exact"/>
        <w:rPr>
          <w:sz w:val="24"/>
          <w:szCs w:val="24"/>
          <w:color w:val="auto"/>
        </w:rPr>
      </w:pPr>
    </w:p>
    <w:p>
      <w:pPr>
        <w:ind w:left="620"/>
        <w:spacing w:after="0"/>
        <w:tabs>
          <w:tab w:leader="none" w:pos="3060" w:val="left"/>
        </w:tabs>
        <w:rPr>
          <w:sz w:val="20"/>
          <w:szCs w:val="20"/>
          <w:color w:val="auto"/>
        </w:rPr>
      </w:pPr>
      <w:r>
        <w:rPr>
          <w:rFonts w:ascii="Arial" w:cs="Arial" w:eastAsia="Arial" w:hAnsi="Arial"/>
          <w:sz w:val="18"/>
          <w:szCs w:val="18"/>
          <w:b w:val="1"/>
          <w:bCs w:val="1"/>
          <w:color w:val="auto"/>
        </w:rPr>
        <w:t>2381 Rosegate, Roseville,</w:t>
      </w:r>
      <w:r>
        <w:rPr>
          <w:sz w:val="20"/>
          <w:szCs w:val="20"/>
          <w:color w:val="auto"/>
        </w:rPr>
        <w:tab/>
      </w:r>
      <w:r>
        <w:rPr>
          <w:rFonts w:ascii="Arial" w:cs="Arial" w:eastAsia="Arial" w:hAnsi="Arial"/>
          <w:sz w:val="17"/>
          <w:szCs w:val="17"/>
          <w:b w:val="1"/>
          <w:bCs w:val="1"/>
          <w:color w:val="auto"/>
        </w:rPr>
        <w:t>Minnesota</w:t>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55113</w:t>
      </w:r>
    </w:p>
    <w:p>
      <w:pPr>
        <w:spacing w:after="0" w:line="70" w:lineRule="exact"/>
        <w:rPr>
          <w:sz w:val="24"/>
          <w:szCs w:val="24"/>
          <w:color w:val="auto"/>
        </w:rPr>
      </w:pPr>
    </w:p>
    <w:p>
      <w:pPr>
        <w:sectPr>
          <w:pgSz w:w="11900" w:h="16838" w:orient="portrait"/>
          <w:cols w:equalWidth="0" w:num="2">
            <w:col w:w="8640" w:space="720"/>
            <w:col w:w="1880"/>
          </w:cols>
          <w:pgMar w:left="320" w:top="1035" w:right="339" w:bottom="1440" w:gutter="0" w:footer="0" w:header="0"/>
          <w:type w:val="continuous"/>
        </w:sectPr>
      </w:pPr>
    </w:p>
    <w:p>
      <w:pPr>
        <w:ind w:left="94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(Zip Code)</w:t>
      </w:r>
    </w:p>
    <w:p>
      <w:pPr>
        <w:spacing w:after="0" w:line="200" w:lineRule="exact"/>
        <w:rPr>
          <w:sz w:val="24"/>
          <w:szCs w:val="24"/>
          <w:color w:val="auto"/>
        </w:rPr>
      </w:pPr>
    </w:p>
    <w:p>
      <w:pPr>
        <w:sectPr>
          <w:pgSz w:w="11900" w:h="16838" w:orient="portrait"/>
          <w:cols w:equalWidth="0" w:num="2">
            <w:col w:w="8540" w:space="720"/>
            <w:col w:w="1980"/>
          </w:cols>
          <w:pgMar w:left="320" w:top="1035" w:right="339" w:bottom="1440" w:gutter="0" w:footer="0" w:header="0"/>
          <w:type w:val="continuous"/>
        </w:sectPr>
      </w:pPr>
    </w:p>
    <w:p>
      <w:pPr>
        <w:spacing w:after="0" w:line="2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(612) 331-6910</w:t>
      </w:r>
    </w:p>
    <w:p>
      <w:pPr>
        <w:spacing w:after="0" w:line="355" w:lineRule="exact"/>
        <w:rPr>
          <w:sz w:val="24"/>
          <w:szCs w:val="24"/>
          <w:color w:val="auto"/>
        </w:rPr>
      </w:pPr>
    </w:p>
    <w:p>
      <w:pPr>
        <w:ind w:right="220" w:firstLine="445"/>
        <w:spacing w:after="0" w:line="255"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46"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03"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9"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3860" w:type="dxa"/>
            <w:vAlign w:val="bottom"/>
            <w:tcBorders>
              <w:bottom w:val="single" w:sz="8" w:color="auto"/>
            </w:tcBorders>
          </w:tcPr>
          <w:p>
            <w:pPr>
              <w:ind w:left="1080"/>
              <w:spacing w:after="0"/>
              <w:rPr>
                <w:sz w:val="20"/>
                <w:szCs w:val="20"/>
                <w:color w:val="auto"/>
              </w:rPr>
            </w:pPr>
            <w:r>
              <w:rPr>
                <w:rFonts w:ascii="Arial" w:cs="Arial" w:eastAsia="Arial" w:hAnsi="Arial"/>
                <w:sz w:val="16"/>
                <w:szCs w:val="16"/>
                <w:b w:val="1"/>
                <w:bCs w:val="1"/>
                <w:color w:val="auto"/>
              </w:rPr>
              <w:t>Title of each class</w:t>
            </w:r>
          </w:p>
        </w:tc>
        <w:tc>
          <w:tcPr>
            <w:tcW w:w="2980" w:type="dxa"/>
            <w:vAlign w:val="bottom"/>
            <w:tcBorders>
              <w:bottom w:val="single" w:sz="8" w:color="auto"/>
            </w:tcBorders>
          </w:tcPr>
          <w:p>
            <w:pPr>
              <w:jc w:val="center"/>
              <w:ind w:left="79"/>
              <w:spacing w:after="0"/>
              <w:rPr>
                <w:sz w:val="20"/>
                <w:szCs w:val="20"/>
                <w:color w:val="auto"/>
              </w:rPr>
            </w:pPr>
            <w:r>
              <w:rPr>
                <w:rFonts w:ascii="Arial" w:cs="Arial" w:eastAsia="Arial" w:hAnsi="Arial"/>
                <w:sz w:val="16"/>
                <w:szCs w:val="16"/>
                <w:b w:val="1"/>
                <w:bCs w:val="1"/>
                <w:color w:val="auto"/>
              </w:rPr>
              <w:t>Trading Symbol(s)</w:t>
            </w:r>
          </w:p>
        </w:tc>
        <w:tc>
          <w:tcPr>
            <w:tcW w:w="4360" w:type="dxa"/>
            <w:vAlign w:val="bottom"/>
            <w:tcBorders>
              <w:bottom w:val="single" w:sz="8" w:color="auto"/>
            </w:tcBorders>
          </w:tcPr>
          <w:p>
            <w:pPr>
              <w:jc w:val="center"/>
              <w:ind w:left="379"/>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210"/>
        </w:trPr>
        <w:tc>
          <w:tcPr>
            <w:tcW w:w="3860" w:type="dxa"/>
            <w:vAlign w:val="bottom"/>
          </w:tcPr>
          <w:p>
            <w:pPr>
              <w:ind w:left="20"/>
              <w:spacing w:after="0"/>
              <w:rPr>
                <w:sz w:val="20"/>
                <w:szCs w:val="20"/>
                <w:color w:val="auto"/>
              </w:rPr>
            </w:pPr>
            <w:r>
              <w:rPr>
                <w:rFonts w:ascii="Arial" w:cs="Arial" w:eastAsia="Arial" w:hAnsi="Arial"/>
                <w:sz w:val="16"/>
                <w:szCs w:val="16"/>
                <w:color w:val="auto"/>
              </w:rPr>
              <w:t>Common Stock, par value $.05 per share</w:t>
            </w:r>
          </w:p>
        </w:tc>
        <w:tc>
          <w:tcPr>
            <w:tcW w:w="2980" w:type="dxa"/>
            <w:vAlign w:val="bottom"/>
          </w:tcPr>
          <w:p>
            <w:pPr>
              <w:jc w:val="center"/>
              <w:ind w:left="79"/>
              <w:spacing w:after="0"/>
              <w:rPr>
                <w:sz w:val="20"/>
                <w:szCs w:val="20"/>
                <w:color w:val="auto"/>
              </w:rPr>
            </w:pPr>
            <w:r>
              <w:rPr>
                <w:rFonts w:ascii="Arial" w:cs="Arial" w:eastAsia="Arial" w:hAnsi="Arial"/>
                <w:sz w:val="16"/>
                <w:szCs w:val="16"/>
                <w:color w:val="auto"/>
              </w:rPr>
              <w:t>HWKN</w:t>
            </w:r>
          </w:p>
        </w:tc>
        <w:tc>
          <w:tcPr>
            <w:tcW w:w="4360" w:type="dxa"/>
            <w:vAlign w:val="bottom"/>
          </w:tcPr>
          <w:p>
            <w:pPr>
              <w:jc w:val="center"/>
              <w:ind w:left="399"/>
              <w:spacing w:after="0"/>
              <w:rPr>
                <w:sz w:val="20"/>
                <w:szCs w:val="20"/>
                <w:color w:val="auto"/>
              </w:rPr>
            </w:pPr>
            <w:r>
              <w:rPr>
                <w:rFonts w:ascii="Arial" w:cs="Arial" w:eastAsia="Arial" w:hAnsi="Arial"/>
                <w:sz w:val="16"/>
                <w:szCs w:val="16"/>
                <w:color w:val="auto"/>
              </w:rPr>
              <w:t>Nasdaq Stock Market LLC</w:t>
            </w:r>
          </w:p>
        </w:tc>
      </w:tr>
    </w:tbl>
    <w:p>
      <w:pPr>
        <w:spacing w:after="0" w:line="262" w:lineRule="exact"/>
        <w:rPr>
          <w:sz w:val="24"/>
          <w:szCs w:val="24"/>
          <w:color w:val="auto"/>
        </w:rPr>
      </w:pPr>
    </w:p>
    <w:p>
      <w:pPr>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8900"/>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188" w:lineRule="exact"/>
        <w:rPr>
          <w:sz w:val="24"/>
          <w:szCs w:val="24"/>
          <w:color w:val="auto"/>
        </w:rPr>
      </w:pPr>
    </w:p>
    <w:p>
      <w:pPr>
        <w:ind w:right="20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699135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type w:val="continuous"/>
        </w:sectPr>
      </w:pPr>
    </w:p>
    <w:bookmarkStart w:id="1" w:name="page2"/>
    <w:bookmarkEnd w:id="1"/>
    <w:p>
      <w:pPr>
        <w:ind w:right="740"/>
        <w:spacing w:after="0" w:line="271"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68" w:lineRule="exact"/>
        <w:rPr>
          <w:sz w:val="20"/>
          <w:szCs w:val="20"/>
          <w:color w:val="auto"/>
        </w:rPr>
      </w:pPr>
    </w:p>
    <w:p>
      <w:pPr>
        <w:jc w:val="both"/>
        <w:ind w:right="20" w:firstLine="648"/>
        <w:spacing w:after="0"/>
        <w:rPr>
          <w:sz w:val="20"/>
          <w:szCs w:val="20"/>
          <w:color w:val="auto"/>
        </w:rPr>
      </w:pPr>
      <w:r>
        <w:rPr>
          <w:rFonts w:ascii="Arial" w:cs="Arial" w:eastAsia="Arial" w:hAnsi="Arial"/>
          <w:sz w:val="18"/>
          <w:szCs w:val="18"/>
          <w:color w:val="auto"/>
        </w:rPr>
        <w:t>On October 21, 2020, the Board of Directors of Hawkins, Inc. appointed Yi “Faith” Tang to fill a newly created vacancy on its Board of Directors. The Board has determined that Ms. Tang is an “independent director” as that term is defined under the applicable listing standards of The Nasdaq Stock Market LLC and has appointed her to the Company’s Compensation Committee.</w:t>
      </w:r>
    </w:p>
    <w:p>
      <w:pPr>
        <w:spacing w:after="0" w:line="230" w:lineRule="exact"/>
        <w:rPr>
          <w:sz w:val="20"/>
          <w:szCs w:val="20"/>
          <w:color w:val="auto"/>
        </w:rPr>
      </w:pPr>
    </w:p>
    <w:p>
      <w:pPr>
        <w:ind w:firstLine="648"/>
        <w:spacing w:after="0" w:line="238" w:lineRule="auto"/>
        <w:rPr>
          <w:sz w:val="20"/>
          <w:szCs w:val="20"/>
          <w:color w:val="auto"/>
        </w:rPr>
      </w:pPr>
      <w:r>
        <w:rPr>
          <w:rFonts w:ascii="Arial" w:cs="Arial" w:eastAsia="Arial" w:hAnsi="Arial"/>
          <w:sz w:val="18"/>
          <w:szCs w:val="18"/>
          <w:color w:val="auto"/>
        </w:rPr>
        <w:t>Ms. Tang has been Global Chief Information Officer of H.B. Fuller Company since March 2017. She previously served at H.B. Fuller Company as Director of Global Information Technology, Governance and Project Management Oversight from January 2013 to February 2017 and as Director of Asia Pacific Information Technology from 2010 to 2012. She previously worked at Baxter, Johnson &amp; Johnson and Eli Lilly. Tang holds a bachelor’s degree in Computer Software from Shanghai University of China and an M.B.A. from Renmin University of China.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857885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2" w:name="page3"/>
    <w:bookmarkEnd w:id="2"/>
    <w:p>
      <w:pPr>
        <w:jc w:val="center"/>
        <w:ind w:right="-399"/>
        <w:spacing w:after="0"/>
        <w:rPr>
          <w:sz w:val="20"/>
          <w:szCs w:val="20"/>
          <w:color w:val="auto"/>
        </w:rPr>
      </w:pPr>
      <w:r>
        <w:rPr>
          <w:rFonts w:ascii="Arial" w:cs="Arial" w:eastAsia="Arial" w:hAnsi="Arial"/>
          <w:sz w:val="18"/>
          <w:szCs w:val="18"/>
          <w:b w:val="1"/>
          <w:bCs w:val="1"/>
          <w:color w:val="auto"/>
        </w:rPr>
        <w:t>SIGNATURES</w:t>
      </w:r>
    </w:p>
    <w:p>
      <w:pPr>
        <w:spacing w:after="0" w:line="193" w:lineRule="exact"/>
        <w:rPr>
          <w:sz w:val="20"/>
          <w:szCs w:val="20"/>
          <w:color w:val="auto"/>
        </w:rPr>
      </w:pPr>
    </w:p>
    <w:p>
      <w:pPr>
        <w:ind w:firstLine="445"/>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HAWKINS, INC.</w:t>
      </w:r>
    </w:p>
    <w:p>
      <w:pPr>
        <w:spacing w:after="0" w:line="104" w:lineRule="exact"/>
        <w:rPr>
          <w:sz w:val="20"/>
          <w:szCs w:val="20"/>
          <w:color w:val="auto"/>
        </w:rPr>
      </w:pPr>
    </w:p>
    <w:p>
      <w:pPr>
        <w:ind w:left="20"/>
        <w:spacing w:after="0"/>
        <w:tabs>
          <w:tab w:leader="none" w:pos="4500" w:val="left"/>
          <w:tab w:leader="none" w:pos="7320" w:val="left"/>
        </w:tabs>
        <w:rPr>
          <w:sz w:val="20"/>
          <w:szCs w:val="20"/>
          <w:color w:val="auto"/>
        </w:rPr>
      </w:pPr>
      <w:r>
        <w:rPr>
          <w:rFonts w:ascii="Arial" w:cs="Arial" w:eastAsia="Arial" w:hAnsi="Arial"/>
          <w:sz w:val="18"/>
          <w:szCs w:val="18"/>
          <w:color w:val="auto"/>
        </w:rPr>
        <w:t>Date: October 22,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Richard G. Erstad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3236595</wp:posOffset>
            </wp:positionH>
            <wp:positionV relativeFrom="paragraph">
              <wp:posOffset>14605</wp:posOffset>
            </wp:positionV>
            <wp:extent cx="39001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900170" cy="8255"/>
                    </a:xfrm>
                    <a:prstGeom prst="rect">
                      <a:avLst/>
                    </a:prstGeom>
                    <a:noFill/>
                  </pic:spPr>
                </pic:pic>
              </a:graphicData>
            </a:graphic>
          </wp:anchor>
        </w:drawing>
      </w:r>
    </w:p>
    <w:p>
      <w:pPr>
        <w:spacing w:after="0" w:line="43" w:lineRule="exact"/>
        <w:rPr>
          <w:sz w:val="20"/>
          <w:szCs w:val="20"/>
          <w:color w:val="auto"/>
        </w:rPr>
      </w:pPr>
    </w:p>
    <w:p>
      <w:pPr>
        <w:jc w:val="center"/>
        <w:ind w:left="5080"/>
        <w:spacing w:after="0"/>
        <w:rPr>
          <w:sz w:val="20"/>
          <w:szCs w:val="20"/>
          <w:color w:val="auto"/>
        </w:rPr>
      </w:pPr>
      <w:r>
        <w:rPr>
          <w:rFonts w:ascii="Arial" w:cs="Arial" w:eastAsia="Arial" w:hAnsi="Arial"/>
          <w:sz w:val="18"/>
          <w:szCs w:val="18"/>
          <w:color w:val="auto"/>
        </w:rPr>
        <w:t>Richard G. Erstad</w:t>
      </w:r>
    </w:p>
    <w:p>
      <w:pPr>
        <w:spacing w:after="0" w:line="50" w:lineRule="exact"/>
        <w:rPr>
          <w:sz w:val="20"/>
          <w:szCs w:val="20"/>
          <w:color w:val="auto"/>
        </w:rPr>
      </w:pPr>
    </w:p>
    <w:p>
      <w:pPr>
        <w:jc w:val="center"/>
        <w:ind w:left="5080"/>
        <w:spacing w:after="0"/>
        <w:rPr>
          <w:sz w:val="20"/>
          <w:szCs w:val="20"/>
          <w:color w:val="auto"/>
        </w:rPr>
      </w:pPr>
      <w:r>
        <w:rPr>
          <w:rFonts w:ascii="Arial" w:cs="Arial" w:eastAsia="Arial" w:hAnsi="Arial"/>
          <w:sz w:val="18"/>
          <w:szCs w:val="18"/>
          <w:color w:val="auto"/>
        </w:rPr>
        <w:t>Vice President, General Counsel and Secretary</w:t>
      </w:r>
    </w:p>
    <w:sectPr>
      <w:pgSz w:w="11900" w:h="16838" w:orient="portrait"/>
      <w:cols w:equalWidth="0" w:num="1">
        <w:col w:w="10860"/>
      </w:cols>
      <w:pgMar w:left="320" w:top="886" w:right="7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2020-10-22T15:30:07Z</dcterms:created>
  <dcterms:modified xsi:type="dcterms:W3CDTF">2020-10-22T15:30:07Z</dcterms:modified>
</cp:coreProperties>
</file>