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20" w:right="320" w:hanging="612"/>
        <w:spacing w:after="0" w:line="256"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31, 2002</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20" w:right="300" w:hanging="612"/>
        <w:spacing w:after="0" w:line="256" w:lineRule="auto"/>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585" w:right="219" w:bottom="0" w:gutter="0" w:footer="0" w:header="0"/>
        </w:sectPr>
      </w:pPr>
    </w:p>
    <w:p>
      <w:pPr>
        <w:spacing w:after="0" w:line="172"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100" w:space="720"/>
            <w:col w:w="4620"/>
          </w:cols>
          <w:pgMar w:left="240" w:top="585" w:right="21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0-7647</w:t>
      </w:r>
    </w:p>
    <w:p>
      <w:pPr>
        <w:sectPr>
          <w:pgSz w:w="11900" w:h="16838" w:orient="portrait"/>
          <w:cols w:equalWidth="0" w:num="1">
            <w:col w:w="11440"/>
          </w:cols>
          <w:pgMar w:left="240" w:top="585" w:right="21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585" w:right="219" w:bottom="0" w:gutter="0" w:footer="0" w:header="0"/>
          <w:type w:val="continuous"/>
        </w:sectPr>
      </w:pPr>
    </w:p>
    <w:p>
      <w:pPr>
        <w:spacing w:after="0" w:line="228"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of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20" w:space="720"/>
            <w:col w:w="410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4600"/>
        <w:spacing w:after="0" w:line="207" w:lineRule="exact"/>
        <w:tabs>
          <w:tab w:leader="none" w:pos="5320" w:val="left"/>
          <w:tab w:leader="none" w:pos="6020" w:val="left"/>
          <w:tab w:leader="none" w:pos="67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3" w:lineRule="exact"/>
        <w:rPr>
          <w:sz w:val="24"/>
          <w:szCs w:val="24"/>
          <w:color w:val="auto"/>
        </w:rPr>
      </w:pPr>
    </w:p>
    <w:p>
      <w:pPr>
        <w:ind w:left="3940"/>
        <w:spacing w:after="0" w:line="207" w:lineRule="exact"/>
        <w:tabs>
          <w:tab w:leader="none" w:pos="4680" w:val="left"/>
          <w:tab w:leader="none" w:pos="5300" w:val="left"/>
          <w:tab w:leader="none" w:pos="6020" w:val="left"/>
          <w:tab w:leader="none" w:pos="6640" w:val="left"/>
          <w:tab w:leader="none" w:pos="73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N/A</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CLASS</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rPr>
              <w:t>OUTSTANDING AT FEBRUARY 7, 2003</w:t>
            </w:r>
          </w:p>
        </w:tc>
        <w:tc>
          <w:tcPr>
            <w:tcW w:w="20" w:type="dxa"/>
            <w:vAlign w:val="bottom"/>
          </w:tcPr>
          <w:p>
            <w:pPr>
              <w:spacing w:after="0"/>
              <w:rPr>
                <w:sz w:val="14"/>
                <w:szCs w:val="14"/>
                <w:color w:val="auto"/>
              </w:rPr>
            </w:pPr>
          </w:p>
        </w:tc>
      </w:tr>
      <w:tr>
        <w:trPr>
          <w:trHeight w:val="224"/>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$.05 per share</w:t>
            </w:r>
          </w:p>
        </w:tc>
        <w:tc>
          <w:tcPr>
            <w:tcW w:w="300" w:type="dxa"/>
            <w:vAlign w:val="bottom"/>
          </w:tcPr>
          <w:p>
            <w:pPr>
              <w:spacing w:after="0"/>
              <w:rPr>
                <w:sz w:val="19"/>
                <w:szCs w:val="19"/>
                <w:color w:val="auto"/>
              </w:rPr>
            </w:pPr>
          </w:p>
        </w:tc>
        <w:tc>
          <w:tcPr>
            <w:tcW w:w="5560" w:type="dxa"/>
            <w:vAlign w:val="bottom"/>
            <w:tcBorders>
              <w:top w:val="single" w:sz="8" w:color="auto"/>
            </w:tcBorders>
          </w:tcPr>
          <w:p>
            <w:pPr>
              <w:jc w:val="right"/>
              <w:ind w:right="2299"/>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r>
      <w:tr>
        <w:trPr>
          <w:trHeight w:val="236"/>
        </w:trPr>
        <w:tc>
          <w:tcPr>
            <w:tcW w:w="5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55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5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11" w:lineRule="exact"/>
        <w:rPr>
          <w:sz w:val="24"/>
          <w:szCs w:val="24"/>
          <w:color w:val="auto"/>
        </w:rPr>
      </w:pPr>
    </w:p>
    <w:p>
      <w:pPr>
        <w:spacing w:after="0"/>
        <w:tabs>
          <w:tab w:leader="none" w:pos="980" w:val="left"/>
        </w:tabs>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w:t>
        </w:r>
      </w:hyperlink>
      <w:r>
        <w:rPr>
          <w:rFonts w:ascii="Arial" w:cs="Arial" w:eastAsia="Arial" w:hAnsi="Arial"/>
          <w:sz w:val="18"/>
          <w:szCs w:val="18"/>
          <w:u w:val="single" w:color="auto"/>
          <w:color w:val="0000EE"/>
        </w:rPr>
        <w:tab/>
      </w:r>
      <w:hyperlink w:anchor="page2">
        <w:r>
          <w:rPr>
            <w:rFonts w:ascii="Arial" w:cs="Arial" w:eastAsia="Arial" w:hAnsi="Arial"/>
            <w:sz w:val="18"/>
            <w:szCs w:val="18"/>
            <w:u w:val="single" w:color="auto"/>
            <w:color w:val="0000EE"/>
          </w:rPr>
          <w:t>FINANCIAL INFORMATION</w:t>
        </w:r>
      </w:hyperlink>
    </w:p>
    <w:p>
      <w:pPr>
        <w:spacing w:after="0" w:line="22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0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Balance Sheets -December 31, 2002 and March 31, 2002</w:t>
        </w:r>
      </w:hyperlink>
    </w:p>
    <w:p>
      <w:pPr>
        <w:spacing w:after="0" w:line="225" w:lineRule="exact"/>
        <w:rPr>
          <w:sz w:val="20"/>
          <w:szCs w:val="20"/>
          <w:color w:val="auto"/>
        </w:rPr>
      </w:pPr>
    </w:p>
    <w:p>
      <w:pPr>
        <w:ind w:left="10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Statements of Income -Three and Nine Months Ended December 31, 2002 and 2001</w:t>
        </w:r>
      </w:hyperlink>
    </w:p>
    <w:p>
      <w:pPr>
        <w:spacing w:after="0" w:line="225" w:lineRule="exact"/>
        <w:rPr>
          <w:sz w:val="20"/>
          <w:szCs w:val="20"/>
          <w:color w:val="auto"/>
        </w:rPr>
      </w:pPr>
    </w:p>
    <w:p>
      <w:pPr>
        <w:ind w:left="10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-Nine Months Ended December 31, 2002 and 2001</w:t>
        </w:r>
      </w:hyperlink>
    </w:p>
    <w:p>
      <w:pPr>
        <w:spacing w:after="0" w:line="225" w:lineRule="exact"/>
        <w:rPr>
          <w:sz w:val="20"/>
          <w:szCs w:val="20"/>
          <w:color w:val="auto"/>
        </w:rPr>
      </w:pPr>
    </w:p>
    <w:p>
      <w:pPr>
        <w:ind w:left="10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Condensed Financial Statements</w:t>
        </w:r>
      </w:hyperlink>
    </w:p>
    <w:p>
      <w:pPr>
        <w:spacing w:after="0" w:line="225"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Management’s Discussion and Analysis of Financial Condition and Results of Operations</w:t>
        </w:r>
      </w:hyperlink>
    </w:p>
    <w:p>
      <w:pPr>
        <w:sectPr>
          <w:pgSz w:w="11900" w:h="16838" w:orient="portrait"/>
          <w:cols w:equalWidth="0" w:num="1">
            <w:col w:w="11440"/>
          </w:cols>
          <w:pgMar w:left="240" w:top="585" w:right="2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Item 3</w:t>
              </w:r>
            </w:hyperlink>
          </w:p>
        </w:tc>
        <w:tc>
          <w:tcPr>
            <w:tcW w:w="500" w:type="dxa"/>
            <w:vAlign w:val="bottom"/>
            <w:gridSpan w:val="2"/>
          </w:tcPr>
          <w:p>
            <w:pPr>
              <w:spacing w:after="0"/>
              <w:rPr>
                <w:sz w:val="17"/>
                <w:szCs w:val="17"/>
                <w:color w:val="auto"/>
              </w:rPr>
            </w:pPr>
          </w:p>
        </w:tc>
        <w:tc>
          <w:tcPr>
            <w:tcW w:w="43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Quantitative and Qualitative Disclosures about Market Risk</w:t>
              </w:r>
            </w:hyperlink>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Item 4</w:t>
              </w:r>
            </w:hyperlink>
          </w:p>
        </w:tc>
        <w:tc>
          <w:tcPr>
            <w:tcW w:w="520" w:type="dxa"/>
            <w:vAlign w:val="bottom"/>
            <w:gridSpan w:val="3"/>
          </w:tcPr>
          <w:p>
            <w:pPr>
              <w:spacing w:after="0"/>
              <w:rPr>
                <w:sz w:val="24"/>
                <w:szCs w:val="24"/>
                <w:color w:val="auto"/>
              </w:rPr>
            </w:pPr>
          </w:p>
        </w:tc>
        <w:tc>
          <w:tcPr>
            <w:tcW w:w="1780" w:type="dxa"/>
            <w:vAlign w:val="bottom"/>
            <w:tcBorders>
              <w:bottom w:val="single" w:sz="8" w:color="0000EE"/>
            </w:tcBorders>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Controls and Procedures</w:t>
              </w:r>
            </w:hyperlink>
          </w:p>
        </w:tc>
        <w:tc>
          <w:tcPr>
            <w:tcW w:w="2720" w:type="dxa"/>
            <w:vAlign w:val="bottom"/>
            <w:gridSpan w:val="5"/>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PART II</w:t>
              </w:r>
            </w:hyperlink>
          </w:p>
        </w:tc>
        <w:tc>
          <w:tcPr>
            <w:tcW w:w="450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OTHER INFORMATION</w:t>
              </w:r>
            </w:hyperlink>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6</w:t>
              </w:r>
            </w:hyperlink>
          </w:p>
        </w:tc>
        <w:tc>
          <w:tcPr>
            <w:tcW w:w="400" w:type="dxa"/>
            <w:vAlign w:val="bottom"/>
          </w:tcPr>
          <w:p>
            <w:pPr>
              <w:spacing w:after="0"/>
              <w:rPr>
                <w:sz w:val="24"/>
                <w:szCs w:val="24"/>
                <w:color w:val="auto"/>
              </w:rPr>
            </w:pPr>
          </w:p>
        </w:tc>
        <w:tc>
          <w:tcPr>
            <w:tcW w:w="450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Exhibits and Reports on Form 8-K</w:t>
              </w:r>
            </w:hyperlink>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680"/>
              <w:spacing w:after="0"/>
              <w:rPr>
                <w:sz w:val="20"/>
                <w:szCs w:val="20"/>
                <w:color w:val="auto"/>
              </w:rPr>
            </w:pPr>
            <w:r>
              <w:rPr>
                <w:rFonts w:ascii="Arial" w:cs="Arial" w:eastAsia="Arial" w:hAnsi="Arial"/>
                <w:sz w:val="18"/>
                <w:szCs w:val="18"/>
                <w:color w:val="auto"/>
                <w:w w:val="99"/>
              </w:rPr>
              <w:t>2</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gridSpan w:val="3"/>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rPr>
              <w:t>PART I. FINANCIAL INFORMATION</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11"/>
          </w:tcPr>
          <w:p>
            <w:pPr>
              <w:spacing w:after="0"/>
              <w:rPr>
                <w:sz w:val="20"/>
                <w:szCs w:val="20"/>
                <w:color w:val="auto"/>
              </w:rPr>
            </w:pPr>
            <w:r>
              <w:rPr>
                <w:rFonts w:ascii="Arial" w:cs="Arial" w:eastAsia="Arial" w:hAnsi="Arial"/>
                <w:sz w:val="18"/>
                <w:szCs w:val="18"/>
                <w:color w:val="auto"/>
              </w:rPr>
              <w:t>ITEM 1. FINANCIAL STATEMENTS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00" w:type="dxa"/>
            <w:vAlign w:val="bottom"/>
            <w:gridSpan w:val="11"/>
          </w:tcPr>
          <w:p>
            <w:pPr>
              <w:spacing w:after="0"/>
              <w:rPr>
                <w:sz w:val="20"/>
                <w:szCs w:val="20"/>
                <w:color w:val="auto"/>
              </w:rPr>
            </w:pPr>
            <w:r>
              <w:rPr>
                <w:rFonts w:ascii="Arial" w:cs="Arial" w:eastAsia="Arial" w:hAnsi="Arial"/>
                <w:sz w:val="18"/>
                <w:szCs w:val="18"/>
                <w:color w:val="auto"/>
              </w:rPr>
              <w:t>HAWKINS, INC.</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00" w:type="dxa"/>
            <w:vAlign w:val="bottom"/>
            <w:gridSpan w:val="11"/>
          </w:tcPr>
          <w:p>
            <w:pPr>
              <w:spacing w:after="0"/>
              <w:rPr>
                <w:sz w:val="20"/>
                <w:szCs w:val="20"/>
                <w:color w:val="auto"/>
              </w:rPr>
            </w:pPr>
            <w:r>
              <w:rPr>
                <w:rFonts w:ascii="Arial" w:cs="Arial" w:eastAsia="Arial" w:hAnsi="Arial"/>
                <w:sz w:val="18"/>
                <w:szCs w:val="18"/>
                <w:color w:val="auto"/>
              </w:rPr>
              <w:t>CONDENSED BALANCE SHEETS</w:t>
            </w: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93"/>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153"/>
              <w:spacing w:after="0" w:line="142"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tcPr>
          <w:p>
            <w:pPr>
              <w:ind w:left="160"/>
              <w:spacing w:after="0"/>
              <w:rPr>
                <w:sz w:val="20"/>
                <w:szCs w:val="20"/>
                <w:color w:val="auto"/>
              </w:rPr>
            </w:pPr>
            <w:r>
              <w:rPr>
                <w:rFonts w:ascii="Arial" w:cs="Arial" w:eastAsia="Arial" w:hAnsi="Arial"/>
                <w:sz w:val="18"/>
                <w:szCs w:val="18"/>
                <w:color w:val="auto"/>
              </w:rPr>
              <w:t>Cash and cash equivalents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877,206</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7,339,895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19,830,896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7,170,748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tcPr>
          <w:p>
            <w:pPr>
              <w:ind w:left="160"/>
              <w:spacing w:after="0"/>
              <w:rPr>
                <w:sz w:val="20"/>
                <w:szCs w:val="20"/>
                <w:color w:val="auto"/>
              </w:rPr>
            </w:pPr>
            <w:r>
              <w:rPr>
                <w:rFonts w:ascii="Arial" w:cs="Arial" w:eastAsia="Arial" w:hAnsi="Arial"/>
                <w:sz w:val="18"/>
                <w:szCs w:val="18"/>
                <w:color w:val="auto"/>
              </w:rPr>
              <w:t>Trade receivables-net</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9,761,724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10,610,386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0"/>
              </w:rPr>
              <w:t>Inventories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9,533,467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9,397,541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2,014,035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1,977,667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gridSpan w:val="10"/>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42,017,328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36,496,237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PROPERTY, PLANT AND EQUIPMENT-net</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27,515,407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27,940,170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12"/>
            <w:shd w:val="clear" w:color="auto" w:fill="CCEEFF"/>
          </w:tcPr>
          <w:p>
            <w:pPr>
              <w:spacing w:after="0"/>
              <w:rPr>
                <w:sz w:val="20"/>
                <w:szCs w:val="20"/>
                <w:color w:val="auto"/>
              </w:rPr>
            </w:pPr>
            <w:r>
              <w:rPr>
                <w:rFonts w:ascii="Arial" w:cs="Arial" w:eastAsia="Arial" w:hAnsi="Arial"/>
                <w:sz w:val="18"/>
                <w:szCs w:val="18"/>
                <w:color w:val="auto"/>
                <w:w w:val="92"/>
              </w:rPr>
              <w:t>INTANGIBLE ASSETS-less accumulated amortization of $1,230,515 and $1,017,901, respectively</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3,132,534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3,345,148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3,495,320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3,705,578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76,160,589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71,487,133</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tcPr>
          <w:p>
            <w:pPr>
              <w:ind w:left="160"/>
              <w:spacing w:after="0"/>
              <w:rPr>
                <w:sz w:val="20"/>
                <w:szCs w:val="20"/>
                <w:color w:val="auto"/>
              </w:rPr>
            </w:pPr>
            <w:r>
              <w:rPr>
                <w:rFonts w:ascii="Arial" w:cs="Arial" w:eastAsia="Arial" w:hAnsi="Arial"/>
                <w:sz w:val="18"/>
                <w:szCs w:val="18"/>
                <w:color w:val="auto"/>
              </w:rPr>
              <w:t>Accounts payable – trade</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3,795,460</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4,095,820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116,823</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tcPr>
          <w:p>
            <w:pPr>
              <w:ind w:left="160"/>
              <w:spacing w:after="0"/>
              <w:rPr>
                <w:sz w:val="20"/>
                <w:szCs w:val="20"/>
                <w:color w:val="auto"/>
              </w:rPr>
            </w:pPr>
            <w:r>
              <w:rPr>
                <w:rFonts w:ascii="Arial" w:cs="Arial" w:eastAsia="Arial" w:hAnsi="Arial"/>
                <w:sz w:val="18"/>
                <w:szCs w:val="18"/>
                <w:color w:val="auto"/>
              </w:rPr>
              <w:t>Dividends payable</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1,532,690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5,198,709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4,004,451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10"/>
          </w:tcPr>
          <w:p>
            <w:pPr>
              <w:ind w:left="340"/>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8,994,169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9,749,784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10"/>
          </w:tcPr>
          <w:p>
            <w:pPr>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940,851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953,851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10"/>
          </w:tcPr>
          <w:p>
            <w:pPr>
              <w:spacing w:after="0"/>
              <w:rPr>
                <w:sz w:val="20"/>
                <w:szCs w:val="20"/>
                <w:color w:val="auto"/>
              </w:rPr>
            </w:pPr>
            <w:r>
              <w:rPr>
                <w:rFonts w:ascii="Arial" w:cs="Arial" w:eastAsia="Arial" w:hAnsi="Arial"/>
                <w:sz w:val="18"/>
                <w:szCs w:val="18"/>
                <w:color w:val="auto"/>
              </w:rPr>
              <w:t>OTHER LONG-TERM LIABILITIES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258,889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353,063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10"/>
          </w:tcPr>
          <w:p>
            <w:pPr>
              <w:spacing w:after="0"/>
              <w:rPr>
                <w:sz w:val="20"/>
                <w:szCs w:val="20"/>
                <w:color w:val="auto"/>
              </w:rPr>
            </w:pPr>
            <w:r>
              <w:rPr>
                <w:rFonts w:ascii="Arial" w:cs="Arial" w:eastAsia="Arial" w:hAnsi="Arial"/>
                <w:sz w:val="18"/>
                <w:szCs w:val="18"/>
                <w:color w:val="auto"/>
              </w:rPr>
              <w:t>COMMITMENTS AND CONTINGENCIES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10"/>
          </w:tcPr>
          <w:p>
            <w:pPr>
              <w:spacing w:after="0"/>
              <w:rPr>
                <w:sz w:val="20"/>
                <w:szCs w:val="20"/>
                <w:color w:val="auto"/>
              </w:rPr>
            </w:pPr>
            <w:r>
              <w:rPr>
                <w:rFonts w:ascii="Arial" w:cs="Arial" w:eastAsia="Arial" w:hAnsi="Arial"/>
                <w:sz w:val="18"/>
                <w:szCs w:val="18"/>
                <w:color w:val="auto"/>
              </w:rPr>
              <w:t>SHAREHOLDERS’ EQUITY:</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w w:val="96"/>
              </w:rPr>
              <w:t>Common stock, par value $.05 per share; 10,216,688 shares issued and outstanding</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510,834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510,834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tcPr>
          <w:p>
            <w:pPr>
              <w:ind w:left="160"/>
              <w:spacing w:after="0"/>
              <w:rPr>
                <w:sz w:val="20"/>
                <w:szCs w:val="20"/>
                <w:color w:val="auto"/>
              </w:rPr>
            </w:pPr>
            <w:r>
              <w:rPr>
                <w:rFonts w:ascii="Arial" w:cs="Arial" w:eastAsia="Arial" w:hAnsi="Arial"/>
                <w:sz w:val="18"/>
                <w:szCs w:val="18"/>
                <w:color w:val="auto"/>
              </w:rPr>
              <w:t>Additional paid-in capital</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37,747,492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37,747,492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(167,649)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10"/>
          </w:tcPr>
          <w:p>
            <w:pPr>
              <w:ind w:left="160"/>
              <w:spacing w:after="0"/>
              <w:rPr>
                <w:sz w:val="20"/>
                <w:szCs w:val="20"/>
                <w:color w:val="auto"/>
              </w:rPr>
            </w:pPr>
            <w:r>
              <w:rPr>
                <w:rFonts w:ascii="Arial" w:cs="Arial" w:eastAsia="Arial" w:hAnsi="Arial"/>
                <w:sz w:val="18"/>
                <w:szCs w:val="18"/>
                <w:color w:val="auto"/>
              </w:rPr>
              <w:t>Retained earnings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27,876,003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22,317,637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gridSpan w:val="10"/>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65,966,680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60,430,435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76,160,589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71,487,133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00" w:type="dxa"/>
            <w:vAlign w:val="bottom"/>
            <w:gridSpan w:val="11"/>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680"/>
              <w:spacing w:after="0"/>
              <w:rPr>
                <w:sz w:val="20"/>
                <w:szCs w:val="20"/>
                <w:color w:val="auto"/>
              </w:rPr>
            </w:pPr>
            <w:r>
              <w:rPr>
                <w:rFonts w:ascii="Arial" w:cs="Arial" w:eastAsia="Arial" w:hAnsi="Arial"/>
                <w:sz w:val="18"/>
                <w:szCs w:val="18"/>
                <w:color w:val="auto"/>
                <w:w w:val="99"/>
              </w:rPr>
              <w:t>3</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7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21"/>
        </w:trPr>
        <w:tc>
          <w:tcPr>
            <w:tcW w:w="5500" w:type="dxa"/>
            <w:vAlign w:val="bottom"/>
            <w:gridSpan w:val="11"/>
          </w:tcPr>
          <w:p>
            <w:pPr>
              <w:spacing w:after="0"/>
              <w:rPr>
                <w:sz w:val="20"/>
                <w:szCs w:val="20"/>
                <w:color w:val="auto"/>
              </w:rPr>
            </w:pPr>
            <w:r>
              <w:rPr>
                <w:rFonts w:ascii="Arial" w:cs="Arial" w:eastAsia="Arial" w:hAnsi="Arial"/>
                <w:sz w:val="18"/>
                <w:szCs w:val="18"/>
                <w:b w:val="1"/>
                <w:bCs w:val="1"/>
                <w:color w:val="auto"/>
              </w:rPr>
              <w:t>HAWKINS, INC.</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00" w:type="dxa"/>
            <w:vAlign w:val="bottom"/>
            <w:gridSpan w:val="11"/>
          </w:tcPr>
          <w:p>
            <w:pPr>
              <w:spacing w:after="0"/>
              <w:rPr>
                <w:sz w:val="20"/>
                <w:szCs w:val="20"/>
                <w:color w:val="auto"/>
              </w:rPr>
            </w:pPr>
            <w:r>
              <w:rPr>
                <w:rFonts w:ascii="Arial" w:cs="Arial" w:eastAsia="Arial" w:hAnsi="Arial"/>
                <w:sz w:val="18"/>
                <w:szCs w:val="18"/>
                <w:b w:val="1"/>
                <w:bCs w:val="1"/>
                <w:color w:val="auto"/>
              </w:rPr>
              <w:t>CONDENSED STATEMENTS OF INCOME</w:t>
            </w: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left="50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2002</w:t>
            </w:r>
          </w:p>
        </w:tc>
        <w:tc>
          <w:tcPr>
            <w:tcW w:w="6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2001</w:t>
            </w: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2001</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left="500"/>
              <w:spacing w:after="0"/>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w:t>
            </w:r>
          </w:p>
        </w:tc>
        <w:tc>
          <w:tcPr>
            <w:tcW w:w="4500" w:type="dxa"/>
            <w:vAlign w:val="bottom"/>
            <w:gridSpan w:val="6"/>
            <w:shd w:val="clear" w:color="auto" w:fill="CCEEFF"/>
          </w:tcPr>
          <w:p>
            <w:pPr>
              <w:ind w:left="4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24,331,951</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8"/>
              </w:rPr>
              <w:t>25,210,631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79,251,163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82,732,661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-9078595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-9078595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-1591945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324" w:right="2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18,041,370</w:t>
            </w: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19,251,256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57,246,901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62,919,457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6,290,581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5,959,375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22,004,262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19,813,204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3,578,708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3,510,094</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11,269,932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11,111,740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2,711,873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2,449,281</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10,734,330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8,701,464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201,290</w:t>
            </w: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524,628</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(4,089)</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2,913,163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2,572,604</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11,254,869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9,072,034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1,078,000</w:t>
            </w: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4,164,000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2,922,520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1,835,163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1,620,604</w:t>
            </w:r>
          </w:p>
        </w:tc>
        <w:tc>
          <w:tcPr>
            <w:tcW w:w="20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7,090,869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6,149,514</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10,216,688</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10,222,145</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10,216,688</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10,278,053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0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4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7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2002</w:t>
            </w: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7,090,869</w:t>
            </w:r>
          </w:p>
        </w:tc>
        <w:tc>
          <w:tcPr>
            <w:tcW w:w="1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6,149,514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2,201,147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2,181,670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Changes in operating accounts providing (requiring) cash:</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receivables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848,662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(135,926)</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(5,524,500)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(300,360)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1,100,084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(89,460)</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10,755,016</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(1,563,770)</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(3,787,722)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(17,985,269)</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Sale and maturities of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5,290,000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received on notes receivable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223,350</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(14,035,689)</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(3,065,193)</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(3,092,891)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repayment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(116,823)</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Acquisition and retirement of stock</w:t>
            </w: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(1,253,072)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(3,182,016)</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(4,455,143)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(6,462,689)</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(397,635)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7,339,895</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1,863,455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877,206</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1,465,820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3,641,224</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1,920,571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0" w:right="21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11" w:lineRule="exact"/>
        <w:rPr>
          <w:sz w:val="20"/>
          <w:szCs w:val="20"/>
          <w:color w:val="auto"/>
        </w:rPr>
      </w:pPr>
    </w:p>
    <w:p>
      <w:pPr>
        <w:ind w:left="740" w:right="200" w:hanging="720"/>
        <w:spacing w:after="0" w:line="25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Report on Form 10-KT for the six-month transitional period ended March 31, 2002, previously filed with the Securities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Arial" w:cs="Arial" w:eastAsia="Arial" w:hAnsi="Arial"/>
          <w:sz w:val="18"/>
          <w:szCs w:val="18"/>
          <w:color w:val="auto"/>
        </w:rPr>
      </w:pPr>
    </w:p>
    <w:p>
      <w:pPr>
        <w:ind w:left="740" w:right="120"/>
        <w:spacing w:after="0" w:line="277"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Report on Form 10-KT for the six-month transitional period ended March 31, 2002 filed with the Commission on June 27, 2002.</w:t>
      </w:r>
    </w:p>
    <w:p>
      <w:pPr>
        <w:spacing w:after="0" w:line="170" w:lineRule="exact"/>
        <w:rPr>
          <w:rFonts w:ascii="Arial" w:cs="Arial" w:eastAsia="Arial" w:hAnsi="Arial"/>
          <w:sz w:val="18"/>
          <w:szCs w:val="18"/>
          <w:color w:val="auto"/>
        </w:rPr>
      </w:pPr>
    </w:p>
    <w:p>
      <w:pPr>
        <w:ind w:left="740" w:hanging="72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operations for the period ended December 31, 2002 are not necessarily indicative of the results that may be expected for the full year.</w:t>
      </w:r>
    </w:p>
    <w:p>
      <w:pPr>
        <w:spacing w:after="0" w:line="248" w:lineRule="exact"/>
        <w:rPr>
          <w:rFonts w:ascii="Arial" w:cs="Arial" w:eastAsia="Arial" w:hAnsi="Arial"/>
          <w:sz w:val="16"/>
          <w:szCs w:val="16"/>
          <w:color w:val="auto"/>
        </w:rPr>
      </w:pPr>
    </w:p>
    <w:p>
      <w:pPr>
        <w:ind w:left="740" w:right="20" w:hanging="720"/>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$450,000 at December 31, 2002. Inventory consists principally of finished goods.</w:t>
      </w:r>
    </w:p>
    <w:p>
      <w:pPr>
        <w:spacing w:after="0" w:line="170" w:lineRule="exact"/>
        <w:rPr>
          <w:rFonts w:ascii="Arial" w:cs="Arial" w:eastAsia="Arial" w:hAnsi="Arial"/>
          <w:sz w:val="18"/>
          <w:szCs w:val="18"/>
          <w:color w:val="auto"/>
        </w:rPr>
      </w:pPr>
    </w:p>
    <w:p>
      <w:pPr>
        <w:ind w:left="740" w:right="100" w:hanging="720"/>
        <w:spacing w:after="0" w:line="25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July 2001, the Financial Accounting Standards Board (FASB) issued Statement of Financial Accounting Standards (SFAS) No. 142, “Goodwill and Other Intangible Assets.” The Company adopted the provisions of SFAS No. 142 on April 1, 2002. Under SFAS No. 142, goodwill as well as other intangibles determined to have an infinite life will no longer be amortized; however, these assets will be reviewed for impairment on a periodic basis. SFAS No.142 also includes provisions for the reclassification of certain existing recognized intangibles as goodwill, reclassification of certain intangibles out of previously reported goodwill and the identification of reporting units for purposes of assessing potential future impairments of goodwill. </w:t>
      </w:r>
      <w:r>
        <w:rPr>
          <w:rFonts w:ascii="Arial" w:cs="Arial" w:eastAsia="Arial" w:hAnsi="Arial"/>
          <w:sz w:val="17"/>
          <w:szCs w:val="17"/>
          <w:color w:val="auto"/>
        </w:rPr>
        <w:t>The implementation of SFAS No. 142 did not impact the Company’s financial statements since the Company does not have</w:t>
      </w:r>
      <w:r>
        <w:rPr>
          <w:rFonts w:ascii="Arial" w:cs="Arial" w:eastAsia="Arial" w:hAnsi="Arial"/>
          <w:sz w:val="18"/>
          <w:szCs w:val="18"/>
          <w:color w:val="auto"/>
        </w:rPr>
        <w:t xml:space="preserve"> </w:t>
      </w:r>
      <w:r>
        <w:rPr>
          <w:rFonts w:ascii="Arial" w:cs="Arial" w:eastAsia="Arial" w:hAnsi="Arial"/>
          <w:sz w:val="17"/>
          <w:szCs w:val="17"/>
          <w:color w:val="auto"/>
        </w:rPr>
        <w:t>any goodwill recorded. As of December 31, 2002 the Company had net intangible assets of $3,132,534 and amortization expense during the nine months ended December 31, 2002 was approximately $213,000. The estimated amortization expense for each of the next five years is approximately $284,000 per year.</w:t>
      </w:r>
    </w:p>
    <w:p>
      <w:pPr>
        <w:spacing w:after="0" w:line="190" w:lineRule="exact"/>
        <w:rPr>
          <w:rFonts w:ascii="Arial" w:cs="Arial" w:eastAsia="Arial" w:hAnsi="Arial"/>
          <w:sz w:val="18"/>
          <w:szCs w:val="18"/>
          <w:color w:val="auto"/>
        </w:rPr>
      </w:pPr>
    </w:p>
    <w:p>
      <w:pPr>
        <w:ind w:left="740" w:right="80"/>
        <w:spacing w:after="0" w:line="272" w:lineRule="auto"/>
        <w:rPr>
          <w:rFonts w:ascii="Arial" w:cs="Arial" w:eastAsia="Arial" w:hAnsi="Arial"/>
          <w:sz w:val="18"/>
          <w:szCs w:val="18"/>
          <w:color w:val="auto"/>
        </w:rPr>
      </w:pPr>
      <w:r>
        <w:rPr>
          <w:rFonts w:ascii="Arial" w:cs="Arial" w:eastAsia="Arial" w:hAnsi="Arial"/>
          <w:sz w:val="17"/>
          <w:szCs w:val="17"/>
          <w:color w:val="auto"/>
        </w:rPr>
        <w:t>In September 2001, the FASB issued SFAS No. 144, “Accounting for the Impairment or Disposal of Long-Lived Assets.” SFAS No. 144 requires that long-lived assets to be disposed of by sale, including discontinued operations, be measured at the lower of the carrying cost or fair value less cost to sell, whether reported in continuing operations or in discontinued operations. SFAS No. 144 also broadens the reporting of discontinued operations to include all components of an entity with operations that can be distinguished from the rest of the entity and that will be eliminated from the onging operations of the entity in a disposal transaction. The provisions of SFAS No. 144 are effective for financial statements issued for fiscal years beginning after December 15, 2001, and generally, are to be applied prospectively. The Company’s adoption of SFAS No. 144 on April 1, 2002 did not have an impact on the Company’s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40" w:right="140" w:hanging="720"/>
        <w:spacing w:after="0" w:line="26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Each segment is responsible for the sales, marketing and development of its products and services. The segments do not have separate accounting, administration, customer service or purchasing functions.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180" w:type="dxa"/>
            <w:vAlign w:val="bottom"/>
          </w:tcPr>
          <w:p>
            <w:pPr>
              <w:spacing w:after="0"/>
              <w:rPr>
                <w:sz w:val="14"/>
                <w:szCs w:val="14"/>
                <w:color w:val="auto"/>
              </w:rPr>
            </w:pPr>
          </w:p>
        </w:tc>
        <w:tc>
          <w:tcPr>
            <w:tcW w:w="13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WATER</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TREATMENT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THREE MONTHS ENDED DECEMBER 31, 2002</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Sales</w:t>
            </w:r>
          </w:p>
        </w:tc>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16,551,720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7,780,231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24,331,951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2,275,539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6,290,581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1,485,441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1,226,432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2,711,873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THREE MONTHS ENDED DECEMBER 31, 2001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5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18,133,405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7,077,226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25,210,631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3,980,546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1,978,829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5,959,375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1,056,805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2,449,281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NINE MONTHS ENDED DECEMBER 31, 2002</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Sales</w:t>
            </w:r>
          </w:p>
        </w:tc>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50,539,576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28,711,587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79,251,163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12,353,991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9,650,271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5,048,467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5,685,863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10,734,330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NINE MONTHS ENDED DECEMBER 31, 2001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5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54,926,162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27,806,499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82,732,661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11,401,292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8,411,912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19,813,204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5,096,905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8,701,464</w:t>
            </w:r>
          </w:p>
        </w:tc>
        <w:tc>
          <w:tcPr>
            <w:tcW w:w="0" w:type="dxa"/>
            <w:vAlign w:val="bottom"/>
          </w:tcPr>
          <w:p>
            <w:pPr>
              <w:spacing w:after="0"/>
              <w:rPr>
                <w:sz w:val="1"/>
                <w:szCs w:val="1"/>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1"/>
          </w:tcPr>
          <w:p>
            <w:pPr>
              <w:jc w:val="right"/>
              <w:ind w:right="120"/>
              <w:spacing w:after="0"/>
              <w:rPr>
                <w:sz w:val="20"/>
                <w:szCs w:val="20"/>
                <w:color w:val="auto"/>
              </w:rPr>
            </w:pPr>
            <w:r>
              <w:rPr>
                <w:rFonts w:ascii="Arial" w:cs="Arial" w:eastAsia="Arial" w:hAnsi="Arial"/>
                <w:sz w:val="18"/>
                <w:szCs w:val="18"/>
                <w:color w:val="auto"/>
                <w:w w:val="99"/>
              </w:rPr>
              <w:t>MANAGEMENT’S DISCUSSION AND ANALYSIS OF FINANCIAL CONDITION AND RESULTS OF OPERATIONS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4" w:name="page5"/>
    <w:bookmarkEnd w:id="4"/>
    <w:p>
      <w:pPr>
        <w:ind w:right="20"/>
        <w:spacing w:after="0" w:line="255" w:lineRule="auto"/>
        <w:rPr>
          <w:sz w:val="20"/>
          <w:szCs w:val="20"/>
          <w:color w:val="auto"/>
        </w:rPr>
      </w:pPr>
      <w:r>
        <w:rPr>
          <w:rFonts w:ascii="Arial" w:cs="Arial" w:eastAsia="Arial" w:hAnsi="Arial"/>
          <w:sz w:val="18"/>
          <w:szCs w:val="18"/>
          <w:color w:val="auto"/>
        </w:rPr>
        <w:t xml:space="preserve">THE INFORMATION CONTAINED IN THIS FORM 10-Q INCLUDES FORWARD-LOOKING </w:t>
      </w:r>
      <w:r>
        <w:rPr>
          <w:rFonts w:ascii="Arial" w:cs="Arial" w:eastAsia="Arial" w:hAnsi="Arial"/>
          <w:sz w:val="17"/>
          <w:szCs w:val="17"/>
          <w:color w:val="auto"/>
        </w:rPr>
        <w:t>STATEMENTS AS DEFINED IN</w:t>
      </w:r>
      <w:r>
        <w:rPr>
          <w:rFonts w:ascii="Arial" w:cs="Arial" w:eastAsia="Arial" w:hAnsi="Arial"/>
          <w:sz w:val="18"/>
          <w:szCs w:val="18"/>
          <w:color w:val="auto"/>
        </w:rPr>
        <w:t xml:space="preserve"> SECTION 21E OF THE SECURITIES EXCHANGE ACT OF 1934, AS AMENDED. FORWARD-LOOKING INFORMATION OR STATEMENTS INCLUDE STATEMENTS 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18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Sales decreased $878,680, or 3.5%, in the three months ended December 31, 2002, and $3,481,498, or 4.2%, in the nine months ended December 31, 2002 as compared to the respective periods in 2001. The Industrial segment decreased $1,581,685 and $4,386,586, respectively, in the three and nine-month periods ended December 31, 2002 as compared to the respective periods in 2001. These decreases were mainly attributable to selling price decreases of a single, large-volume product (caustic soda), which was partially offset by increased sales volumes in several other product lines. The Water Treatment segment sales increased $703,005 in the three month period ended December 31, 2002 as compared to the comparable period one year ago and had an increase of $905,088 in the nine months ended December 31, 2002 as compared to the nine months ended December 31, 2001. These increases are due primarily to increased sales volumes and, to a lesser extent, selling price increases.</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Gross margin, as a percentage of sales, for the three and nine months ended December 31, 2002 was 25.9% and 27.8%, respectively, compared to 23.6% and 23.9%, respectively, for the comparable periods in 2001. For the Industrial segment, gross margin, as a percentage of sales, was 24.3% for the three months ended December 31, 2002 compared to 22.0% in the prior year and 24.4% for the nine months ended December 31, 2002 compared to 20.8% for the comparable period in 2001. These increases are mainly due to improved margins in most product lines, including caustic soda. Due to the large quantities of caustic soda inventory that are maintained to meet customer requirements combined with the normal price fluctuations of this product, which are expected to continue in future periods, the gross margin and gross margin percentage will vary. Gross margin, as a percentage of sales, for the Water Treatment segment was 29.2% for the three months ended December 31, 2002 compared to 28.0% in the comparable period of 2001 and 33.6% for the nine-month period ended December 31, 2002 compared to 30.3% for the comparable period of 2001. These increases are primarily attributable to the fluctuations in caustic soda prices mentioned above and to increased sales in product lines that have a higher gross margin percentage.</w:t>
      </w:r>
    </w:p>
    <w:p>
      <w:pPr>
        <w:spacing w:after="0" w:line="16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Selling, general and administrative expenses for the three and nine month periods ended December 31, 2002 increased 2.0% and 1.4% respectively, as compared to the comparable periods in 2001. Selling, general and administrative expenses are expected to remain at similar levels for the remainder of fiscal 2003 as these expenses, excluding employee compensation and related benefits, are relatively fixed in nature and vary only slightly with sales fluctuations.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income increased during the three and nine-month periods ended December 31, 2002 as compared to the same respective periods in 2001. The increases were primarily due to fluctuations in cash available for investment and higher returns on the Company’s cash equivalents and available for sale securities, which consist primarily of money market accounts, municipal bonds, U.S. government agency securities, mutual funds, and investment contracts with high-rated, stable insurance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effective income tax rate was 37.0% for the three-month periods ended December 31, 2002 and 2001 and was 37.0% for the nine-month period ended December 31, 2002 compared to 32.2% for the nine-month period ended December 31, 2001. The decrease during the nine-month period ended December 31, 2001 was due to changes in state apportionment factors and a deduction for dividends paid on allocated shares held in the Employee Stock Ownership Plan and Trust.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nine-month period ended December 31, 2002, cash provided by operations was $10,755,016 compared to $3,614,120 for the nine-month period ended December 31, 2001. This increase was due primarily to fluctuations in inventory values and quantities, timing of retirement plan payments and the increase in net income.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and investments available-for-sale increased by $6,197,459 from March 31, 2002 to $20,708,102 as of December 31, 2002. The increase was primarily attributable to cash generated by operations in excess of capital expenditures and financing uses. Cash equivalents consist of money market accounts at a financial institution. Investments consist of investment contracts with high-rated,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stable insurance companies, marketable securities consisting of variable rate municipal bonds, U.S. government agency securities and mutual funds carried at fair value. Investments are highly liquid and are available upon demand generally with only a minor penalty.</w:t>
      </w:r>
    </w:p>
    <w:p>
      <w:pPr>
        <w:sectPr>
          <w:pgSz w:w="11900" w:h="16838" w:orient="portrait"/>
          <w:cols w:equalWidth="0" w:num="1">
            <w:col w:w="11400"/>
          </w:cols>
          <w:pgMar w:left="240" w:top="125" w:right="259" w:bottom="0" w:gutter="0" w:footer="0" w:header="0"/>
        </w:sectPr>
      </w:pPr>
    </w:p>
    <w:bookmarkStart w:id="5" w:name="page6"/>
    <w:bookmarkEnd w:id="5"/>
    <w:p>
      <w:pPr>
        <w:ind w:right="160"/>
        <w:spacing w:after="0" w:line="279" w:lineRule="auto"/>
        <w:rPr>
          <w:sz w:val="20"/>
          <w:szCs w:val="20"/>
          <w:color w:val="auto"/>
        </w:rPr>
      </w:pPr>
      <w:r>
        <w:rPr>
          <w:rFonts w:ascii="Arial" w:cs="Arial" w:eastAsia="Arial" w:hAnsi="Arial"/>
          <w:sz w:val="17"/>
          <w:szCs w:val="17"/>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obtain debt financing on favorable terms.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plans to continue to invest excess cash in conservative investments.</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Other than as discussed above, management is not aware of any matters that have materially affected the first nine months of fiscal 2003, or are expected to materially affect future periods, nor is management aware of other matters not affecting this period that are expected to materially affect future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MARKET RISK</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At December 31, 2002, the Company had an investment portfolio of fixed income securities of $14,135,971 and mutual funds of $5,812,068, excluding $2,162,169 of those classified as cash and cash equivalents and variable rate securities.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cash flows, or the amount ultimately realized on the investment. The value of the mutual funds, like all mutual funds, may increase or decrease due to market volatility. The Company intends to continue to hold the mutual funds until it has a need to liquidate the investments. The Company does not anticipate a need to liquidate the investments in the foreseeable future and, therefore, does not expect a material adverse impact on net income, cash flows, or the amount ultimately realized on the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Accounting policies whose application may have a significant effect on the reported results of operations and financial position of the Company, and that can require judgments by management that affect their application, include Statement of Financial Accounting Standards (SFAS) No. 5, “Accounting for Contingencies” and SFAS No. 144, “Accounting for the Impairment or Disposal of Long-Lived Assets.” SFAS No. 5 requires management judgments regarding the probability and estimated amount of possible future contingent liabilities, including legal matters. SFAS No. 144 requires judgments regarding future operating or disposition plans for marginally performing assets and estimates of expected realizable values for assets to be sold.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accounting policies that are significant to the Company include the following:</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Revenue Recognition – The Company recognizes revenue when the product has been shipped to the customer if there is evidence that the customer has agreed to purchase the products, delivery and performance has occurred, the price and terms of sale are fixed and collection of the receivable is expected.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Inventories – Inventories are valued at the lower of cost or market. On a quarterly basis, management assesses the inventory quantities on hand to estimated future usage and sales and, if necessary, writes down the value of inventory deemed obsolete or excess to market.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Property, Plant and Equipment – Property, plant and equipment are stated at cost and depreciated over the lives of the assets using both the straight-line and declining balance methods.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policies for these matters, which are described in Note 1 to the financial statements in the Company’s Report on Form 10-KT for the six-month transitional period ended March 31, 2002 filed with the Securities and Exchange Commission on June 27, 2002, are in accordance with generally accepted accounting principles. Management believes that their application results in a fair presentation in the financial statements of the Company’s operating results and financial position.</w:t>
      </w:r>
    </w:p>
    <w:p>
      <w:pPr>
        <w:spacing w:after="0" w:line="18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have been no material changes in market risk during the quarter ended December 31, 2002. For additional information, refer to Item 7A in the Company's Report on Form 10-KT for the six-month transitional period ended March 31, 2002.</w:t>
      </w:r>
    </w:p>
    <w:p>
      <w:pPr>
        <w:spacing w:after="0" w:line="170"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have evaluated the effectiveness of the design and operation of our disclosure controls and procedures (as defined in Rules 13a-14 and 15d-14 under the Securities Exchange Act of 1934) within 90 days of the filing date of this quarterly report, and, based on their evaluation, our principal executive officer and principal financial officer have concluded that these controls and procedures are effective. There were no significant changes in our internal controls or in other factors that could significantly affect these controls subsequent to the date of their evaluation.</w:t>
      </w:r>
    </w:p>
    <w:p>
      <w:pPr>
        <w:spacing w:after="0" w:line="1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w:t>
      </w:r>
    </w:p>
    <w:p>
      <w:pPr>
        <w:sectPr>
          <w:pgSz w:w="11900" w:h="16838" w:orient="portrait"/>
          <w:cols w:equalWidth="0" w:num="1">
            <w:col w:w="11380"/>
          </w:cols>
          <w:pgMar w:left="240" w:top="341" w:right="279" w:bottom="0" w:gutter="0" w:footer="0" w:header="0"/>
        </w:sectPr>
      </w:pPr>
    </w:p>
    <w:bookmarkStart w:id="6" w:name="page7"/>
    <w:bookmarkEnd w:id="6"/>
    <w:p>
      <w:pPr>
        <w:spacing w:after="0" w:line="308" w:lineRule="auto"/>
        <w:rPr>
          <w:sz w:val="20"/>
          <w:szCs w:val="20"/>
          <w:color w:val="auto"/>
        </w:rPr>
      </w:pPr>
      <w:r>
        <w:rPr>
          <w:rFonts w:ascii="Arial" w:cs="Arial" w:eastAsia="Arial" w:hAnsi="Arial"/>
          <w:sz w:val="17"/>
          <w:szCs w:val="17"/>
          <w:color w:val="auto"/>
        </w:rPr>
        <w:t>information required to be disclosed by us in the reports that we file under the Exchange Act is accumulated and communicated to our management, including our principal executive officer and principal financial officer, as appropriate to allow timely decisions regarding required disclosure.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pacing w:after="0" w:line="225" w:lineRule="exact"/>
        <w:rPr>
          <w:sz w:val="20"/>
          <w:szCs w:val="20"/>
          <w:color w:val="auto"/>
        </w:rPr>
      </w:pPr>
    </w:p>
    <w:p>
      <w:pPr>
        <w:ind w:left="560" w:hanging="552"/>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Exhibit 99.1</w:t>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Exhibit 99.2</w:t>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Marvin E. Dee, Vice President,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-130810</wp:posOffset>
            </wp:positionV>
            <wp:extent cx="41592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Financial Officer, Secretary,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00" w:lineRule="exact"/>
        <w:rPr>
          <w:sz w:val="20"/>
          <w:szCs w:val="20"/>
          <w:color w:val="auto"/>
        </w:rPr>
      </w:pPr>
    </w:p>
    <w:p>
      <w:pPr>
        <w:spacing w:after="0" w:line="241" w:lineRule="exact"/>
        <w:rPr>
          <w:sz w:val="20"/>
          <w:szCs w:val="20"/>
          <w:color w:val="auto"/>
        </w:rPr>
      </w:pPr>
    </w:p>
    <w:p>
      <w:pPr>
        <w:ind w:left="1180" w:hanging="835"/>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left="1180" w:right="60" w:hanging="835"/>
        <w:spacing w:after="0" w:line="26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1180" w:right="400" w:hanging="835"/>
        <w:spacing w:after="0" w:line="26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1180" w:right="120" w:hanging="835"/>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70" w:lineRule="exact"/>
        <w:rPr>
          <w:rFonts w:ascii="Arial" w:cs="Arial" w:eastAsia="Arial" w:hAnsi="Arial"/>
          <w:sz w:val="18"/>
          <w:szCs w:val="18"/>
          <w:color w:val="auto"/>
        </w:rPr>
      </w:pPr>
    </w:p>
    <w:p>
      <w:pPr>
        <w:ind w:left="1180" w:right="380" w:hanging="349"/>
        <w:spacing w:after="0" w:line="264" w:lineRule="auto"/>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180" w:right="320" w:hanging="349"/>
        <w:spacing w:after="0" w:line="277" w:lineRule="auto"/>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70" w:lineRule="exact"/>
        <w:rPr>
          <w:rFonts w:ascii="Arial" w:cs="Arial" w:eastAsia="Arial" w:hAnsi="Arial"/>
          <w:sz w:val="18"/>
          <w:szCs w:val="18"/>
          <w:color w:val="auto"/>
        </w:rPr>
      </w:pPr>
    </w:p>
    <w:p>
      <w:pPr>
        <w:ind w:left="1180" w:right="40" w:hanging="349"/>
        <w:spacing w:after="0" w:line="277" w:lineRule="auto"/>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1180" w:right="280" w:hanging="835"/>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the registrant’s board of directors (or persons performing the equivalent function):</w:t>
      </w:r>
    </w:p>
    <w:p>
      <w:pPr>
        <w:spacing w:after="0" w:line="170" w:lineRule="exact"/>
        <w:rPr>
          <w:rFonts w:ascii="Arial" w:cs="Arial" w:eastAsia="Arial" w:hAnsi="Arial"/>
          <w:sz w:val="18"/>
          <w:szCs w:val="18"/>
          <w:color w:val="auto"/>
        </w:rPr>
      </w:pPr>
    </w:p>
    <w:p>
      <w:pPr>
        <w:ind w:left="1180" w:hanging="349"/>
        <w:spacing w:after="0" w:line="342" w:lineRule="auto"/>
        <w:tabs>
          <w:tab w:leader="none" w:pos="11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1180" w:hanging="349"/>
        <w:spacing w:after="0"/>
        <w:tabs>
          <w:tab w:leader="none" w:pos="11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w:t>
      </w:r>
    </w:p>
    <w:p>
      <w:pPr>
        <w:sectPr>
          <w:pgSz w:w="11900" w:h="16838" w:orient="portrait"/>
          <w:cols w:equalWidth="0" w:num="1">
            <w:col w:w="11400"/>
          </w:cols>
          <w:pgMar w:left="240" w:top="125" w:right="259" w:bottom="0" w:gutter="0" w:footer="0" w:header="0"/>
        </w:sectPr>
      </w:pPr>
    </w:p>
    <w:bookmarkStart w:id="7" w:name="page8"/>
    <w:bookmarkEnd w:id="7"/>
    <w:p>
      <w:pPr>
        <w:ind w:left="1180"/>
        <w:spacing w:after="0"/>
        <w:rPr>
          <w:sz w:val="20"/>
          <w:szCs w:val="20"/>
          <w:color w:val="auto"/>
        </w:rPr>
      </w:pPr>
      <w:r>
        <w:rPr>
          <w:rFonts w:ascii="Arial" w:cs="Arial" w:eastAsia="Arial" w:hAnsi="Arial"/>
          <w:sz w:val="18"/>
          <w:szCs w:val="18"/>
          <w:color w:val="auto"/>
        </w:rPr>
        <w:t>controls; and</w:t>
      </w:r>
    </w:p>
    <w:p>
      <w:pPr>
        <w:spacing w:after="0" w:line="225" w:lineRule="exact"/>
        <w:rPr>
          <w:sz w:val="20"/>
          <w:szCs w:val="20"/>
          <w:color w:val="auto"/>
        </w:rPr>
      </w:pPr>
    </w:p>
    <w:p>
      <w:pPr>
        <w:ind w:left="1180" w:right="60" w:hanging="835"/>
        <w:spacing w:after="0" w:line="26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14, 2003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1180" w:hanging="835"/>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left="1180" w:right="60" w:hanging="835"/>
        <w:spacing w:after="0" w:line="264"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1180" w:right="400" w:hanging="835"/>
        <w:spacing w:after="0" w:line="264"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1180" w:right="120" w:hanging="835"/>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70" w:lineRule="exact"/>
        <w:rPr>
          <w:rFonts w:ascii="Arial" w:cs="Arial" w:eastAsia="Arial" w:hAnsi="Arial"/>
          <w:sz w:val="18"/>
          <w:szCs w:val="18"/>
          <w:color w:val="auto"/>
        </w:rPr>
      </w:pPr>
    </w:p>
    <w:p>
      <w:pPr>
        <w:ind w:left="1180" w:right="380" w:hanging="349"/>
        <w:spacing w:after="0" w:line="264"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180" w:right="320" w:hanging="349"/>
        <w:spacing w:after="0" w:line="277"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70" w:lineRule="exact"/>
        <w:rPr>
          <w:rFonts w:ascii="Arial" w:cs="Arial" w:eastAsia="Arial" w:hAnsi="Arial"/>
          <w:sz w:val="18"/>
          <w:szCs w:val="18"/>
          <w:color w:val="auto"/>
        </w:rPr>
      </w:pPr>
    </w:p>
    <w:p>
      <w:pPr>
        <w:ind w:left="1180" w:right="40" w:hanging="349"/>
        <w:spacing w:after="0" w:line="277"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1180" w:right="280" w:hanging="835"/>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the registrant’s board of directors (or persons performing the equivalent function):</w:t>
      </w:r>
    </w:p>
    <w:p>
      <w:pPr>
        <w:spacing w:after="0" w:line="170" w:lineRule="exact"/>
        <w:rPr>
          <w:rFonts w:ascii="Arial" w:cs="Arial" w:eastAsia="Arial" w:hAnsi="Arial"/>
          <w:sz w:val="18"/>
          <w:szCs w:val="18"/>
          <w:color w:val="auto"/>
        </w:rPr>
      </w:pPr>
    </w:p>
    <w:p>
      <w:pPr>
        <w:ind w:left="1180" w:hanging="349"/>
        <w:spacing w:after="0" w:line="342" w:lineRule="auto"/>
        <w:tabs>
          <w:tab w:leader="none" w:pos="11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1180" w:right="420" w:hanging="349"/>
        <w:spacing w:after="0" w:line="277"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70" w:lineRule="exact"/>
        <w:rPr>
          <w:rFonts w:ascii="Arial" w:cs="Arial" w:eastAsia="Arial" w:hAnsi="Arial"/>
          <w:sz w:val="18"/>
          <w:szCs w:val="18"/>
          <w:color w:val="auto"/>
        </w:rPr>
      </w:pPr>
    </w:p>
    <w:p>
      <w:pPr>
        <w:ind w:left="1180" w:right="60" w:hanging="835"/>
        <w:spacing w:after="0" w:line="264"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14, 2003</w:t>
      </w:r>
    </w:p>
    <w:p>
      <w:pPr>
        <w:sectPr>
          <w:pgSz w:w="11900" w:h="16838" w:orient="portrait"/>
          <w:cols w:equalWidth="0" w:num="1">
            <w:col w:w="11400"/>
          </w:cols>
          <w:pgMar w:left="240" w:top="125" w:right="25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2002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2002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2019-12-13T01:51:38Z</dcterms:created>
  <dcterms:modified xsi:type="dcterms:W3CDTF">2019-12-13T01:51:38Z</dcterms:modified>
</cp:coreProperties>
</file>