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619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268605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spacing w:after="0" w:line="460" w:lineRule="exact"/>
        <w:rPr>
          <w:sz w:val="20"/>
          <w:szCs w:val="20"/>
          <w:color w:val="auto"/>
        </w:rPr>
      </w:pPr>
      <w:r>
        <w:rPr>
          <w:rFonts w:ascii="Arial" w:cs="Arial" w:eastAsia="Arial" w:hAnsi="Arial"/>
          <w:sz w:val="40"/>
          <w:szCs w:val="40"/>
          <w:b w:val="1"/>
          <w:bCs w:val="1"/>
          <w:color w:val="auto"/>
        </w:rPr>
        <w:t>FORM 8</w:t>
      </w:r>
      <w:r>
        <w:rPr>
          <w:rFonts w:ascii="MS PGothic" w:cs="MS PGothic" w:eastAsia="MS PGothic" w:hAnsi="MS PGothic"/>
          <w:sz w:val="40"/>
          <w:szCs w:val="40"/>
          <w:b w:val="1"/>
          <w:bCs w:val="1"/>
          <w:color w:val="auto"/>
        </w:rPr>
        <w:t>‑</w:t>
      </w:r>
      <w:r>
        <w:rPr>
          <w:rFonts w:ascii="Arial" w:cs="Arial" w:eastAsia="Arial" w:hAnsi="Arial"/>
          <w:sz w:val="40"/>
          <w:szCs w:val="40"/>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147955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27,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Hawkins,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1040" w:type="dxa"/>
        <w:tblCellMar>
          <w:top w:w="0" w:type="dxa"/>
          <w:left w:w="0" w:type="dxa"/>
          <w:bottom w:w="0" w:type="dxa"/>
          <w:right w:w="0" w:type="dxa"/>
        </w:tblCellMar>
      </w:tblPr>
      <w:tr>
        <w:trPr>
          <w:trHeight w:val="256"/>
        </w:trPr>
        <w:tc>
          <w:tcPr>
            <w:tcW w:w="1820" w:type="dxa"/>
            <w:vAlign w:val="bottom"/>
          </w:tcPr>
          <w:p>
            <w:pPr>
              <w:jc w:val="center"/>
              <w:ind w:right="19"/>
              <w:spacing w:after="0"/>
              <w:rPr>
                <w:sz w:val="20"/>
                <w:szCs w:val="20"/>
                <w:color w:val="auto"/>
              </w:rPr>
            </w:pPr>
            <w:r>
              <w:rPr>
                <w:rFonts w:ascii="Arial" w:cs="Arial" w:eastAsia="Arial" w:hAnsi="Arial"/>
                <w:sz w:val="22"/>
                <w:szCs w:val="22"/>
                <w:b w:val="1"/>
                <w:bCs w:val="1"/>
                <w:color w:val="auto"/>
                <w:w w:val="90"/>
              </w:rPr>
              <w:t>Minnesota</w:t>
            </w:r>
          </w:p>
        </w:tc>
        <w:tc>
          <w:tcPr>
            <w:tcW w:w="4000" w:type="dxa"/>
            <w:vAlign w:val="bottom"/>
            <w:gridSpan w:val="2"/>
          </w:tcPr>
          <w:p>
            <w:pPr>
              <w:jc w:val="right"/>
              <w:ind w:right="810"/>
              <w:spacing w:after="0"/>
              <w:rPr>
                <w:sz w:val="20"/>
                <w:szCs w:val="20"/>
                <w:color w:val="auto"/>
              </w:rPr>
            </w:pPr>
            <w:r>
              <w:rPr>
                <w:rFonts w:ascii="Arial" w:cs="Arial" w:eastAsia="Arial" w:hAnsi="Arial"/>
                <w:sz w:val="22"/>
                <w:szCs w:val="22"/>
                <w:b w:val="1"/>
                <w:bCs w:val="1"/>
                <w:color w:val="auto"/>
              </w:rPr>
              <w:t>0-7647</w:t>
            </w:r>
          </w:p>
        </w:tc>
        <w:tc>
          <w:tcPr>
            <w:tcW w:w="500" w:type="dxa"/>
            <w:vAlign w:val="bottom"/>
          </w:tcPr>
          <w:p>
            <w:pPr>
              <w:spacing w:after="0"/>
              <w:rPr>
                <w:sz w:val="22"/>
                <w:szCs w:val="22"/>
                <w:color w:val="auto"/>
              </w:rPr>
            </w:pPr>
          </w:p>
        </w:tc>
        <w:tc>
          <w:tcPr>
            <w:tcW w:w="2800" w:type="dxa"/>
            <w:vAlign w:val="bottom"/>
          </w:tcPr>
          <w:p>
            <w:pPr>
              <w:jc w:val="right"/>
              <w:ind w:right="61"/>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1820" w:type="dxa"/>
            <w:vAlign w:val="bottom"/>
          </w:tcPr>
          <w:p>
            <w:pPr>
              <w:jc w:val="center"/>
              <w:ind w:right="19"/>
              <w:spacing w:after="0"/>
              <w:rPr>
                <w:sz w:val="20"/>
                <w:szCs w:val="20"/>
                <w:color w:val="auto"/>
              </w:rPr>
            </w:pPr>
            <w:r>
              <w:rPr>
                <w:rFonts w:ascii="Arial" w:cs="Arial" w:eastAsia="Arial" w:hAnsi="Arial"/>
                <w:sz w:val="18"/>
                <w:szCs w:val="18"/>
                <w:color w:val="auto"/>
                <w:w w:val="92"/>
              </w:rPr>
              <w:t>(State of Incorporation)</w:t>
            </w:r>
          </w:p>
        </w:tc>
        <w:tc>
          <w:tcPr>
            <w:tcW w:w="1700" w:type="dxa"/>
            <w:vAlign w:val="bottom"/>
          </w:tcPr>
          <w:p>
            <w:pPr>
              <w:spacing w:after="0"/>
              <w:rPr>
                <w:sz w:val="18"/>
                <w:szCs w:val="18"/>
                <w:color w:val="auto"/>
              </w:rPr>
            </w:pPr>
          </w:p>
        </w:tc>
        <w:tc>
          <w:tcPr>
            <w:tcW w:w="280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(Commission File Number)</w:t>
            </w:r>
          </w:p>
        </w:tc>
        <w:tc>
          <w:tcPr>
            <w:tcW w:w="2800" w:type="dxa"/>
            <w:vAlign w:val="bottom"/>
          </w:tcPr>
          <w:p>
            <w:pPr>
              <w:jc w:val="center"/>
              <w:ind w:left="1341"/>
              <w:spacing w:after="0"/>
              <w:rPr>
                <w:sz w:val="20"/>
                <w:szCs w:val="20"/>
                <w:color w:val="auto"/>
              </w:rPr>
            </w:pPr>
            <w:r>
              <w:rPr>
                <w:rFonts w:ascii="Arial" w:cs="Arial" w:eastAsia="Arial" w:hAnsi="Arial"/>
                <w:sz w:val="18"/>
                <w:szCs w:val="18"/>
                <w:color w:val="auto"/>
                <w:w w:val="92"/>
              </w:rPr>
              <w:t>(IRS Employer</w:t>
            </w:r>
          </w:p>
        </w:tc>
      </w:tr>
      <w:tr>
        <w:trPr>
          <w:trHeight w:val="230"/>
        </w:trPr>
        <w:tc>
          <w:tcPr>
            <w:tcW w:w="1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0" w:type="dxa"/>
            <w:vAlign w:val="bottom"/>
          </w:tcPr>
          <w:p>
            <w:pPr>
              <w:jc w:val="center"/>
              <w:ind w:left="1361"/>
              <w:spacing w:after="0"/>
              <w:rPr>
                <w:sz w:val="20"/>
                <w:szCs w:val="20"/>
                <w:color w:val="auto"/>
              </w:rPr>
            </w:pPr>
            <w:r>
              <w:rPr>
                <w:rFonts w:ascii="Arial" w:cs="Arial" w:eastAsia="Arial" w:hAnsi="Arial"/>
                <w:sz w:val="18"/>
                <w:szCs w:val="18"/>
                <w:color w:val="auto"/>
                <w:w w:val="95"/>
              </w:rPr>
              <w:t>Identification No.)</w:t>
            </w:r>
          </w:p>
        </w:tc>
      </w:tr>
      <w:tr>
        <w:trPr>
          <w:trHeight w:val="459"/>
        </w:trPr>
        <w:tc>
          <w:tcPr>
            <w:tcW w:w="6320" w:type="dxa"/>
            <w:vAlign w:val="bottom"/>
            <w:gridSpan w:val="4"/>
          </w:tcPr>
          <w:p>
            <w:pPr>
              <w:jc w:val="center"/>
              <w:ind w:right="860"/>
              <w:spacing w:after="0"/>
              <w:rPr>
                <w:sz w:val="20"/>
                <w:szCs w:val="20"/>
                <w:color w:val="auto"/>
              </w:rPr>
            </w:pPr>
            <w:r>
              <w:rPr>
                <w:rFonts w:ascii="Arial" w:cs="Arial" w:eastAsia="Arial" w:hAnsi="Arial"/>
                <w:sz w:val="22"/>
                <w:szCs w:val="22"/>
                <w:b w:val="1"/>
                <w:bCs w:val="1"/>
                <w:color w:val="auto"/>
                <w:w w:val="87"/>
              </w:rPr>
              <w:t>3100 East Hennepin Avenue</w:t>
            </w:r>
          </w:p>
        </w:tc>
        <w:tc>
          <w:tcPr>
            <w:tcW w:w="2800" w:type="dxa"/>
            <w:vAlign w:val="bottom"/>
          </w:tcPr>
          <w:p>
            <w:pPr>
              <w:spacing w:after="0"/>
              <w:rPr>
                <w:sz w:val="24"/>
                <w:szCs w:val="24"/>
                <w:color w:val="auto"/>
              </w:rPr>
            </w:pPr>
          </w:p>
        </w:tc>
      </w:tr>
      <w:tr>
        <w:trPr>
          <w:trHeight w:val="256"/>
        </w:trPr>
        <w:tc>
          <w:tcPr>
            <w:tcW w:w="1820" w:type="dxa"/>
            <w:vAlign w:val="bottom"/>
          </w:tcPr>
          <w:p>
            <w:pPr>
              <w:spacing w:after="0"/>
              <w:rPr>
                <w:sz w:val="22"/>
                <w:szCs w:val="22"/>
                <w:color w:val="auto"/>
              </w:rPr>
            </w:pPr>
          </w:p>
        </w:tc>
        <w:tc>
          <w:tcPr>
            <w:tcW w:w="4500" w:type="dxa"/>
            <w:vAlign w:val="bottom"/>
            <w:gridSpan w:val="3"/>
          </w:tcPr>
          <w:p>
            <w:pPr>
              <w:jc w:val="center"/>
              <w:ind w:right="2660"/>
              <w:spacing w:after="0"/>
              <w:rPr>
                <w:sz w:val="20"/>
                <w:szCs w:val="20"/>
                <w:color w:val="auto"/>
              </w:rPr>
            </w:pPr>
            <w:r>
              <w:rPr>
                <w:rFonts w:ascii="Arial" w:cs="Arial" w:eastAsia="Arial" w:hAnsi="Arial"/>
                <w:sz w:val="22"/>
                <w:szCs w:val="22"/>
                <w:b w:val="1"/>
                <w:bCs w:val="1"/>
                <w:color w:val="auto"/>
                <w:w w:val="92"/>
              </w:rPr>
              <w:t>Minneapolis, MN</w:t>
            </w:r>
          </w:p>
        </w:tc>
        <w:tc>
          <w:tcPr>
            <w:tcW w:w="2800" w:type="dxa"/>
            <w:vAlign w:val="bottom"/>
          </w:tcPr>
          <w:p>
            <w:pPr>
              <w:jc w:val="right"/>
              <w:ind w:right="301"/>
              <w:spacing w:after="0"/>
              <w:rPr>
                <w:sz w:val="20"/>
                <w:szCs w:val="20"/>
                <w:color w:val="auto"/>
              </w:rPr>
            </w:pPr>
            <w:r>
              <w:rPr>
                <w:rFonts w:ascii="Arial" w:cs="Arial" w:eastAsia="Arial" w:hAnsi="Arial"/>
                <w:sz w:val="22"/>
                <w:szCs w:val="22"/>
                <w:b w:val="1"/>
                <w:bCs w:val="1"/>
                <w:color w:val="auto"/>
              </w:rPr>
              <w:t>55413</w:t>
            </w:r>
          </w:p>
        </w:tc>
      </w:tr>
      <w:tr>
        <w:trPr>
          <w:trHeight w:val="230"/>
        </w:trPr>
        <w:tc>
          <w:tcPr>
            <w:tcW w:w="6320" w:type="dxa"/>
            <w:vAlign w:val="bottom"/>
            <w:gridSpan w:val="4"/>
          </w:tcPr>
          <w:p>
            <w:pPr>
              <w:jc w:val="center"/>
              <w:ind w:right="860"/>
              <w:spacing w:after="0"/>
              <w:rPr>
                <w:sz w:val="20"/>
                <w:szCs w:val="20"/>
                <w:color w:val="auto"/>
              </w:rPr>
            </w:pPr>
            <w:r>
              <w:rPr>
                <w:rFonts w:ascii="Arial" w:cs="Arial" w:eastAsia="Arial" w:hAnsi="Arial"/>
                <w:sz w:val="18"/>
                <w:szCs w:val="18"/>
                <w:color w:val="auto"/>
                <w:w w:val="92"/>
              </w:rPr>
              <w:t>(Address of Principal Executive Offices)</w:t>
            </w:r>
          </w:p>
        </w:tc>
        <w:tc>
          <w:tcPr>
            <w:tcW w:w="2800" w:type="dxa"/>
            <w:vAlign w:val="bottom"/>
          </w:tcPr>
          <w:p>
            <w:pPr>
              <w:jc w:val="center"/>
              <w:ind w:left="1341"/>
              <w:spacing w:after="0"/>
              <w:rPr>
                <w:sz w:val="20"/>
                <w:szCs w:val="20"/>
                <w:color w:val="auto"/>
              </w:rPr>
            </w:pPr>
            <w:r>
              <w:rPr>
                <w:rFonts w:ascii="Arial" w:cs="Arial" w:eastAsia="Arial" w:hAnsi="Arial"/>
                <w:sz w:val="18"/>
                <w:szCs w:val="18"/>
                <w:color w:val="auto"/>
                <w:w w:val="94"/>
              </w:rPr>
              <w:t>(Zip Code)</w:t>
            </w:r>
          </w:p>
        </w:tc>
      </w:tr>
      <w:tr>
        <w:trPr>
          <w:trHeight w:val="496"/>
        </w:trPr>
        <w:tc>
          <w:tcPr>
            <w:tcW w:w="6320" w:type="dxa"/>
            <w:vAlign w:val="bottom"/>
            <w:gridSpan w:val="4"/>
          </w:tcPr>
          <w:p>
            <w:pPr>
              <w:ind w:left="1560"/>
              <w:spacing w:after="0"/>
              <w:rPr>
                <w:sz w:val="20"/>
                <w:szCs w:val="20"/>
                <w:color w:val="auto"/>
              </w:rPr>
            </w:pPr>
            <w:r>
              <w:rPr>
                <w:rFonts w:ascii="Arial" w:cs="Arial" w:eastAsia="Arial" w:hAnsi="Arial"/>
                <w:sz w:val="22"/>
                <w:szCs w:val="22"/>
                <w:color w:val="auto"/>
                <w:w w:val="90"/>
              </w:rPr>
              <w:t>Registrant’s Telephone Number, Including Area Code</w:t>
            </w:r>
          </w:p>
        </w:tc>
        <w:tc>
          <w:tcPr>
            <w:tcW w:w="2800" w:type="dxa"/>
            <w:vAlign w:val="bottom"/>
          </w:tcPr>
          <w:p>
            <w:pPr>
              <w:jc w:val="right"/>
              <w:ind w:right="1241"/>
              <w:spacing w:after="0"/>
              <w:rPr>
                <w:sz w:val="20"/>
                <w:szCs w:val="20"/>
                <w:color w:val="auto"/>
              </w:rPr>
            </w:pPr>
            <w:r>
              <w:rPr>
                <w:rFonts w:ascii="Arial" w:cs="Arial" w:eastAsia="Arial" w:hAnsi="Arial"/>
                <w:sz w:val="22"/>
                <w:szCs w:val="22"/>
                <w:b w:val="1"/>
                <w:bCs w:val="1"/>
                <w:color w:val="auto"/>
                <w:w w:val="95"/>
              </w:rPr>
              <w:t>(612) 331-6910</w:t>
            </w:r>
          </w:p>
        </w:tc>
      </w:tr>
      <w:tr>
        <w:trPr>
          <w:trHeight w:val="162"/>
        </w:trPr>
        <w:tc>
          <w:tcPr>
            <w:tcW w:w="1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4"/>
          <w:szCs w:val="24"/>
          <w:color w:val="auto"/>
        </w:rPr>
      </w:pPr>
    </w:p>
    <w:p>
      <w:pPr>
        <w:ind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00" w:hanging="268"/>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00" w:hanging="268"/>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00" w:hanging="268"/>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00" w:hanging="268"/>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4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July 27, 2010, Hawkins, Inc. issued a press release announcing financial results for its fiscal 2011 first quarter ended June 30, 2010. A copy of the press release issued by the Registrant is furnished herewith as Exhibit 99 hereto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6" w:lineRule="exact"/>
        <w:rPr>
          <w:sz w:val="20"/>
          <w:szCs w:val="20"/>
          <w:color w:val="auto"/>
        </w:rPr>
      </w:pPr>
    </w:p>
    <w:p>
      <w:pPr>
        <w:ind w:left="700" w:hanging="50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Exhibit 99 - Press Release, dated July 27, 2010, announcing financial results of Hawkins, Inc. for its fiscal 2011 first quarter ended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781685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6380" w:val="left"/>
          <w:tab w:leader="none" w:pos="8240" w:val="left"/>
        </w:tabs>
        <w:rPr>
          <w:sz w:val="20"/>
          <w:szCs w:val="20"/>
          <w:color w:val="auto"/>
        </w:rPr>
      </w:pPr>
      <w:r>
        <w:rPr>
          <w:rFonts w:ascii="Arial" w:cs="Arial" w:eastAsia="Arial" w:hAnsi="Arial"/>
          <w:sz w:val="18"/>
          <w:szCs w:val="18"/>
          <w:color w:val="auto"/>
        </w:rPr>
        <w:t>Date: July 27,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3009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46"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Kathleen P. Pepski</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Index to Exhibits</w:t>
            </w:r>
          </w:p>
        </w:tc>
        <w:tc>
          <w:tcPr>
            <w:tcW w:w="5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74"/>
        </w:trPr>
        <w:tc>
          <w:tcPr>
            <w:tcW w:w="56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Exhibit</w:t>
            </w:r>
          </w:p>
        </w:tc>
        <w:tc>
          <w:tcPr>
            <w:tcW w:w="5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No.</w:t>
            </w:r>
          </w:p>
        </w:tc>
        <w:tc>
          <w:tcPr>
            <w:tcW w:w="5560" w:type="dxa"/>
            <w:vAlign w:val="bottom"/>
          </w:tcPr>
          <w:p>
            <w:pPr>
              <w:ind w:left="2360"/>
              <w:spacing w:after="0"/>
              <w:rPr>
                <w:sz w:val="20"/>
                <w:szCs w:val="20"/>
                <w:color w:val="auto"/>
              </w:rPr>
            </w:pPr>
            <w:r>
              <w:rPr>
                <w:rFonts w:ascii="Arial" w:cs="Arial" w:eastAsia="Arial" w:hAnsi="Arial"/>
                <w:sz w:val="18"/>
                <w:szCs w:val="18"/>
                <w:color w:val="auto"/>
              </w:rPr>
              <w:t>Description</w:t>
            </w:r>
          </w:p>
        </w:tc>
        <w:tc>
          <w:tcPr>
            <w:tcW w:w="5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6"/>
              </w:rPr>
              <w:t>Method of Filing</w:t>
            </w:r>
          </w:p>
        </w:tc>
        <w:tc>
          <w:tcPr>
            <w:tcW w:w="580" w:type="dxa"/>
            <w:vAlign w:val="bottom"/>
          </w:tcPr>
          <w:p>
            <w:pPr>
              <w:spacing w:after="0"/>
              <w:rPr>
                <w:sz w:val="20"/>
                <w:szCs w:val="20"/>
                <w:color w:val="auto"/>
              </w:rPr>
            </w:pPr>
          </w:p>
        </w:tc>
      </w:tr>
      <w:tr>
        <w:trPr>
          <w:trHeight w:val="438"/>
        </w:trPr>
        <w:tc>
          <w:tcPr>
            <w:tcW w:w="56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99</w:t>
            </w:r>
          </w:p>
        </w:tc>
        <w:tc>
          <w:tcPr>
            <w:tcW w:w="520" w:type="dxa"/>
            <w:vAlign w:val="bottom"/>
          </w:tcPr>
          <w:p>
            <w:pPr>
              <w:spacing w:after="0"/>
              <w:rPr>
                <w:sz w:val="24"/>
                <w:szCs w:val="24"/>
                <w:color w:val="auto"/>
              </w:rPr>
            </w:pPr>
          </w:p>
        </w:tc>
        <w:tc>
          <w:tcPr>
            <w:tcW w:w="5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Press Release, dated July 27, 2010, announcing financial results of</w:t>
            </w:r>
          </w:p>
        </w:tc>
        <w:tc>
          <w:tcPr>
            <w:tcW w:w="520" w:type="dxa"/>
            <w:vAlign w:val="bottom"/>
          </w:tcPr>
          <w:p>
            <w:pPr>
              <w:spacing w:after="0"/>
              <w:rPr>
                <w:sz w:val="24"/>
                <w:szCs w:val="24"/>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Electronic Transmission</w:t>
            </w:r>
          </w:p>
        </w:tc>
        <w:tc>
          <w:tcPr>
            <w:tcW w:w="58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60" w:type="dxa"/>
            <w:vAlign w:val="bottom"/>
          </w:tcPr>
          <w:p>
            <w:pPr>
              <w:ind w:left="100"/>
              <w:spacing w:after="0"/>
              <w:rPr>
                <w:sz w:val="20"/>
                <w:szCs w:val="20"/>
                <w:color w:val="auto"/>
              </w:rPr>
            </w:pPr>
            <w:r>
              <w:rPr>
                <w:rFonts w:ascii="Arial" w:cs="Arial" w:eastAsia="Arial" w:hAnsi="Arial"/>
                <w:sz w:val="18"/>
                <w:szCs w:val="18"/>
                <w:color w:val="auto"/>
              </w:rPr>
              <w:t>Hawkins, Inc. for its fiscal 2011 first quarter ended June 30, 2010.</w:t>
            </w:r>
          </w:p>
        </w:tc>
        <w:tc>
          <w:tcPr>
            <w:tcW w:w="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361"/>
        </w:trPr>
        <w:tc>
          <w:tcPr>
            <w:tcW w:w="5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1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00" w:type="dxa"/>
            <w:vAlign w:val="bottom"/>
          </w:tcPr>
          <w:p>
            <w:pPr>
              <w:spacing w:after="0"/>
              <w:rPr>
                <w:sz w:val="20"/>
                <w:szCs w:val="20"/>
                <w:color w:val="auto"/>
              </w:rPr>
            </w:pPr>
            <w:r>
              <w:rPr>
                <w:rFonts w:ascii="Arial" w:cs="Arial" w:eastAsia="Arial" w:hAnsi="Arial"/>
                <w:sz w:val="25"/>
                <w:szCs w:val="25"/>
                <w:b w:val="1"/>
                <w:bCs w:val="1"/>
                <w:color w:val="auto"/>
              </w:rPr>
              <w:t>FOR IMMEDIATE RELEASE</w:t>
            </w:r>
          </w:p>
        </w:tc>
        <w:tc>
          <w:tcPr>
            <w:tcW w:w="5500" w:type="dxa"/>
            <w:vAlign w:val="bottom"/>
            <w:gridSpan w:val="3"/>
          </w:tcPr>
          <w:p>
            <w:pPr>
              <w:ind w:left="2040"/>
              <w:spacing w:after="0"/>
              <w:rPr>
                <w:sz w:val="20"/>
                <w:szCs w:val="20"/>
                <w:color w:val="auto"/>
              </w:rPr>
            </w:pPr>
            <w:r>
              <w:rPr>
                <w:rFonts w:ascii="Arial" w:cs="Arial" w:eastAsia="Arial" w:hAnsi="Arial"/>
                <w:sz w:val="18"/>
                <w:szCs w:val="18"/>
                <w:color w:val="auto"/>
              </w:rPr>
              <w:t>Contacts:   John R. Hawkins</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56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color w:val="auto"/>
              </w:rPr>
              <w:t>July 27, 2010</w:t>
            </w:r>
          </w:p>
        </w:tc>
        <w:tc>
          <w:tcPr>
            <w:tcW w:w="5360" w:type="dxa"/>
            <w:vAlign w:val="bottom"/>
            <w:gridSpan w:val="2"/>
          </w:tcPr>
          <w:p>
            <w:pPr>
              <w:ind w:left="2940"/>
              <w:spacing w:after="0"/>
              <w:rPr>
                <w:sz w:val="20"/>
                <w:szCs w:val="20"/>
                <w:color w:val="auto"/>
              </w:rPr>
            </w:pPr>
            <w:r>
              <w:rPr>
                <w:rFonts w:ascii="Arial" w:cs="Arial" w:eastAsia="Arial" w:hAnsi="Arial"/>
                <w:sz w:val="18"/>
                <w:szCs w:val="18"/>
                <w:color w:val="auto"/>
              </w:rPr>
              <w:t>612/617-8532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40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2560" w:type="dxa"/>
            <w:vAlign w:val="bottom"/>
            <w:gridSpan w:val="2"/>
            <w:vMerge w:val="restart"/>
          </w:tcPr>
          <w:p>
            <w:pPr>
              <w:spacing w:after="0" w:line="190" w:lineRule="exact"/>
              <w:rPr>
                <w:sz w:val="20"/>
                <w:szCs w:val="20"/>
                <w:color w:val="auto"/>
              </w:rPr>
            </w:pPr>
            <w:r>
              <w:rPr>
                <w:rFonts w:ascii="Arial" w:cs="Arial" w:eastAsia="Arial" w:hAnsi="Arial"/>
                <w:sz w:val="18"/>
                <w:szCs w:val="18"/>
                <w:color w:val="auto"/>
                <w:w w:val="97"/>
              </w:rPr>
              <w:t>John.Hawkins@HawkinsInc.com</w:t>
            </w:r>
          </w:p>
        </w:tc>
        <w:tc>
          <w:tcPr>
            <w:tcW w:w="0" w:type="dxa"/>
            <w:vAlign w:val="bottom"/>
          </w:tcPr>
          <w:p>
            <w:pPr>
              <w:spacing w:after="0"/>
              <w:rPr>
                <w:sz w:val="1"/>
                <w:szCs w:val="1"/>
                <w:color w:val="auto"/>
              </w:rPr>
            </w:pPr>
          </w:p>
        </w:tc>
      </w:tr>
      <w:tr>
        <w:trPr>
          <w:trHeight w:val="109"/>
        </w:trPr>
        <w:tc>
          <w:tcPr>
            <w:tcW w:w="5400" w:type="dxa"/>
            <w:vAlign w:val="bottom"/>
            <w:vMerge w:val="restart"/>
          </w:tcPr>
          <w:p>
            <w:pPr>
              <w:spacing w:after="0"/>
              <w:rPr>
                <w:sz w:val="20"/>
                <w:szCs w:val="20"/>
                <w:color w:val="auto"/>
              </w:rPr>
            </w:pPr>
            <w:r>
              <w:rPr>
                <w:rFonts w:ascii="Arial" w:cs="Arial" w:eastAsia="Arial" w:hAnsi="Arial"/>
                <w:sz w:val="18"/>
                <w:szCs w:val="18"/>
                <w:color w:val="auto"/>
              </w:rPr>
              <w:t>Hawkins, Inc.</w:t>
            </w:r>
          </w:p>
        </w:tc>
        <w:tc>
          <w:tcPr>
            <w:tcW w:w="294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40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24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2940" w:type="dxa"/>
            <w:vAlign w:val="bottom"/>
          </w:tcPr>
          <w:p>
            <w:pPr>
              <w:spacing w:after="0"/>
              <w:rPr>
                <w:sz w:val="18"/>
                <w:szCs w:val="18"/>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135"/>
        </w:trPr>
        <w:tc>
          <w:tcPr>
            <w:tcW w:w="5400" w:type="dxa"/>
            <w:vAlign w:val="bottom"/>
            <w:vMerge w:val="restart"/>
          </w:tcPr>
          <w:p>
            <w:pPr>
              <w:spacing w:after="0"/>
              <w:rPr>
                <w:sz w:val="20"/>
                <w:szCs w:val="20"/>
                <w:color w:val="auto"/>
              </w:rPr>
            </w:pPr>
            <w:r>
              <w:rPr>
                <w:rFonts w:ascii="Arial" w:cs="Arial" w:eastAsia="Arial" w:hAnsi="Arial"/>
                <w:sz w:val="18"/>
                <w:szCs w:val="18"/>
                <w:color w:val="auto"/>
              </w:rPr>
              <w:t>Minneapolis, MN 55413</w:t>
            </w:r>
          </w:p>
        </w:tc>
        <w:tc>
          <w:tcPr>
            <w:tcW w:w="2940" w:type="dxa"/>
            <w:vAlign w:val="bottom"/>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40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5360" w:type="dxa"/>
            <w:vAlign w:val="bottom"/>
            <w:gridSpan w:val="2"/>
          </w:tcPr>
          <w:p>
            <w:pPr>
              <w:ind w:left="2940"/>
              <w:spacing w:after="0"/>
              <w:rPr>
                <w:sz w:val="20"/>
                <w:szCs w:val="20"/>
                <w:color w:val="auto"/>
              </w:rPr>
            </w:pPr>
            <w:r>
              <w:rPr>
                <w:rFonts w:ascii="Arial" w:cs="Arial" w:eastAsia="Arial" w:hAnsi="Arial"/>
                <w:sz w:val="18"/>
                <w:szCs w:val="18"/>
                <w:color w:val="auto"/>
              </w:rPr>
              <w:t>612/617-8571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5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Kathleen.Pepski@HawkinsInc.com</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FIRST QUARTER FISCAL 2011 RESULTS</w:t>
      </w:r>
    </w:p>
    <w:p>
      <w:pPr>
        <w:spacing w:after="0" w:line="20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Minneapolis, MN, July 27, 2010 – Hawkins, Inc. (Nasdaq: HWKN) today announced results for its fiscal 2011 first quarter ended June 30, 2010. Sales of $74.7 million for the period represented an increase of 1.5% from $73.6 million in sales for the first quarter of fiscal 2010. Net income for the quarter was $7.3 million, or $0.71 per share, compared to net income of $6.1 million, or $0.59 per share in the same period of the prior year.</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Chief Executive Officer, John R. Hawkins, commented, “Our Industrial segment drove the Company’s profitability increase year-over-year, with results that were consistent with the fourth quarter of the previous fiscal year. Commodity prices have stabilized in the last several months, whereas a year ago we were selling higher cost inventory at a time when market prices were rapidly declining. Our Water Treatment segment continues to grow even with the costs of additional infrastructure put in place to support our growth strategies for this segment. We anticipate that continued stability in raw material costs and a slower economic growth environment will heighten competitive pricing pressure for the remainder of fiscal 2011.”</w:t>
      </w:r>
    </w:p>
    <w:p>
      <w:pPr>
        <w:spacing w:after="0" w:line="1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 the quarter ended June 30, 2010, Industrial segment sales increased $0.1 million, or 0.2%, to $49.8 million as compared to the same period in the prior year. Reduced selling prices in response to lower raw material costs offset the impact of increased sales across most product lines. Water Treatment segment sales for the quarter ended June 30, 2010 were $24.9 million, a 4.2% increase over last year’s first quarter sales of $23.9 million. The increase was primarily due to increased sales of manufactured and specialty chemical products, partially offset by lower selling prices due to lower raw material costs.</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Company-wide gross profit for quarter ended June 30, 2010 was $18.4 million, or 24.7% of sales, compared to $15.9 million, or 21.5% of sales, for the same period in fiscal 2010. Gross profit for the Industrial segment was $10.3 million, or 20.8% of sales, for the quarter ended June 30, 2010, as compared to $8.4 million, or 17.0% of sales, for the same period in fiscal 2010. The increase in profit for this segment in the quarter was attributable to increased sales across most product lines and higher per unit profits realized for certain products. Rapidly declining raw material costs in the first quarter of fiscal 2010 negatively impacted the per unit margins realized in the prior year. Gross profit for the Water Treatment segment was $8.1 million, or 32.6% of sales, for the quarter ended June 30, 2010, as compared to $7.4 million, or 31.1% of sales, for the same period in fiscal 2010. The increase in gross profit for this segment was primarily due to increased sales of manufactured and specialty chemical products, which was partially offset by increased overhead costs as we have invested in new facilities and personnel within existing and new markets.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by $0.3 million for the quarter ended June 30, 2010 as compared to the same period in fiscal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SG&amp;A expenses was primarily the result of higher equity incentive plan and variable pay plan costs.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20 facilities in 11 states, the Company creates value for its customers through superb customer service and support, quality products and personalized applications.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HAWKINS, INC. REPORTS</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FOR FIRST QUARTER FISCAL 2011</w:t>
      </w:r>
    </w:p>
    <w:p>
      <w:pPr>
        <w:spacing w:after="0"/>
        <w:rPr>
          <w:sz w:val="20"/>
          <w:szCs w:val="20"/>
          <w:color w:val="auto"/>
        </w:rPr>
      </w:pPr>
      <w:r>
        <w:rPr>
          <w:rFonts w:ascii="Arial" w:cs="Arial" w:eastAsia="Arial" w:hAnsi="Arial"/>
          <w:sz w:val="18"/>
          <w:szCs w:val="18"/>
          <w:color w:val="auto"/>
        </w:rPr>
        <w:t>July 27, 2010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37" w:lineRule="auto"/>
        <w:rPr>
          <w:sz w:val="20"/>
          <w:szCs w:val="20"/>
          <w:color w:val="auto"/>
        </w:rPr>
      </w:pPr>
      <w:r>
        <w:rPr>
          <w:rFonts w:ascii="Arial" w:cs="Arial" w:eastAsia="Arial" w:hAnsi="Arial"/>
          <w:sz w:val="14"/>
          <w:szCs w:val="14"/>
          <w:b w:val="1"/>
          <w:bCs w:val="1"/>
          <w:i w:val="1"/>
          <w:iCs w:val="1"/>
          <w:color w:val="auto"/>
        </w:rPr>
        <w:t>In thousands, except share and per share data</w:t>
      </w:r>
    </w:p>
    <w:p>
      <w:pP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10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D6F3E8"/>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74,665</w:t>
            </w:r>
          </w:p>
        </w:tc>
        <w:tc>
          <w:tcPr>
            <w:tcW w:w="340" w:type="dxa"/>
            <w:vAlign w:val="bottom"/>
            <w:gridSpan w:val="2"/>
            <w:shd w:val="clear" w:color="auto" w:fill="D6F3E8"/>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73,586</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4"/>
                <w:szCs w:val="2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(56,218)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(57,730)</w:t>
            </w: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18,447</w:t>
            </w:r>
          </w:p>
        </w:tc>
        <w:tc>
          <w:tcPr>
            <w:tcW w:w="2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15,856</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4"/>
                <w:szCs w:val="2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(6,661)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D6F3E8"/>
          </w:tcPr>
          <w:p>
            <w:pPr>
              <w:spacing w:after="0"/>
              <w:rPr>
                <w:sz w:val="21"/>
                <w:szCs w:val="21"/>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11,786</w:t>
            </w:r>
          </w:p>
        </w:tc>
        <w:tc>
          <w:tcPr>
            <w:tcW w:w="3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9,501</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D6F3E8"/>
          </w:tcPr>
          <w:p>
            <w:pPr>
              <w:spacing w:after="0"/>
              <w:rPr>
                <w:sz w:val="21"/>
                <w:szCs w:val="21"/>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11,892</w:t>
            </w:r>
          </w:p>
        </w:tc>
        <w:tc>
          <w:tcPr>
            <w:tcW w:w="3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9,510</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4"/>
                <w:szCs w:val="2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(4,555)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D6F3E8"/>
          </w:tcPr>
          <w:p>
            <w:pPr>
              <w:spacing w:after="0"/>
              <w:rPr>
                <w:sz w:val="21"/>
                <w:szCs w:val="21"/>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7,337</w:t>
            </w:r>
          </w:p>
        </w:tc>
        <w:tc>
          <w:tcPr>
            <w:tcW w:w="3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5,944</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6F3E8"/>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7,337</w:t>
            </w:r>
          </w:p>
        </w:tc>
        <w:tc>
          <w:tcPr>
            <w:tcW w:w="320" w:type="dxa"/>
            <w:vAlign w:val="bottom"/>
            <w:shd w:val="clear" w:color="auto" w:fill="D6F3E8"/>
          </w:tcPr>
          <w:p>
            <w:pPr>
              <w:spacing w:after="0"/>
              <w:rPr>
                <w:sz w:val="19"/>
                <w:szCs w:val="19"/>
                <w:color w:val="auto"/>
              </w:rPr>
            </w:pPr>
          </w:p>
        </w:tc>
        <w:tc>
          <w:tcPr>
            <w:tcW w:w="340" w:type="dxa"/>
            <w:vAlign w:val="bottom"/>
            <w:gridSpan w:val="2"/>
            <w:shd w:val="clear" w:color="auto" w:fill="D6F3E8"/>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6,053</w:t>
            </w:r>
          </w:p>
        </w:tc>
        <w:tc>
          <w:tcPr>
            <w:tcW w:w="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460" w:type="dxa"/>
            <w:vAlign w:val="bottom"/>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4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10,253,458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10,246,458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4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10,308,270</w:t>
            </w:r>
          </w:p>
        </w:tc>
        <w:tc>
          <w:tcPr>
            <w:tcW w:w="2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9"/>
              </w:rPr>
              <w:t>10,265,357</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Basic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Net income from continuing operations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0.72</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Net income from discontinued operations per share</w:t>
            </w:r>
          </w:p>
        </w:tc>
        <w:tc>
          <w:tcPr>
            <w:tcW w:w="24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460" w:type="dxa"/>
            <w:vAlign w:val="bottom"/>
          </w:tcPr>
          <w:p>
            <w:pPr>
              <w:ind w:left="260"/>
              <w:spacing w:after="0"/>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Net income from continuing operations per share</w:t>
            </w:r>
          </w:p>
        </w:tc>
        <w:tc>
          <w:tcPr>
            <w:tcW w:w="240" w:type="dxa"/>
            <w:vAlign w:val="bottom"/>
            <w:shd w:val="clear" w:color="auto" w:fill="D6F3E8"/>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0.71</w:t>
            </w:r>
          </w:p>
        </w:tc>
        <w:tc>
          <w:tcPr>
            <w:tcW w:w="340" w:type="dxa"/>
            <w:vAlign w:val="bottom"/>
            <w:gridSpan w:val="2"/>
            <w:shd w:val="clear" w:color="auto" w:fill="D6F3E8"/>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0.58</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Net income from discontinued operations per share</w:t>
            </w:r>
          </w:p>
        </w:tc>
        <w:tc>
          <w:tcPr>
            <w:tcW w:w="24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bottom w:val="single" w:sz="8" w:color="D6F3E8"/>
            </w:tcBorders>
            <w:shd w:val="clear" w:color="auto" w:fill="D6F3E8"/>
          </w:tcPr>
          <w:p>
            <w:pPr>
              <w:ind w:left="260"/>
              <w:spacing w:after="0"/>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bottom w:val="single" w:sz="8" w:color="auto"/>
            </w:tcBorders>
            <w:shd w:val="clear" w:color="auto" w:fill="D6F3E8"/>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0.71</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320" w:type="dxa"/>
            <w:vAlign w:val="bottom"/>
            <w:tcBorders>
              <w:top w:val="single" w:sz="8" w:color="auto"/>
              <w:bottom w:val="single" w:sz="8" w:color="auto"/>
            </w:tcBorders>
            <w:shd w:val="clear" w:color="auto" w:fill="D6F3E8"/>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0.59</w:t>
            </w: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6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2019-12-10T00:07:21Z</dcterms:created>
  <dcterms:modified xsi:type="dcterms:W3CDTF">2019-12-10T00:07:21Z</dcterms:modified>
</cp:coreProperties>
</file>