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12,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72" w:right="239" w:bottom="1440" w:gutter="0" w:footer="0" w:header="0"/>
        </w:sectPr>
      </w:pPr>
    </w:p>
    <w:p>
      <w:pPr>
        <w:spacing w:after="0" w:line="192" w:lineRule="exact"/>
        <w:rPr>
          <w:sz w:val="24"/>
          <w:szCs w:val="24"/>
          <w:color w:val="auto"/>
        </w:rPr>
      </w:pPr>
    </w:p>
    <w:p>
      <w:pPr>
        <w:ind w:left="1440"/>
        <w:spacing w:after="0"/>
        <w:rPr>
          <w:sz w:val="20"/>
          <w:szCs w:val="20"/>
          <w:color w:val="auto"/>
        </w:rPr>
      </w:pPr>
      <w:r>
        <w:rPr>
          <w:rFonts w:ascii="Arial" w:cs="Arial" w:eastAsia="Arial" w:hAnsi="Arial"/>
          <w:sz w:val="19"/>
          <w:szCs w:val="19"/>
          <w:b w:val="1"/>
          <w:bCs w:val="1"/>
          <w:color w:val="auto"/>
        </w:rPr>
        <w:t>Minnesota</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240"/>
        <w:spacing w:after="0"/>
        <w:rPr>
          <w:sz w:val="20"/>
          <w:szCs w:val="20"/>
          <w:color w:val="auto"/>
        </w:rPr>
      </w:pPr>
      <w:r>
        <w:rPr>
          <w:rFonts w:ascii="Arial" w:cs="Arial" w:eastAsia="Arial" w:hAnsi="Arial"/>
          <w:sz w:val="19"/>
          <w:szCs w:val="19"/>
          <w:b w:val="1"/>
          <w:bCs w:val="1"/>
          <w:color w:val="auto"/>
        </w:rPr>
        <w:t>0-7647</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59" w:lineRule="exact"/>
        <w:rPr>
          <w:sz w:val="24"/>
          <w:szCs w:val="24"/>
          <w:color w:val="auto"/>
        </w:rPr>
      </w:pPr>
    </w:p>
    <w:p>
      <w:pPr>
        <w:sectPr>
          <w:pgSz w:w="11900" w:h="16838" w:orient="portrait"/>
          <w:cols w:equalWidth="0" w:num="3">
            <w:col w:w="4740" w:space="720"/>
            <w:col w:w="2840" w:space="720"/>
            <w:col w:w="2400"/>
          </w:cols>
          <w:pgMar w:left="240" w:top="1272" w:right="239" w:bottom="1440" w:gutter="0" w:footer="0" w:header="0"/>
          <w:type w:val="continuous"/>
        </w:sectPr>
      </w:pPr>
    </w:p>
    <w:p>
      <w:pPr>
        <w:spacing w:after="0" w:line="3" w:lineRule="exact"/>
        <w:rPr>
          <w:sz w:val="24"/>
          <w:szCs w:val="24"/>
          <w:color w:val="auto"/>
        </w:rPr>
      </w:pPr>
    </w:p>
    <w:p>
      <w:pPr>
        <w:ind w:left="11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8"/>
          <w:szCs w:val="18"/>
          <w:color w:val="auto"/>
        </w:rPr>
        <w:t>(IRS Employer</w:t>
      </w:r>
    </w:p>
    <w:p>
      <w:pPr>
        <w:jc w:val="center"/>
        <w:ind w:right="122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080" w:space="720"/>
            <w:col w:w="3380" w:space="720"/>
            <w:col w:w="2520"/>
          </w:cols>
          <w:pgMar w:left="240" w:top="1272" w:right="239" w:bottom="1440" w:gutter="0" w:footer="0" w:header="0"/>
          <w:type w:val="continuous"/>
        </w:sectPr>
      </w:pPr>
    </w:p>
    <w:p>
      <w:pPr>
        <w:spacing w:after="0" w:line="23" w:lineRule="exact"/>
        <w:rPr>
          <w:sz w:val="24"/>
          <w:szCs w:val="24"/>
          <w:color w:val="auto"/>
        </w:rPr>
      </w:pPr>
    </w:p>
    <w:p>
      <w:pPr>
        <w:ind w:left="1220"/>
        <w:spacing w:after="0"/>
        <w:rPr>
          <w:sz w:val="20"/>
          <w:szCs w:val="20"/>
          <w:color w:val="auto"/>
        </w:rPr>
      </w:pPr>
      <w:r>
        <w:rPr>
          <w:rFonts w:ascii="Arial" w:cs="Arial" w:eastAsia="Arial" w:hAnsi="Arial"/>
          <w:sz w:val="19"/>
          <w:szCs w:val="19"/>
          <w:b w:val="1"/>
          <w:bCs w:val="1"/>
          <w:color w:val="auto"/>
        </w:rPr>
        <w:t>3100 East Hennepin Avenue</w:t>
      </w:r>
    </w:p>
    <w:p>
      <w:pPr>
        <w:spacing w:after="0" w:line="49" w:lineRule="exact"/>
        <w:rPr>
          <w:sz w:val="24"/>
          <w:szCs w:val="24"/>
          <w:color w:val="auto"/>
        </w:rPr>
      </w:pPr>
    </w:p>
    <w:p>
      <w:pPr>
        <w:ind w:left="1700"/>
        <w:spacing w:after="0"/>
        <w:rPr>
          <w:sz w:val="20"/>
          <w:szCs w:val="20"/>
          <w:color w:val="auto"/>
        </w:rPr>
      </w:pPr>
      <w:r>
        <w:rPr>
          <w:rFonts w:ascii="Arial" w:cs="Arial" w:eastAsia="Arial" w:hAnsi="Arial"/>
          <w:sz w:val="22"/>
          <w:szCs w:val="22"/>
          <w:b w:val="1"/>
          <w:bCs w:val="1"/>
          <w:color w:val="auto"/>
        </w:rPr>
        <w:t>Minneapolis, MN</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55413</w:t>
      </w:r>
    </w:p>
    <w:p>
      <w:pPr>
        <w:spacing w:after="0" w:line="62" w:lineRule="exact"/>
        <w:rPr>
          <w:sz w:val="24"/>
          <w:szCs w:val="24"/>
          <w:color w:val="auto"/>
        </w:rPr>
      </w:pPr>
    </w:p>
    <w:p>
      <w:pPr>
        <w:sectPr>
          <w:pgSz w:w="11900" w:h="16838" w:orient="portrait"/>
          <w:cols w:equalWidth="0" w:num="2">
            <w:col w:w="8620" w:space="720"/>
            <w:col w:w="2080"/>
          </w:cols>
          <w:pgMar w:left="240" w:top="1272"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500" w:space="720"/>
            <w:col w:w="2200"/>
          </w:cols>
          <w:pgMar w:left="240" w:top="1272" w:right="239" w:bottom="1440" w:gutter="0" w:footer="0" w:header="0"/>
          <w:type w:val="continuous"/>
        </w:sectPr>
      </w:pPr>
    </w:p>
    <w:p>
      <w:pPr>
        <w:spacing w:after="0" w:line="17" w:lineRule="exact"/>
        <w:rPr>
          <w:sz w:val="24"/>
          <w:szCs w:val="24"/>
          <w:color w:val="auto"/>
        </w:rPr>
      </w:pPr>
    </w:p>
    <w:p>
      <w:pPr>
        <w:ind w:left="2620"/>
        <w:spacing w:after="0"/>
        <w:rPr>
          <w:sz w:val="20"/>
          <w:szCs w:val="20"/>
          <w:color w:val="auto"/>
        </w:rPr>
      </w:pPr>
      <w:r>
        <w:rPr>
          <w:rFonts w:ascii="Arial" w:cs="Arial" w:eastAsia="Arial" w:hAnsi="Arial"/>
          <w:sz w:val="19"/>
          <w:szCs w:val="19"/>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250190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(612) 331-6910</w:t>
      </w:r>
    </w:p>
    <w:p>
      <w:pPr>
        <w:spacing w:after="0" w:line="206" w:lineRule="exact"/>
        <w:rPr>
          <w:sz w:val="24"/>
          <w:szCs w:val="24"/>
          <w:color w:val="auto"/>
        </w:rPr>
      </w:pPr>
    </w:p>
    <w:p>
      <w:pPr>
        <w:sectPr>
          <w:pgSz w:w="11900" w:h="16838" w:orient="portrait"/>
          <w:cols w:equalWidth="0" w:num="2">
            <w:col w:w="7280" w:space="160"/>
            <w:col w:w="3980"/>
          </w:cols>
          <w:pgMar w:left="240" w:top="1272" w:right="239" w:bottom="1440" w:gutter="0" w:footer="0" w:header="0"/>
          <w:type w:val="continuous"/>
        </w:sectPr>
      </w:pPr>
    </w:p>
    <w:p>
      <w:pPr>
        <w:spacing w:after="0" w:line="200" w:lineRule="exact"/>
        <w:rPr>
          <w:sz w:val="24"/>
          <w:szCs w:val="24"/>
          <w:color w:val="auto"/>
        </w:rPr>
      </w:pPr>
    </w:p>
    <w:p>
      <w:pPr>
        <w:spacing w:after="0" w:line="219" w:lineRule="exact"/>
        <w:rPr>
          <w:sz w:val="24"/>
          <w:szCs w:val="24"/>
          <w:color w:val="auto"/>
        </w:rPr>
      </w:pPr>
    </w:p>
    <w:p>
      <w:pPr>
        <w:ind w:firstLine="571"/>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800" w:hanging="221"/>
        <w:spacing w:after="0"/>
        <w:tabs>
          <w:tab w:leader="none" w:pos="8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800" w:hanging="221"/>
        <w:spacing w:after="0"/>
        <w:tabs>
          <w:tab w:leader="none" w:pos="8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800" w:hanging="221"/>
        <w:spacing w:after="0"/>
        <w:tabs>
          <w:tab w:leader="none" w:pos="8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800" w:hanging="221"/>
        <w:spacing w:after="0"/>
        <w:tabs>
          <w:tab w:leader="none" w:pos="8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690245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52" w:lineRule="exact"/>
        <w:rPr>
          <w:sz w:val="24"/>
          <w:szCs w:val="24"/>
          <w:color w:val="auto"/>
        </w:rPr>
      </w:pPr>
    </w:p>
    <w:p>
      <w:pPr>
        <w:ind w:right="140" w:firstLine="571"/>
        <w:spacing w:after="0" w:line="268" w:lineRule="auto"/>
        <w:rPr>
          <w:sz w:val="20"/>
          <w:szCs w:val="20"/>
          <w:color w:val="auto"/>
        </w:rPr>
      </w:pPr>
      <w:r>
        <w:rPr>
          <w:rFonts w:ascii="Arial" w:cs="Arial" w:eastAsia="Arial" w:hAnsi="Arial"/>
          <w:sz w:val="18"/>
          <w:szCs w:val="18"/>
          <w:color w:val="auto"/>
        </w:rPr>
        <w:t>On June 12, 2008, Hawkins, Inc. issued a press release announcing financial results for its fiscal year ended March 30, 2008. A copy of the press release issued by the Registrant is furnished herewith as Exhibit 99 hereto and is incorporated herein by reference.</w:t>
      </w:r>
    </w:p>
    <w:p>
      <w:pPr>
        <w:spacing w:after="0" w:line="167" w:lineRule="exact"/>
        <w:rPr>
          <w:sz w:val="24"/>
          <w:szCs w:val="24"/>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4"/>
          <w:szCs w:val="24"/>
          <w:color w:val="auto"/>
        </w:rPr>
      </w:pPr>
    </w:p>
    <w:p>
      <w:pPr>
        <w:ind w:left="1140" w:hanging="565"/>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Exhibit 99 – Press Release, dated June 12, 2008, announcing financial results of Hawkins, Inc. for its fiscal year ended March 30, 2008.</w:t>
      </w:r>
    </w:p>
    <w:p>
      <w:pPr>
        <w:sectPr>
          <w:pgSz w:w="11900" w:h="16838" w:orient="portrait"/>
          <w:cols w:equalWidth="0" w:num="1">
            <w:col w:w="11420"/>
          </w:cols>
          <w:pgMar w:left="240" w:top="1272"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1081405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spacing w:after="0"/>
        <w:tabs>
          <w:tab w:leader="none" w:pos="6140" w:val="left"/>
          <w:tab w:leader="none" w:pos="7700" w:val="left"/>
        </w:tabs>
        <w:rPr>
          <w:sz w:val="20"/>
          <w:szCs w:val="20"/>
          <w:color w:val="auto"/>
        </w:rPr>
      </w:pPr>
      <w:r>
        <w:rPr>
          <w:rFonts w:ascii="Arial" w:cs="Arial" w:eastAsia="Arial" w:hAnsi="Arial"/>
          <w:sz w:val="18"/>
          <w:szCs w:val="18"/>
          <w:color w:val="auto"/>
        </w:rPr>
        <w:t>Date: June 16,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19685</wp:posOffset>
            </wp:positionV>
            <wp:extent cx="2280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6"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5540"/>
        <w:spacing w:after="0"/>
        <w:rPr>
          <w:sz w:val="20"/>
          <w:szCs w:val="20"/>
          <w:color w:val="auto"/>
        </w:rPr>
      </w:pPr>
      <w:r>
        <w:rPr>
          <w:rFonts w:ascii="Arial" w:cs="Arial" w:eastAsia="Arial" w:hAnsi="Arial"/>
          <w:sz w:val="18"/>
          <w:szCs w:val="18"/>
          <w:color w:val="auto"/>
        </w:rPr>
        <w:t>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2337435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w:t>
      </w:r>
    </w:p>
    <w:p>
      <w:pPr>
        <w:spacing w:after="0" w:line="15"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1167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16705" cy="17145"/>
                    </a:xfrm>
                    <a:prstGeom prst="rect">
                      <a:avLst/>
                    </a:prstGeom>
                    <a:noFill/>
                  </pic:spPr>
                </pic:pic>
              </a:graphicData>
            </a:graphic>
          </wp:anchor>
        </w:drawing>
      </w:r>
    </w:p>
    <w:p>
      <w:pPr>
        <w:spacing w:after="0" w:line="212" w:lineRule="exact"/>
        <w:rPr>
          <w:sz w:val="20"/>
          <w:szCs w:val="20"/>
          <w:color w:val="auto"/>
        </w:rPr>
      </w:pPr>
    </w:p>
    <w:p>
      <w:pPr>
        <w:ind w:left="1180" w:right="520" w:hanging="855"/>
        <w:spacing w:after="0" w:line="190" w:lineRule="auto"/>
        <w:tabs>
          <w:tab w:leader="none" w:pos="1180" w:val="left"/>
        </w:tabs>
        <w:numPr>
          <w:ilvl w:val="0"/>
          <w:numId w:val="3"/>
        </w:numPr>
        <w:rPr>
          <w:rFonts w:ascii="Arial" w:cs="Arial" w:eastAsia="Arial" w:hAnsi="Arial"/>
          <w:sz w:val="32"/>
          <w:szCs w:val="32"/>
          <w:color w:val="auto"/>
          <w:vertAlign w:val="subscript"/>
        </w:rPr>
      </w:pPr>
      <w:r>
        <w:rPr>
          <w:rFonts w:ascii="Arial" w:cs="Arial" w:eastAsia="Arial" w:hAnsi="Arial"/>
          <w:sz w:val="16"/>
          <w:szCs w:val="16"/>
          <w:color w:val="auto"/>
        </w:rPr>
        <w:t>Press Release, dated June 12, 2008, announcing financial results of Hawkins, Inc. for its fiscal year ended March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2658745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10795</wp:posOffset>
            </wp:positionV>
            <wp:extent cx="1449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Electronic Transmission</w:t>
      </w:r>
    </w:p>
    <w:p>
      <w:pPr>
        <w:sectPr>
          <w:pgSz w:w="11900" w:h="16838" w:orient="portrait"/>
          <w:cols w:equalWidth="0" w:num="2">
            <w:col w:w="6420" w:space="720"/>
            <w:col w:w="4280"/>
          </w:cols>
          <w:pgMar w:left="240" w:top="1440" w:right="2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John.Hawkins@HawkinsInc.com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Kathleen.Pepski@HawkinsInc.com</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HAWKINS, INC. REPORTS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QUARTER, FISCAL 2008 RESULTS</w:t>
      </w:r>
    </w:p>
    <w:p>
      <w:pPr>
        <w:spacing w:after="0" w:line="200" w:lineRule="exact"/>
        <w:rPr>
          <w:sz w:val="20"/>
          <w:szCs w:val="20"/>
          <w:color w:val="auto"/>
        </w:rPr>
      </w:pPr>
    </w:p>
    <w:p>
      <w:pPr>
        <w:spacing w:after="0" w:line="24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Minneapolis, MN, June 12, 2008 – Hawkins, Inc. (Nasdaq: HWKN) today announced sales for fiscal 2008 of $196.4 million, a 22.5% increase over fiscal 2007 sales of $160.4 million. Net income for fiscal 2008 was $9.1 million, equal to earnings per share of $0.89, compared with fiscal 2007 net income of $8.1 million or earnings per share of $0.79.</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the fourth quarter ended March 30, 2008, Hawkins reported sales of $51.2 million, up 29.0% from $39.7 million for the comparable period a year ago. Net income for the fourth quarter of fiscal 2008 was $1.7 million, equal to earnings per share of $0.17, versus net income of $1.8 million, or earnings per share of $0.18, for the fourth quarter of fiscal 2007. The fourth quarter of fiscal 2008 was negatively impacted by LIFO inventory adjustments of approximately $1.2 million before taxes (approximately $0.8 million or $0.08 per share, after tax) resulting from fluctuations in cost and inventory levels, whereas the fourth quarter of fiscal 2007 was positively impacted by LIFO adjustments of approximately $0.8 million before taxes (approximately $0.5 million or $0.05 per share, after tax).</w:t>
      </w:r>
    </w:p>
    <w:p>
      <w:pPr>
        <w:spacing w:after="0" w:line="17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fiscal 2008, Industrial segment sales were $124.6 million, a 30.6% increase over fiscal 2007 sales of $95.4 million. The change was driven largely by higher volumes, price increases related to rising material costs, and the acquisition of Trumark, Inc. in May of 2007.</w:t>
      </w:r>
    </w:p>
    <w:p>
      <w:pPr>
        <w:spacing w:after="0" w:line="18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Water Treatment segment sales were $62.1 million, a 10.1% increase over fiscal 2007 sales of $56.4 million. The growth is primarily attributable to selling price increases that correlate with rising material costs, product line growth and higher volumes related to favorable weather conditions.</w:t>
      </w:r>
    </w:p>
    <w:p>
      <w:pPr>
        <w:spacing w:after="0" w:line="13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Pharmaceutical segment’s sales were $9.8 million, a 13.2% increase over fiscal 2007 sales of $8.6 million. The improvement was due primarily to the resolution of regulatory restrictions during the third quarter of fiscal 2008, which began in fiscal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Gross margin as a percent of sales for the quarter and year ended March 30, 2008 were 17.1% and 21.2%, respectively, compared with 20.8% and 23.2% in the comparable periods a year ago. In addition to the effect of the LIFO adjustments mentioned above, margins for fiscal 2008 were negatively affected by rising commodity chemicals prices and continued growth in high volume, lower margin products.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positive impact of higher sales on net income for fiscal 2008 was partially offset by an increase in Selling, General and Administrative (SG&amp;A) expenses. The SG&amp;A expense increase primarily related to the acquisition of Trumark and higher employee-related expenses, partially offset by a decrease in professional and consulting expenses.</w:t>
      </w:r>
    </w:p>
    <w:p>
      <w:pPr>
        <w:spacing w:after="0" w:line="19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Chief Executive Officer, John R. Hawkins, commented, “We continue to operate in a highly competitive, price pressured environment where increasing raw material and transportation costs are negatively impacting margins. Our historical focus on strong customer service has permitted us to meet customer needs despite these challenges. The business also continues to generate strong cash flow. This has enabled Hawkins to invest capital in operations, business processes and new growth opportunities while continuing to pay higher shareholder dividends. For example in January 2008, two new Water Treatment sales and service offices were established in Missouri and Kansas, further expanding Hawkins’ territory.”</w:t>
      </w:r>
    </w:p>
    <w:p>
      <w:pPr>
        <w:spacing w:after="0" w:line="17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Hawkins, Inc. provides a full range of bulk industrial products complemented with the technical competence and innovation to formulate and blend specialty chemicals. The Company sells and services related products and equipment to safely dispense chemicals in highly controlled environments.</w:t>
      </w:r>
    </w:p>
    <w:p>
      <w:pPr>
        <w:spacing w:after="0" w:line="1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Hawkins is headquartered in Minneapolis, Minnesota. The Company operates 18 facilities in Iowa, Illinois, Kansas, Minnesota, Missouri, Montana, Nebraska, New Jersey, South and North Dakota and Wisconsin and services customers in Upper Michigan and Wyoming as well.</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competition from other chemical companies, seasonality and weather conditions, costs and difficulties with our new enterprise resource planning system, the hazards of chemical manufacturing, natural disasters, downturns in our customers’ industries, actual growth in our products’ markets,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April 1, 2007, as updated by subsequent SEC filings.</w:t>
      </w:r>
    </w:p>
    <w:p>
      <w:pPr>
        <w:sectPr>
          <w:pgSz w:w="11900" w:h="16838" w:orient="portrait"/>
          <w:cols w:equalWidth="0" w:num="1">
            <w:col w:w="11420"/>
          </w:cols>
          <w:pgMar w:left="240" w:top="598" w:right="239" w:bottom="0" w:gutter="0" w:footer="0" w:header="0"/>
        </w:sectPr>
      </w:pPr>
    </w:p>
    <w:bookmarkStart w:id="3" w:name="page4"/>
    <w:bookmarkEnd w:id="3"/>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695960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Quarters Ended</w:t>
            </w:r>
          </w:p>
        </w:tc>
        <w:tc>
          <w:tcPr>
            <w:tcW w:w="9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Years Ended</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March 30,</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jc w:val="right"/>
              <w:ind w:right="375"/>
              <w:spacing w:after="0" w:line="129" w:lineRule="exact"/>
              <w:rPr>
                <w:sz w:val="20"/>
                <w:szCs w:val="20"/>
                <w:color w:val="auto"/>
              </w:rPr>
            </w:pPr>
            <w:r>
              <w:rPr>
                <w:rFonts w:ascii="Arial" w:cs="Arial" w:eastAsia="Arial" w:hAnsi="Arial"/>
                <w:sz w:val="14"/>
                <w:szCs w:val="14"/>
                <w:b w:val="1"/>
                <w:bCs w:val="1"/>
                <w:color w:val="auto"/>
              </w:rPr>
              <w:t>April 1,</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March 30,</w:t>
            </w:r>
          </w:p>
        </w:tc>
        <w:tc>
          <w:tcPr>
            <w:tcW w:w="420" w:type="dxa"/>
            <w:vAlign w:val="bottom"/>
          </w:tcPr>
          <w:p>
            <w:pPr>
              <w:spacing w:after="0"/>
              <w:rPr>
                <w:sz w:val="11"/>
                <w:szCs w:val="11"/>
                <w:color w:val="auto"/>
              </w:rPr>
            </w:pPr>
          </w:p>
        </w:tc>
        <w:tc>
          <w:tcPr>
            <w:tcW w:w="940" w:type="dxa"/>
            <w:vAlign w:val="bottom"/>
          </w:tcPr>
          <w:p>
            <w:pPr>
              <w:jc w:val="right"/>
              <w:ind w:right="375"/>
              <w:spacing w:after="0" w:line="129" w:lineRule="exact"/>
              <w:rPr>
                <w:sz w:val="20"/>
                <w:szCs w:val="20"/>
                <w:color w:val="auto"/>
              </w:rPr>
            </w:pPr>
            <w:r>
              <w:rPr>
                <w:rFonts w:ascii="Arial" w:cs="Arial" w:eastAsia="Arial" w:hAnsi="Arial"/>
                <w:sz w:val="14"/>
                <w:szCs w:val="14"/>
                <w:b w:val="1"/>
                <w:bCs w:val="1"/>
                <w:color w:val="auto"/>
                <w:w w:val="96"/>
              </w:rPr>
              <w:t>April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51,201,423</w:t>
            </w:r>
          </w:p>
        </w:tc>
        <w:tc>
          <w:tcPr>
            <w:tcW w:w="720" w:type="dxa"/>
            <w:vAlign w:val="bottom"/>
            <w:gridSpan w:val="2"/>
            <w:shd w:val="clear" w:color="auto" w:fill="D6F3E8"/>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39,705,074</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196,439,762</w:t>
            </w:r>
          </w:p>
        </w:tc>
        <w:tc>
          <w:tcPr>
            <w:tcW w:w="420" w:type="dxa"/>
            <w:vAlign w:val="bottom"/>
            <w:shd w:val="clear" w:color="auto" w:fill="D6F3E8"/>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1"/>
              </w:rPr>
              <w:t>160,405,080</w:t>
            </w:r>
          </w:p>
        </w:tc>
        <w:tc>
          <w:tcPr>
            <w:tcW w:w="0" w:type="dxa"/>
            <w:vAlign w:val="bottom"/>
          </w:tcPr>
          <w:p>
            <w:pPr>
              <w:spacing w:after="0"/>
              <w:rPr>
                <w:sz w:val="1"/>
                <w:szCs w:val="1"/>
                <w:color w:val="auto"/>
              </w:rPr>
            </w:pPr>
          </w:p>
        </w:tc>
      </w:tr>
      <w:tr>
        <w:trPr>
          <w:trHeight w:val="418"/>
        </w:trPr>
        <w:tc>
          <w:tcPr>
            <w:tcW w:w="49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42,446,932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31,459,035</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154,843,280</w:t>
            </w:r>
          </w:p>
        </w:tc>
        <w:tc>
          <w:tcPr>
            <w:tcW w:w="4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123,168,103</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8,754,491</w:t>
            </w:r>
          </w:p>
        </w:tc>
        <w:tc>
          <w:tcPr>
            <w:tcW w:w="3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8,246,039</w:t>
            </w:r>
          </w:p>
        </w:tc>
        <w:tc>
          <w:tcPr>
            <w:tcW w:w="3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41,596,482</w:t>
            </w:r>
          </w:p>
        </w:tc>
        <w:tc>
          <w:tcPr>
            <w:tcW w:w="4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37,236,977</w:t>
            </w:r>
          </w:p>
        </w:tc>
        <w:tc>
          <w:tcPr>
            <w:tcW w:w="0" w:type="dxa"/>
            <w:vAlign w:val="bottom"/>
          </w:tcPr>
          <w:p>
            <w:pPr>
              <w:spacing w:after="0"/>
              <w:rPr>
                <w:sz w:val="1"/>
                <w:szCs w:val="1"/>
                <w:color w:val="auto"/>
              </w:rPr>
            </w:pPr>
          </w:p>
        </w:tc>
      </w:tr>
      <w:tr>
        <w:trPr>
          <w:trHeight w:val="418"/>
        </w:trPr>
        <w:tc>
          <w:tcPr>
            <w:tcW w:w="49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6,661,767</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6,136,878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28,614,185</w:t>
            </w:r>
          </w:p>
        </w:tc>
        <w:tc>
          <w:tcPr>
            <w:tcW w:w="4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25,972,636</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2,092,724</w:t>
            </w:r>
          </w:p>
        </w:tc>
        <w:tc>
          <w:tcPr>
            <w:tcW w:w="3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2,109,161</w:t>
            </w:r>
          </w:p>
        </w:tc>
        <w:tc>
          <w:tcPr>
            <w:tcW w:w="3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12,982,297</w:t>
            </w:r>
          </w:p>
        </w:tc>
        <w:tc>
          <w:tcPr>
            <w:tcW w:w="4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11,264,341</w:t>
            </w:r>
          </w:p>
        </w:tc>
        <w:tc>
          <w:tcPr>
            <w:tcW w:w="0" w:type="dxa"/>
            <w:vAlign w:val="bottom"/>
          </w:tcPr>
          <w:p>
            <w:pPr>
              <w:spacing w:after="0"/>
              <w:rPr>
                <w:sz w:val="1"/>
                <w:szCs w:val="1"/>
                <w:color w:val="auto"/>
              </w:rPr>
            </w:pPr>
          </w:p>
        </w:tc>
      </w:tr>
      <w:tr>
        <w:trPr>
          <w:trHeight w:val="418"/>
        </w:trPr>
        <w:tc>
          <w:tcPr>
            <w:tcW w:w="49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468,676</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684,144</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1,340,712</w:t>
            </w:r>
          </w:p>
        </w:tc>
        <w:tc>
          <w:tcPr>
            <w:tcW w:w="4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1,692,332</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2,561,400</w:t>
            </w:r>
          </w:p>
        </w:tc>
        <w:tc>
          <w:tcPr>
            <w:tcW w:w="3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2,793,305</w:t>
            </w:r>
          </w:p>
        </w:tc>
        <w:tc>
          <w:tcPr>
            <w:tcW w:w="3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14,323,009</w:t>
            </w:r>
          </w:p>
        </w:tc>
        <w:tc>
          <w:tcPr>
            <w:tcW w:w="4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12,956,673</w:t>
            </w:r>
          </w:p>
        </w:tc>
        <w:tc>
          <w:tcPr>
            <w:tcW w:w="0" w:type="dxa"/>
            <w:vAlign w:val="bottom"/>
          </w:tcPr>
          <w:p>
            <w:pPr>
              <w:spacing w:after="0"/>
              <w:rPr>
                <w:sz w:val="1"/>
                <w:szCs w:val="1"/>
                <w:color w:val="auto"/>
              </w:rPr>
            </w:pPr>
          </w:p>
        </w:tc>
      </w:tr>
      <w:tr>
        <w:trPr>
          <w:trHeight w:val="418"/>
        </w:trPr>
        <w:tc>
          <w:tcPr>
            <w:tcW w:w="49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830,833</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984,790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5,213,000</w:t>
            </w:r>
          </w:p>
        </w:tc>
        <w:tc>
          <w:tcPr>
            <w:tcW w:w="4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4,887,790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1,730,567</w:t>
            </w:r>
          </w:p>
        </w:tc>
        <w:tc>
          <w:tcPr>
            <w:tcW w:w="340" w:type="dxa"/>
            <w:vAlign w:val="bottom"/>
            <w:shd w:val="clear" w:color="auto" w:fill="D6F3E8"/>
          </w:tcPr>
          <w:p>
            <w:pPr>
              <w:spacing w:after="0"/>
              <w:rPr>
                <w:sz w:val="19"/>
                <w:szCs w:val="19"/>
                <w:color w:val="auto"/>
              </w:rPr>
            </w:pPr>
          </w:p>
        </w:tc>
        <w:tc>
          <w:tcPr>
            <w:tcW w:w="38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1,808,515</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9,110,009</w:t>
            </w:r>
          </w:p>
        </w:tc>
        <w:tc>
          <w:tcPr>
            <w:tcW w:w="420" w:type="dxa"/>
            <w:vAlign w:val="bottom"/>
            <w:shd w:val="clear" w:color="auto" w:fill="D6F3E8"/>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8,068,883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90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10,239,458</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10,171,496</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10,213,225</w:t>
            </w:r>
          </w:p>
        </w:tc>
        <w:tc>
          <w:tcPr>
            <w:tcW w:w="4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10,171,496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10,242,725</w:t>
            </w:r>
          </w:p>
        </w:tc>
        <w:tc>
          <w:tcPr>
            <w:tcW w:w="3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10,180,040</w:t>
            </w:r>
          </w:p>
        </w:tc>
        <w:tc>
          <w:tcPr>
            <w:tcW w:w="3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10,214,387</w:t>
            </w:r>
          </w:p>
        </w:tc>
        <w:tc>
          <w:tcPr>
            <w:tcW w:w="4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10,173,719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00" w:type="dxa"/>
            <w:vAlign w:val="bottom"/>
            <w:gridSpan w:val="2"/>
          </w:tcPr>
          <w:p>
            <w:pPr>
              <w:spacing w:after="0"/>
              <w:rPr>
                <w:sz w:val="20"/>
                <w:szCs w:val="20"/>
                <w:color w:val="auto"/>
              </w:rPr>
            </w:pPr>
            <w:r>
              <w:rPr>
                <w:rFonts w:ascii="Arial" w:cs="Arial" w:eastAsia="Arial" w:hAnsi="Arial"/>
                <w:sz w:val="18"/>
                <w:szCs w:val="18"/>
                <w:color w:val="auto"/>
              </w:rPr>
              <w:t>Earnings per share - basic and diluted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w:t>
            </w:r>
          </w:p>
        </w:tc>
        <w:tc>
          <w:tcPr>
            <w:tcW w:w="7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0.89</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0.24</w:t>
            </w:r>
          </w:p>
        </w:tc>
        <w:tc>
          <w:tcPr>
            <w:tcW w:w="720" w:type="dxa"/>
            <w:vAlign w:val="bottom"/>
            <w:gridSpan w:val="2"/>
            <w:shd w:val="clear" w:color="auto" w:fill="D6F3E8"/>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0.22</w:t>
            </w:r>
          </w:p>
        </w:tc>
        <w:tc>
          <w:tcPr>
            <w:tcW w:w="5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0.48</w:t>
            </w:r>
          </w:p>
        </w:tc>
        <w:tc>
          <w:tcPr>
            <w:tcW w:w="420" w:type="dxa"/>
            <w:vAlign w:val="bottom"/>
            <w:shd w:val="clear" w:color="auto" w:fill="D6F3E8"/>
          </w:tcPr>
          <w:p>
            <w:pPr>
              <w:jc w:val="right"/>
              <w:ind w:right="2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2019-12-11T12:55:10Z</dcterms:created>
  <dcterms:modified xsi:type="dcterms:W3CDTF">2019-12-11T12:55:10Z</dcterms:modified>
</cp:coreProperties>
</file>