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30, 2020</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70" w:lineRule="exact"/>
        <w:rPr>
          <w:sz w:val="24"/>
          <w:szCs w:val="24"/>
          <w:color w:val="auto"/>
        </w:rPr>
      </w:pPr>
    </w:p>
    <w:p>
      <w:pPr>
        <w:sectPr>
          <w:pgSz w:w="11900" w:h="16838" w:orient="portrait"/>
          <w:cols w:equalWidth="0" w:num="3">
            <w:col w:w="4560" w:space="720"/>
            <w:col w:w="2880" w:space="720"/>
            <w:col w:w="2360"/>
          </w:cols>
          <w:pgMar w:left="320" w:top="1035" w:right="339" w:bottom="1440" w:gutter="0" w:footer="0" w:header="0"/>
          <w:type w:val="continuous"/>
        </w:sectPr>
      </w:pPr>
    </w:p>
    <w:p>
      <w:pPr>
        <w:ind w:left="8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80" w:space="720"/>
            <w:col w:w="3000"/>
          </w:cols>
          <w:pgMar w:left="320" w:top="1035" w:right="339" w:bottom="1440" w:gutter="0" w:footer="0" w:header="0"/>
          <w:type w:val="continuous"/>
        </w:sectPr>
      </w:pPr>
    </w:p>
    <w:p>
      <w:pPr>
        <w:spacing w:after="0" w:line="277" w:lineRule="exact"/>
        <w:rPr>
          <w:sz w:val="24"/>
          <w:szCs w:val="24"/>
          <w:color w:val="auto"/>
        </w:rPr>
      </w:pPr>
    </w:p>
    <w:p>
      <w:pPr>
        <w:ind w:left="660"/>
        <w:spacing w:after="0"/>
        <w:tabs>
          <w:tab w:leader="none" w:pos="310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70" w:lineRule="exact"/>
        <w:rPr>
          <w:sz w:val="24"/>
          <w:szCs w:val="24"/>
          <w:color w:val="auto"/>
        </w:rPr>
      </w:pPr>
    </w:p>
    <w:p>
      <w:pPr>
        <w:sectPr>
          <w:pgSz w:w="11900" w:h="16838" w:orient="portrait"/>
          <w:cols w:equalWidth="0" w:num="2">
            <w:col w:w="8660" w:space="720"/>
            <w:col w:w="1860"/>
          </w:cols>
          <w:pgMar w:left="320" w:top="1035" w:right="339" w:bottom="1440" w:gutter="0" w:footer="0" w:header="0"/>
          <w:type w:val="continuous"/>
        </w:sectPr>
      </w:pPr>
    </w:p>
    <w:p>
      <w:pPr>
        <w:ind w:left="9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60" w:space="720"/>
            <w:col w:w="1960"/>
          </w:cols>
          <w:pgMar w:left="320" w:top="103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Title of each class</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Trading Symbol(s)</w:t>
            </w:r>
          </w:p>
        </w:tc>
        <w:tc>
          <w:tcPr>
            <w:tcW w:w="43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3000" w:type="dxa"/>
            <w:vAlign w:val="bottom"/>
          </w:tcPr>
          <w:p>
            <w:pPr>
              <w:jc w:val="center"/>
              <w:ind w:left="99"/>
              <w:spacing w:after="0"/>
              <w:rPr>
                <w:sz w:val="20"/>
                <w:szCs w:val="20"/>
                <w:color w:val="auto"/>
              </w:rPr>
            </w:pPr>
            <w:r>
              <w:rPr>
                <w:rFonts w:ascii="Arial" w:cs="Arial" w:eastAsia="Arial" w:hAnsi="Arial"/>
                <w:sz w:val="16"/>
                <w:szCs w:val="16"/>
                <w:color w:val="auto"/>
              </w:rPr>
              <w:t>HWKN</w:t>
            </w:r>
          </w:p>
        </w:tc>
        <w:tc>
          <w:tcPr>
            <w:tcW w:w="434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39" w:lineRule="exact"/>
        <w:rPr>
          <w:sz w:val="20"/>
          <w:szCs w:val="20"/>
          <w:color w:val="auto"/>
        </w:rPr>
      </w:pPr>
    </w:p>
    <w:p>
      <w:pPr>
        <w:ind w:right="40" w:firstLine="648"/>
        <w:spacing w:after="0" w:line="261" w:lineRule="auto"/>
        <w:rPr>
          <w:rFonts w:ascii="Arial" w:cs="Arial" w:eastAsia="Arial" w:hAnsi="Arial"/>
          <w:sz w:val="18"/>
          <w:szCs w:val="18"/>
          <w:color w:val="0000FF"/>
        </w:rPr>
      </w:pPr>
      <w:hyperlink r:id="rId9">
        <w:r>
          <w:rPr>
            <w:rFonts w:ascii="Arial" w:cs="Arial" w:eastAsia="Arial" w:hAnsi="Arial"/>
            <w:sz w:val="18"/>
            <w:szCs w:val="18"/>
            <w:color w:val="auto"/>
          </w:rPr>
          <w:t xml:space="preserve">At our annual meeting of shareholders held July 30, 2020, the following proposals, each as described in further detail in the </w:t>
        </w:r>
        <w:r>
          <w:rPr>
            <w:rFonts w:ascii="Arial" w:cs="Arial" w:eastAsia="Arial" w:hAnsi="Arial"/>
            <w:sz w:val="18"/>
            <w:szCs w:val="18"/>
            <w:u w:val="single" w:color="auto"/>
            <w:color w:val="0000FF"/>
          </w:rPr>
          <w:t>definitive</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proxy statement filed by our company on June 26, 2020</w:t>
        </w:r>
        <w:r>
          <w:rPr>
            <w:rFonts w:ascii="Arial" w:cs="Arial" w:eastAsia="Arial" w:hAnsi="Arial"/>
            <w:sz w:val="18"/>
            <w:szCs w:val="18"/>
            <w:color w:val="000000"/>
          </w:rPr>
          <w:t>, were voted upon by our shareholders as set forth below:</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elected each of the eight nominees to our Board of Directors, based on the following votes: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Director Nominee</w:t>
            </w:r>
          </w:p>
        </w:tc>
        <w:tc>
          <w:tcPr>
            <w:tcW w:w="12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1"/>
                <w:szCs w:val="21"/>
                <w:color w:val="auto"/>
              </w:rPr>
            </w:pPr>
          </w:p>
        </w:tc>
        <w:tc>
          <w:tcPr>
            <w:tcW w:w="27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Against</w:t>
            </w:r>
          </w:p>
        </w:tc>
        <w:tc>
          <w:tcPr>
            <w:tcW w:w="12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w:t>
            </w: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John S. McKeon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6,963,416</w:t>
            </w:r>
          </w:p>
        </w:tc>
        <w:tc>
          <w:tcPr>
            <w:tcW w:w="1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682,706</w:t>
            </w:r>
          </w:p>
        </w:tc>
        <w:tc>
          <w:tcPr>
            <w:tcW w:w="12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Patrick H. Hawkins</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7,573,366</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rPr>
              <w:t>72,756</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A. Faulconbridge</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5,679,563</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1,966,559</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Mary J. Schumacher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7,404,079</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242,043</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Daniel J. Stauber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7,416,655</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229,467</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T. Thompson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7,262,604</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383,518</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Jeffrey L. Wright</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7,044,505</w:t>
            </w:r>
          </w:p>
        </w:tc>
        <w:tc>
          <w:tcPr>
            <w:tcW w:w="14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601,617</w:t>
            </w:r>
          </w:p>
        </w:tc>
        <w:tc>
          <w:tcPr>
            <w:tcW w:w="12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Approval of the Hawkins, Inc. 2020 Equity Incentive Plan</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approved the Hawkins, Inc. 2020 Equity Incentive Plan, based on the votes listed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40" w:type="dxa"/>
            <w:vAlign w:val="bottom"/>
          </w:tcPr>
          <w:p>
            <w:pPr>
              <w:spacing w:after="0"/>
              <w:rPr>
                <w:sz w:val="21"/>
                <w:szCs w:val="21"/>
                <w:color w:val="auto"/>
              </w:rPr>
            </w:pPr>
          </w:p>
        </w:tc>
        <w:tc>
          <w:tcPr>
            <w:tcW w:w="26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Against</w:t>
            </w:r>
          </w:p>
        </w:tc>
        <w:tc>
          <w:tcPr>
            <w:tcW w:w="140" w:type="dxa"/>
            <w:vAlign w:val="bottom"/>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12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w:t>
            </w:r>
          </w:p>
        </w:tc>
        <w:tc>
          <w:tcPr>
            <w:tcW w:w="20" w:type="dxa"/>
            <w:vAlign w:val="bottom"/>
          </w:tcPr>
          <w:p>
            <w:pPr>
              <w:spacing w:after="0"/>
              <w:rPr>
                <w:sz w:val="21"/>
                <w:szCs w:val="21"/>
                <w:color w:val="auto"/>
              </w:rPr>
            </w:pPr>
          </w:p>
        </w:tc>
      </w:tr>
      <w:tr>
        <w:trPr>
          <w:trHeight w:val="243"/>
        </w:trPr>
        <w:tc>
          <w:tcPr>
            <w:tcW w:w="2700" w:type="dxa"/>
            <w:vAlign w:val="bottom"/>
          </w:tcPr>
          <w:p>
            <w:pPr>
              <w:jc w:val="right"/>
              <w:ind w:right="850"/>
              <w:spacing w:after="0"/>
              <w:rPr>
                <w:sz w:val="20"/>
                <w:szCs w:val="20"/>
                <w:color w:val="auto"/>
              </w:rPr>
            </w:pPr>
            <w:r>
              <w:rPr>
                <w:rFonts w:ascii="Arial" w:cs="Arial" w:eastAsia="Arial" w:hAnsi="Arial"/>
                <w:sz w:val="18"/>
                <w:szCs w:val="18"/>
                <w:color w:val="auto"/>
              </w:rPr>
              <w:t>7,478,403</w:t>
            </w:r>
          </w:p>
        </w:tc>
        <w:tc>
          <w:tcPr>
            <w:tcW w:w="140" w:type="dxa"/>
            <w:vAlign w:val="bottom"/>
          </w:tcPr>
          <w:p>
            <w:pPr>
              <w:spacing w:after="0"/>
              <w:rPr>
                <w:sz w:val="21"/>
                <w:szCs w:val="21"/>
                <w:color w:val="auto"/>
              </w:rPr>
            </w:pPr>
          </w:p>
        </w:tc>
        <w:tc>
          <w:tcPr>
            <w:tcW w:w="2680" w:type="dxa"/>
            <w:vAlign w:val="bottom"/>
          </w:tcPr>
          <w:p>
            <w:pPr>
              <w:ind w:left="1020"/>
              <w:spacing w:after="0"/>
              <w:rPr>
                <w:sz w:val="20"/>
                <w:szCs w:val="20"/>
                <w:color w:val="auto"/>
              </w:rPr>
            </w:pPr>
            <w:r>
              <w:rPr>
                <w:rFonts w:ascii="Arial" w:cs="Arial" w:eastAsia="Arial" w:hAnsi="Arial"/>
                <w:sz w:val="18"/>
                <w:szCs w:val="18"/>
                <w:color w:val="auto"/>
              </w:rPr>
              <w:t>137,522</w:t>
            </w:r>
          </w:p>
        </w:tc>
        <w:tc>
          <w:tcPr>
            <w:tcW w:w="140" w:type="dxa"/>
            <w:vAlign w:val="bottom"/>
          </w:tcPr>
          <w:p>
            <w:pPr>
              <w:spacing w:after="0"/>
              <w:rPr>
                <w:sz w:val="21"/>
                <w:szCs w:val="21"/>
                <w:color w:val="auto"/>
              </w:rPr>
            </w:pPr>
          </w:p>
        </w:tc>
        <w:tc>
          <w:tcPr>
            <w:tcW w:w="2740" w:type="dxa"/>
            <w:vAlign w:val="bottom"/>
          </w:tcPr>
          <w:p>
            <w:pPr>
              <w:jc w:val="right"/>
              <w:ind w:right="1010"/>
              <w:spacing w:after="0"/>
              <w:rPr>
                <w:sz w:val="20"/>
                <w:szCs w:val="20"/>
                <w:color w:val="auto"/>
              </w:rPr>
            </w:pPr>
            <w:r>
              <w:rPr>
                <w:rFonts w:ascii="Arial" w:cs="Arial" w:eastAsia="Arial" w:hAnsi="Arial"/>
                <w:sz w:val="18"/>
                <w:szCs w:val="18"/>
                <w:color w:val="auto"/>
              </w:rPr>
              <w:t>30,197</w:t>
            </w:r>
          </w:p>
        </w:tc>
        <w:tc>
          <w:tcPr>
            <w:tcW w:w="120" w:type="dxa"/>
            <w:vAlign w:val="bottom"/>
          </w:tcPr>
          <w:p>
            <w:pPr>
              <w:spacing w:after="0"/>
              <w:rPr>
                <w:sz w:val="21"/>
                <w:szCs w:val="21"/>
                <w:color w:val="auto"/>
              </w:rPr>
            </w:pPr>
          </w:p>
        </w:tc>
        <w:tc>
          <w:tcPr>
            <w:tcW w:w="2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1249"/>
        </w:trPr>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20"/>
        <w:spacing w:after="0"/>
        <w:tabs>
          <w:tab w:leader="none" w:pos="4520" w:val="left"/>
          <w:tab w:leader="none" w:pos="732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Richard G. Erstad</w:t>
      </w:r>
    </w:p>
    <w:p>
      <w:pPr>
        <w:spacing w:after="0" w:line="50"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860"/>
      </w:cols>
      <w:pgMar w:left="320" w:top="8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www.sec.gov/Archives/edgar/data/46250/000004625020000034/hawkins2020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2020-08-03T08:53:12Z</dcterms:created>
  <dcterms:modified xsi:type="dcterms:W3CDTF">2020-08-03T08:53:12Z</dcterms:modified>
</cp:coreProperties>
</file>