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8-K/A</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68580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92" w:orient="portrait"/>
          <w:cols w:equalWidth="0" w:num="1">
            <w:col w:w="11420"/>
          </w:cols>
          <w:pgMar w:left="240" w:top="786" w:right="239" w:bottom="0" w:gutter="0" w:footer="0" w:header="0"/>
        </w:sectPr>
      </w:pPr>
    </w:p>
    <w:p>
      <w:pPr>
        <w:spacing w:after="0" w:line="192" w:lineRule="exact"/>
        <w:rPr>
          <w:sz w:val="24"/>
          <w:szCs w:val="24"/>
          <w:color w:val="auto"/>
        </w:rPr>
      </w:pPr>
    </w:p>
    <w:p>
      <w:pPr>
        <w:ind w:left="194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74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92" w:orient="portrait"/>
          <w:cols w:equalWidth="0" w:num="3">
            <w:col w:w="4740" w:space="720"/>
            <w:col w:w="2340" w:space="720"/>
            <w:col w:w="2900"/>
          </w:cols>
          <w:pgMar w:left="240" w:top="786" w:right="239" w:bottom="0" w:gutter="0" w:footer="0" w:header="0"/>
          <w:type w:val="continuous"/>
        </w:sectPr>
      </w:pPr>
    </w:p>
    <w:p>
      <w:pPr>
        <w:spacing w:after="0" w:line="3" w:lineRule="exact"/>
        <w:rPr>
          <w:sz w:val="24"/>
          <w:szCs w:val="24"/>
          <w:color w:val="auto"/>
        </w:rPr>
      </w:pPr>
    </w:p>
    <w:p>
      <w:pPr>
        <w:jc w:val="center"/>
        <w:ind w:left="7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8"/>
          <w:szCs w:val="18"/>
          <w:color w:val="auto"/>
        </w:rPr>
        <w:t>(IRS Employer</w:t>
      </w:r>
    </w:p>
    <w:p>
      <w:pPr>
        <w:jc w:val="center"/>
        <w:ind w:right="172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92" w:orient="portrait"/>
          <w:cols w:equalWidth="0" w:num="3">
            <w:col w:w="4080" w:space="720"/>
            <w:col w:w="2880" w:space="720"/>
            <w:col w:w="3020"/>
          </w:cols>
          <w:pgMar w:left="240" w:top="786" w:right="239" w:bottom="0" w:gutter="0" w:footer="0" w:header="0"/>
          <w:type w:val="continuous"/>
        </w:sectPr>
      </w:pPr>
    </w:p>
    <w:p>
      <w:pPr>
        <w:spacing w:after="0" w:line="23" w:lineRule="exact"/>
        <w:rPr>
          <w:sz w:val="24"/>
          <w:szCs w:val="24"/>
          <w:color w:val="auto"/>
        </w:rPr>
      </w:pPr>
    </w:p>
    <w:p>
      <w:pPr>
        <w:ind w:left="1620"/>
        <w:spacing w:after="0"/>
        <w:rPr>
          <w:sz w:val="20"/>
          <w:szCs w:val="20"/>
          <w:color w:val="auto"/>
        </w:rPr>
      </w:pPr>
      <w:r>
        <w:rPr>
          <w:rFonts w:ascii="Arial" w:cs="Arial" w:eastAsia="Arial" w:hAnsi="Arial"/>
          <w:sz w:val="19"/>
          <w:szCs w:val="19"/>
          <w:b w:val="1"/>
          <w:bCs w:val="1"/>
          <w:color w:val="auto"/>
        </w:rPr>
        <w:t>3100 East Hennepin Avenue</w:t>
      </w:r>
    </w:p>
    <w:p>
      <w:pPr>
        <w:spacing w:after="0" w:line="49"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92" w:orient="portrait"/>
          <w:cols w:equalWidth="0" w:num="2">
            <w:col w:w="8120" w:space="720"/>
            <w:col w:w="2580"/>
          </w:cols>
          <w:pgMar w:left="240" w:top="786" w:right="239" w:bottom="0" w:gutter="0" w:footer="0" w:header="0"/>
          <w:type w:val="continuous"/>
        </w:sectPr>
      </w:pPr>
    </w:p>
    <w:p>
      <w:pPr>
        <w:ind w:left="14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92" w:orient="portrait"/>
          <w:cols w:equalWidth="0" w:num="2">
            <w:col w:w="8000" w:space="720"/>
            <w:col w:w="2700"/>
          </w:cols>
          <w:pgMar w:left="240" w:top="786" w:right="239" w:bottom="0" w:gutter="0" w:footer="0" w:header="0"/>
          <w:type w:val="continuous"/>
        </w:sectPr>
      </w:pPr>
    </w:p>
    <w:p>
      <w:pPr>
        <w:spacing w:after="0" w:line="17" w:lineRule="exact"/>
        <w:rPr>
          <w:sz w:val="24"/>
          <w:szCs w:val="24"/>
          <w:color w:val="auto"/>
        </w:rPr>
      </w:pPr>
    </w:p>
    <w:p>
      <w:pPr>
        <w:ind w:left="260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92" w:orient="portrait"/>
          <w:cols w:equalWidth="0" w:num="2">
            <w:col w:w="7260" w:space="220"/>
            <w:col w:w="3940"/>
          </w:cols>
          <w:pgMar w:left="240" w:top="786" w:right="239" w:bottom="0" w:gutter="0" w:footer="0" w:header="0"/>
          <w:type w:val="continuous"/>
        </w:sectPr>
      </w:pPr>
    </w:p>
    <w:p>
      <w:pPr>
        <w:spacing w:after="0" w:line="284" w:lineRule="exact"/>
        <w:rPr>
          <w:sz w:val="24"/>
          <w:szCs w:val="24"/>
          <w:color w:val="auto"/>
        </w:rPr>
      </w:pPr>
    </w:p>
    <w:p>
      <w:pPr>
        <w:ind w:firstLine="473"/>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60" w:right="1440" w:hanging="328"/>
        <w:spacing w:after="0" w:line="251"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173" w:lineRule="exact"/>
        <w:rPr>
          <w:rFonts w:ascii="Arial" w:cs="Arial" w:eastAsia="Arial" w:hAnsi="Arial"/>
          <w:sz w:val="22"/>
          <w:szCs w:val="22"/>
          <w:color w:val="auto"/>
        </w:rPr>
      </w:pPr>
    </w:p>
    <w:p>
      <w:pPr>
        <w:ind w:left="660" w:right="1440" w:hanging="328"/>
        <w:spacing w:after="0" w:line="251"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550545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4.01.</w:t>
      </w:r>
      <w:r>
        <w:rPr>
          <w:sz w:val="20"/>
          <w:szCs w:val="20"/>
          <w:color w:val="auto"/>
        </w:rPr>
        <w:tab/>
      </w:r>
      <w:r>
        <w:rPr>
          <w:rFonts w:ascii="Arial" w:cs="Arial" w:eastAsia="Arial" w:hAnsi="Arial"/>
          <w:sz w:val="19"/>
          <w:szCs w:val="19"/>
          <w:b w:val="1"/>
          <w:bCs w:val="1"/>
          <w:color w:val="auto"/>
        </w:rPr>
        <w:t>Changes in Registrant’s Certifying Accountant.</w:t>
      </w:r>
    </w:p>
    <w:p>
      <w:pPr>
        <w:spacing w:after="0" w:line="225" w:lineRule="exact"/>
        <w:rPr>
          <w:sz w:val="24"/>
          <w:szCs w:val="24"/>
          <w:color w:val="auto"/>
        </w:rPr>
      </w:pPr>
    </w:p>
    <w:p>
      <w:pPr>
        <w:ind w:firstLine="656"/>
        <w:spacing w:after="0" w:line="268" w:lineRule="auto"/>
        <w:tabs>
          <w:tab w:leader="none" w:pos="887"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9, 2009, the Audit Committee of the Board of Directors (the “Audit Committee”) of Hawkins, Inc. (the “Company”) dismissed Deloitte &amp; Touche LLP (“Deloitte”) as the Company’s independent registered public accounting firm effective on that date.</w:t>
      </w:r>
    </w:p>
    <w:p>
      <w:pPr>
        <w:spacing w:after="0" w:line="186"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8"/>
          <w:szCs w:val="18"/>
          <w:color w:val="auto"/>
        </w:rPr>
        <w:t>Neither of Deloitte’s reports on the financial statements of the Company for fiscal years ended March 30, 2008 or March 29, 2009 contained an adverse opinion or disclaimer of opinion, or was qualified or modified as to uncertainty, audit scope, or accounting principles.</w:t>
      </w:r>
    </w:p>
    <w:p>
      <w:pPr>
        <w:spacing w:after="0" w:line="186"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197"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provided Deloitte with a copy of this disclosure and requested that Deloitte furnish the Company with a letter addressed to the Securities and Exchange Commission stating whether it agrees with the above statements. Deloitte furnished such a letter, dated June 16, 2009, a copy of which is attached to this Current Report on Form 8-K as Exhibit 16.</w:t>
      </w:r>
    </w:p>
    <w:p>
      <w:pPr>
        <w:spacing w:after="0" w:line="194" w:lineRule="exact"/>
        <w:rPr>
          <w:sz w:val="24"/>
          <w:szCs w:val="24"/>
          <w:color w:val="auto"/>
        </w:rPr>
      </w:pPr>
    </w:p>
    <w:p>
      <w:pPr>
        <w:ind w:firstLine="656"/>
        <w:spacing w:after="0" w:line="268" w:lineRule="auto"/>
        <w:tabs>
          <w:tab w:leader="none" w:pos="89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9, 2009, the Company’s Audit Committee approved the engagement of KPMG LLP (“KPMG”) as the Company’s independent registered public accounting firm for the fiscal year ending March 28, 2010.</w:t>
      </w:r>
    </w:p>
    <w:p>
      <w:pPr>
        <w:spacing w:after="0" w:line="186"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During fiscal years 2008 and 2009 and through June 9, 2009, the Company has not consulted with KPMG with respect to any of the matters or reportable events set forth in Item 304(a)(2)(i) or (ii) of Regulation S-K.</w:t>
      </w:r>
    </w:p>
    <w:p>
      <w:pPr>
        <w:sectPr>
          <w:pgSz w:w="11900" w:h="16892" w:orient="portrait"/>
          <w:cols w:equalWidth="0" w:num="1">
            <w:col w:w="11420"/>
          </w:cols>
          <w:pgMar w:left="240" w:top="786" w:right="239" w:bottom="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Exhibit 16 – Correspondence from Deloitte &amp; Touche LLP dated June 16,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360" w:val="left"/>
          <w:tab w:leader="none" w:pos="6820" w:val="left"/>
        </w:tabs>
        <w:rPr>
          <w:sz w:val="20"/>
          <w:szCs w:val="20"/>
          <w:color w:val="auto"/>
        </w:rPr>
      </w:pPr>
      <w:r>
        <w:rPr>
          <w:rFonts w:ascii="Arial" w:cs="Arial" w:eastAsia="Arial" w:hAnsi="Arial"/>
          <w:sz w:val="18"/>
          <w:szCs w:val="18"/>
          <w:color w:val="auto"/>
        </w:rPr>
        <w:t>Date: June 17,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19685</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Richard G. Erstad</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2045970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16</w:t>
      </w:r>
    </w:p>
    <w:p>
      <w:pPr>
        <w:spacing w:after="0" w:line="22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50 South Sixth Street</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Minneapolis, MN 55402-1539</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USA</w:t>
      </w:r>
    </w:p>
    <w:p>
      <w:pPr>
        <w:spacing w:after="0" w:line="21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Tel: +1 612 397 4000</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Fax: +1 612 397 4450</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www.deloitte.com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read Item 4.01 of Hawkins, Inc.’s Form 8-K dated June 12, 2009, and have the following comments: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agree with the statements made in the first, second, third, and fourth paragraphs.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basis on which to agree or disagree with the statements made in the fifth and sixth paragraphs.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truly,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2019-12-10T00:39:08Z</dcterms:created>
  <dcterms:modified xsi:type="dcterms:W3CDTF">2019-12-10T00:39:08Z</dcterms:modified>
</cp:coreProperties>
</file>