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No.16)</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1,214,592</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1,214,592</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1,214,592</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11.45%</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1,214,592</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11.45%</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1,214,592</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1,214,592</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989,000 shares or 9.32%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2019-12-05T10:21:08Z</dcterms:created>
  <dcterms:modified xsi:type="dcterms:W3CDTF">2019-12-05T10:21:08Z</dcterms:modified>
</cp:coreProperties>
</file>