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 THE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3920" w:type="dxa"/>
            <w:vAlign w:val="bottom"/>
          </w:tcPr>
          <w:p>
            <w:pPr>
              <w:jc w:val="center"/>
              <w:ind w:right="2106"/>
              <w:spacing w:after="0"/>
              <w:rPr>
                <w:sz w:val="20"/>
                <w:szCs w:val="20"/>
                <w:color w:val="auto"/>
              </w:rPr>
            </w:pPr>
            <w:r>
              <w:rPr>
                <w:rFonts w:ascii="Arial" w:cs="Arial" w:eastAsia="Arial" w:hAnsi="Arial"/>
                <w:sz w:val="18"/>
                <w:szCs w:val="18"/>
                <w:b w:val="1"/>
                <w:bCs w:val="1"/>
                <w:color w:val="auto"/>
                <w:w w:val="98"/>
              </w:rPr>
              <w:t>MINNESOTA</w:t>
            </w:r>
          </w:p>
        </w:tc>
        <w:tc>
          <w:tcPr>
            <w:tcW w:w="3240" w:type="dxa"/>
            <w:vAlign w:val="bottom"/>
          </w:tcPr>
          <w:p>
            <w:pPr>
              <w:jc w:val="center"/>
              <w:ind w:left="2106"/>
              <w:spacing w:after="0"/>
              <w:rPr>
                <w:sz w:val="20"/>
                <w:szCs w:val="20"/>
                <w:color w:val="auto"/>
              </w:rPr>
            </w:pPr>
            <w:r>
              <w:rPr>
                <w:rFonts w:ascii="Arial" w:cs="Arial" w:eastAsia="Arial" w:hAnsi="Arial"/>
                <w:sz w:val="18"/>
                <w:szCs w:val="18"/>
                <w:b w:val="1"/>
                <w:bCs w:val="1"/>
                <w:color w:val="auto"/>
                <w:w w:val="89"/>
              </w:rPr>
              <w:t>41-0771293</w:t>
            </w:r>
          </w:p>
        </w:tc>
      </w:tr>
      <w:tr>
        <w:trPr>
          <w:trHeight w:val="149"/>
        </w:trPr>
        <w:tc>
          <w:tcPr>
            <w:tcW w:w="3920" w:type="dxa"/>
            <w:vAlign w:val="bottom"/>
          </w:tcPr>
          <w:p>
            <w:pPr>
              <w:jc w:val="center"/>
              <w:ind w:right="21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240" w:type="dxa"/>
            <w:vAlign w:val="bottom"/>
          </w:tcPr>
          <w:p>
            <w:pPr>
              <w:jc w:val="center"/>
              <w:ind w:left="21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20" w:type="dxa"/>
            <w:vAlign w:val="bottom"/>
          </w:tcPr>
          <w:p>
            <w:pPr>
              <w:jc w:val="center"/>
              <w:ind w:right="2086"/>
              <w:spacing w:after="0"/>
              <w:rPr>
                <w:sz w:val="20"/>
                <w:szCs w:val="20"/>
                <w:color w:val="auto"/>
              </w:rPr>
            </w:pPr>
            <w:r>
              <w:rPr>
                <w:rFonts w:ascii="Arial" w:cs="Arial" w:eastAsia="Arial" w:hAnsi="Arial"/>
                <w:sz w:val="14"/>
                <w:szCs w:val="14"/>
                <w:b w:val="1"/>
                <w:bCs w:val="1"/>
                <w:color w:val="auto"/>
                <w:w w:val="88"/>
              </w:rPr>
              <w:t>incorporation or organization)</w:t>
            </w:r>
          </w:p>
        </w:tc>
        <w:tc>
          <w:tcPr>
            <w:tcW w:w="3240" w:type="dxa"/>
            <w:vAlign w:val="bottom"/>
          </w:tcPr>
          <w:p>
            <w:pPr>
              <w:jc w:val="center"/>
              <w:ind w:left="21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331-6910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20" w:type="dxa"/>
            <w:vAlign w:val="bottom"/>
            <w:gridSpan w:val="2"/>
          </w:tcPr>
          <w:p>
            <w:pPr>
              <w:spacing w:after="0"/>
              <w:rPr>
                <w:sz w:val="20"/>
                <w:szCs w:val="20"/>
                <w:color w:val="auto"/>
              </w:rPr>
            </w:pPr>
            <w:r>
              <w:rPr>
                <w:rFonts w:ascii="Arial" w:cs="Arial" w:eastAsia="Arial" w:hAnsi="Arial"/>
                <w:sz w:val="18"/>
                <w:szCs w:val="18"/>
                <w:color w:val="auto"/>
                <w:w w:val="96"/>
              </w:rPr>
              <w:t>Large Accelerated Filer</w:t>
            </w:r>
          </w:p>
        </w:tc>
        <w:tc>
          <w:tcPr>
            <w:tcW w:w="404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gridSpan w:val="2"/>
          </w:tcPr>
          <w:p>
            <w:pPr>
              <w:ind w:left="29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(Do not check if a smaller reporting company)</w:t>
            </w:r>
          </w:p>
        </w:tc>
        <w:tc>
          <w:tcPr>
            <w:tcW w:w="5160" w:type="dxa"/>
            <w:vAlign w:val="bottom"/>
            <w:gridSpan w:val="2"/>
          </w:tcPr>
          <w:p>
            <w:pPr>
              <w:ind w:left="29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11020" w:type="dxa"/>
            <w:vAlign w:val="bottom"/>
            <w:gridSpan w:val="6"/>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400" w:type="dxa"/>
            <w:vAlign w:val="bottom"/>
          </w:tcPr>
          <w:p>
            <w:pPr>
              <w:spacing w:after="0"/>
              <w:rPr>
                <w:sz w:val="24"/>
                <w:szCs w:val="24"/>
                <w:color w:val="auto"/>
              </w:rPr>
            </w:pPr>
          </w:p>
        </w:tc>
      </w:tr>
      <w:tr>
        <w:trPr>
          <w:trHeight w:val="366"/>
        </w:trPr>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40" w:type="dxa"/>
            <w:vAlign w:val="bottom"/>
            <w:gridSpan w:val="2"/>
          </w:tcPr>
          <w:p>
            <w:pPr>
              <w:jc w:val="center"/>
              <w:ind w:right="860"/>
              <w:spacing w:after="0"/>
              <w:rPr>
                <w:sz w:val="20"/>
                <w:szCs w:val="20"/>
                <w:color w:val="auto"/>
              </w:rPr>
            </w:pPr>
            <w:r>
              <w:rPr>
                <w:rFonts w:ascii="Arial" w:cs="Arial" w:eastAsia="Arial" w:hAnsi="Arial"/>
                <w:sz w:val="14"/>
                <w:szCs w:val="14"/>
                <w:color w:val="auto"/>
                <w:w w:val="91"/>
              </w:rPr>
              <w:t>CLASS</w:t>
            </w:r>
          </w:p>
        </w:tc>
        <w:tc>
          <w:tcPr>
            <w:tcW w:w="5160" w:type="dxa"/>
            <w:vAlign w:val="bottom"/>
            <w:gridSpan w:val="2"/>
          </w:tcPr>
          <w:p>
            <w:pPr>
              <w:jc w:val="center"/>
              <w:ind w:right="640"/>
              <w:spacing w:after="0"/>
              <w:rPr>
                <w:sz w:val="20"/>
                <w:szCs w:val="20"/>
                <w:color w:val="auto"/>
              </w:rPr>
            </w:pPr>
            <w:r>
              <w:rPr>
                <w:rFonts w:ascii="Arial" w:cs="Arial" w:eastAsia="Arial" w:hAnsi="Arial"/>
                <w:sz w:val="14"/>
                <w:szCs w:val="14"/>
                <w:color w:val="auto"/>
                <w:w w:val="89"/>
              </w:rPr>
              <w:t>OUTSTANDING AT January 25, 2013</w:t>
            </w:r>
          </w:p>
        </w:tc>
        <w:tc>
          <w:tcPr>
            <w:tcW w:w="40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tcPr>
          <w:p>
            <w:pPr>
              <w:jc w:val="center"/>
              <w:ind w:right="697"/>
              <w:spacing w:after="0"/>
              <w:rPr>
                <w:sz w:val="20"/>
                <w:szCs w:val="20"/>
                <w:color w:val="auto"/>
              </w:rPr>
            </w:pPr>
            <w:r>
              <w:rPr>
                <w:rFonts w:ascii="Arial" w:cs="Arial" w:eastAsia="Arial" w:hAnsi="Arial"/>
                <w:sz w:val="18"/>
                <w:szCs w:val="18"/>
                <w:color w:val="auto"/>
                <w:w w:val="87"/>
              </w:rPr>
              <w:t>Common Stock, par value $.05 per share</w:t>
            </w:r>
          </w:p>
        </w:tc>
        <w:tc>
          <w:tcPr>
            <w:tcW w:w="80" w:type="dxa"/>
            <w:vAlign w:val="bottom"/>
          </w:tcPr>
          <w:p>
            <w:pPr>
              <w:spacing w:after="0"/>
              <w:rPr>
                <w:sz w:val="18"/>
                <w:szCs w:val="18"/>
                <w:color w:val="auto"/>
              </w:rPr>
            </w:pPr>
          </w:p>
        </w:tc>
        <w:tc>
          <w:tcPr>
            <w:tcW w:w="4540" w:type="dxa"/>
            <w:vAlign w:val="bottom"/>
            <w:tcBorders>
              <w:top w:val="single" w:sz="8" w:color="auto"/>
            </w:tcBorders>
          </w:tcPr>
          <w:p>
            <w:pPr>
              <w:jc w:val="right"/>
              <w:ind w:right="1797"/>
              <w:spacing w:after="0"/>
              <w:rPr>
                <w:sz w:val="20"/>
                <w:szCs w:val="20"/>
                <w:color w:val="auto"/>
              </w:rPr>
            </w:pPr>
            <w:r>
              <w:rPr>
                <w:rFonts w:ascii="Arial" w:cs="Arial" w:eastAsia="Arial" w:hAnsi="Arial"/>
                <w:sz w:val="18"/>
                <w:szCs w:val="18"/>
                <w:color w:val="auto"/>
              </w:rPr>
              <w:t>10,564,395</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71"/>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8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INFORMATION</w:t>
              </w:r>
            </w:hyperlink>
          </w:p>
        </w:tc>
        <w:tc>
          <w:tcPr>
            <w:tcW w:w="7580" w:type="dxa"/>
            <w:vAlign w:val="bottom"/>
            <w:gridSpan w:val="9"/>
          </w:tcPr>
          <w:p>
            <w:pPr>
              <w:spacing w:after="0"/>
              <w:rPr>
                <w:sz w:val="23"/>
                <w:szCs w:val="23"/>
                <w:color w:val="auto"/>
              </w:rPr>
            </w:pPr>
          </w:p>
        </w:tc>
        <w:tc>
          <w:tcPr>
            <w:tcW w:w="500" w:type="dxa"/>
            <w:vAlign w:val="bottom"/>
          </w:tcPr>
          <w:p>
            <w:pPr>
              <w:spacing w:after="0"/>
              <w:rPr>
                <w:sz w:val="23"/>
                <w:szCs w:val="23"/>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0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 December 30, 2012 and April 1, 2012</w:t>
              </w:r>
            </w:hyperlink>
          </w:p>
        </w:tc>
        <w:tc>
          <w:tcPr>
            <w:tcW w:w="42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 Three and Nine Months Ended December 30, 2012 and January 1, 2012</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Comprehensive Income – Three and Nine Months Ended December 30, 2012 and January 1, 2012</w:t>
              </w:r>
            </w:hyperlink>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 – Nine Months Ended December 30, 2012 and January 1, 2012</w:t>
              </w:r>
            </w:hyperlink>
          </w:p>
        </w:tc>
        <w:tc>
          <w:tcPr>
            <w:tcW w:w="182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Notes to Condensed Consolidated Financial Statements</w:t>
              </w:r>
            </w:hyperlink>
          </w:p>
        </w:tc>
        <w:tc>
          <w:tcPr>
            <w:tcW w:w="602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2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Management’s Discussion and Analysis of Financial Condition and Results of Operations</w:t>
              </w:r>
            </w:hyperlink>
          </w:p>
        </w:tc>
        <w:tc>
          <w:tcPr>
            <w:tcW w:w="362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86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140" w:type="dxa"/>
            <w:vAlign w:val="bottom"/>
            <w:tcBorders>
              <w:top w:val="single" w:sz="8" w:color="0000EE"/>
            </w:tcBorders>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572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7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4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2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19">
              <w:r>
                <w:rPr>
                  <w:rFonts w:ascii="Arial" w:cs="Arial" w:eastAsia="Arial" w:hAnsi="Arial"/>
                  <w:sz w:val="18"/>
                  <w:szCs w:val="18"/>
                  <w:b w:val="1"/>
                  <w:bCs w:val="1"/>
                  <w:color w:val="0000EE"/>
                  <w:w w:val="97"/>
                </w:rPr>
                <w:t>OTHER INFORMATION</w:t>
              </w:r>
            </w:hyperlink>
          </w:p>
        </w:tc>
        <w:tc>
          <w:tcPr>
            <w:tcW w:w="794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EE"/>
            </w:tcBorders>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862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20" w:type="dxa"/>
            <w:vAlign w:val="bottom"/>
            <w:tcBorders>
              <w:top w:val="single" w:sz="8" w:color="0000EE"/>
            </w:tcBorders>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904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960" w:type="dxa"/>
            <w:vAlign w:val="bottom"/>
            <w:gridSpan w:val="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5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60" w:type="dxa"/>
            <w:vAlign w:val="bottom"/>
            <w:gridSpan w:val="1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1082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 Index</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7"/>
        </w:trPr>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40" w:type="dxa"/>
            <w:vAlign w:val="bottom"/>
            <w:gridSpan w:val="10"/>
          </w:tcPr>
          <w:p>
            <w:pPr>
              <w:jc w:val="right"/>
              <w:ind w:right="84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April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24,583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18,799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12,210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receivables—less allowance for doubtful accounts: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$544 as of December 30, 2012 and $460 as of April 1, 2012</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35,266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28,915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111,829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110,855</w:t>
            </w: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146,280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127,298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(59,733)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(54,033)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7,831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331"/>
        </w:trPr>
        <w:tc>
          <w:tcPr>
            <w:tcW w:w="9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219,873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204,081</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20,604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36,289</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PENSION WITHDRAWAL LIABILITY</w:t>
            </w: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7,210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331"/>
        </w:trPr>
        <w:tc>
          <w:tcPr>
            <w:tcW w:w="94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w w:val="95"/>
              </w:rPr>
              <w:t>Common stock, par value $0.05; 10,480,917 shares issued and outstanding as of December 30, 2012 and 10,430,874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shares issued and outstanding as of April 1, 2012.</w:t>
            </w: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120,401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168,526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156,607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219,873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204,081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80" w:type="dxa"/>
            <w:vAlign w:val="bottom"/>
            <w:tcBorders>
              <w:top w:val="single" w:sz="8" w:color="auto"/>
            </w:tcBorders>
            <w:gridSpan w:val="3"/>
          </w:tcPr>
          <w:p>
            <w:pPr>
              <w:jc w:val="right"/>
              <w:ind w:right="540"/>
              <w:spacing w:after="0" w:line="129" w:lineRule="exact"/>
              <w:rPr>
                <w:sz w:val="20"/>
                <w:szCs w:val="20"/>
                <w:color w:val="auto"/>
              </w:rPr>
            </w:pPr>
            <w:r>
              <w:rPr>
                <w:rFonts w:ascii="Arial" w:cs="Arial" w:eastAsia="Arial" w:hAnsi="Arial"/>
                <w:sz w:val="14"/>
                <w:szCs w:val="14"/>
                <w:b w:val="1"/>
                <w:bCs w:val="1"/>
                <w:color w:val="auto"/>
                <w:w w:val="90"/>
              </w:rPr>
              <w:t>December 30,</w:t>
            </w: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2"/>
              </w:rPr>
              <w:t>January 1,</w:t>
            </w:r>
          </w:p>
        </w:tc>
        <w:tc>
          <w:tcPr>
            <w:tcW w:w="480" w:type="dxa"/>
            <w:vAlign w:val="bottom"/>
          </w:tcPr>
          <w:p>
            <w:pPr>
              <w:spacing w:after="0"/>
              <w:rPr>
                <w:sz w:val="11"/>
                <w:szCs w:val="11"/>
                <w:color w:val="auto"/>
              </w:rPr>
            </w:pPr>
          </w:p>
        </w:tc>
        <w:tc>
          <w:tcPr>
            <w:tcW w:w="1360" w:type="dxa"/>
            <w:vAlign w:val="bottom"/>
            <w:tcBorders>
              <w:top w:val="single" w:sz="8" w:color="auto"/>
            </w:tcBorders>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90"/>
              </w:rPr>
              <w:t>December 30,</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2"/>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(70,191)</w:t>
            </w:r>
          </w:p>
        </w:tc>
        <w:tc>
          <w:tcPr>
            <w:tcW w:w="8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(68,481)</w:t>
            </w: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(212,947)</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(208,268)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Pension withdrawal</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(7,210)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42,629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(7,617)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(7,163)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(23,299)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(22,864)</w:t>
            </w:r>
          </w:p>
        </w:tc>
        <w:tc>
          <w:tcPr>
            <w:tcW w:w="0" w:type="dxa"/>
            <w:vAlign w:val="bottom"/>
          </w:tcPr>
          <w:p>
            <w:pPr>
              <w:spacing w:after="0"/>
              <w:rPr>
                <w:sz w:val="1"/>
                <w:szCs w:val="1"/>
                <w:color w:val="auto"/>
              </w:rPr>
            </w:pPr>
          </w:p>
        </w:tc>
      </w:tr>
      <w:tr>
        <w:trPr>
          <w:trHeight w:val="221"/>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8,516</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19,330</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19,429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29,611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(11,255)</w:t>
            </w:r>
          </w:p>
        </w:tc>
        <w:tc>
          <w:tcPr>
            <w:tcW w:w="0" w:type="dxa"/>
            <w:vAlign w:val="bottom"/>
          </w:tcPr>
          <w:p>
            <w:pPr>
              <w:spacing w:after="0"/>
              <w:rPr>
                <w:sz w:val="1"/>
                <w:szCs w:val="1"/>
                <w:color w:val="auto"/>
              </w:rPr>
            </w:pPr>
          </w:p>
        </w:tc>
      </w:tr>
      <w:tr>
        <w:trPr>
          <w:trHeight w:val="221"/>
        </w:trPr>
        <w:tc>
          <w:tcPr>
            <w:tcW w:w="51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12,943</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1,348</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5,552</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12,961</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10,474,214</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10,332,480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10,454,669</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10,320,810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10,535,549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10,410,533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10,528,150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10,403,711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Basic earnings per share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Diluted earnings per share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128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December 30,</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8"/>
              </w:rPr>
              <w:t>January 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4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2012</w:t>
            </w:r>
          </w:p>
        </w:tc>
        <w:tc>
          <w:tcPr>
            <w:tcW w:w="108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12,961</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$ 19,180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(loss) on available-for-sale investments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3"/>
        </w:trPr>
        <w:tc>
          <w:tcPr>
            <w:tcW w:w="7060" w:type="dxa"/>
            <w:vAlign w:val="bottom"/>
          </w:tcPr>
          <w:p>
            <w:pPr>
              <w:ind w:left="440"/>
              <w:spacing w:after="0"/>
              <w:rPr>
                <w:sz w:val="20"/>
                <w:szCs w:val="20"/>
                <w:color w:val="auto"/>
              </w:rPr>
            </w:pPr>
            <w:r>
              <w:rPr>
                <w:rFonts w:ascii="Arial" w:cs="Arial" w:eastAsia="Arial" w:hAnsi="Arial"/>
                <w:sz w:val="18"/>
                <w:szCs w:val="18"/>
                <w:color w:val="auto"/>
              </w:rPr>
              <w:t>Unrealized gain (loss) on post-retirement liability</w:t>
            </w:r>
          </w:p>
        </w:tc>
        <w:tc>
          <w:tcPr>
            <w:tcW w:w="180" w:type="dxa"/>
            <w:vAlign w:val="bottom"/>
          </w:tcPr>
          <w:p>
            <w:pPr>
              <w:spacing w:after="0"/>
              <w:rPr>
                <w:sz w:val="24"/>
                <w:szCs w:val="24"/>
                <w:color w:val="auto"/>
              </w:rPr>
            </w:pP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8"/>
        </w:trPr>
        <w:tc>
          <w:tcPr>
            <w:tcW w:w="7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Total comprehensive income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5,442</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13,046</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$ 19,054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1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30,</w:t>
            </w: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39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12,961</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Reconciliation to cash flows: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Stock compensation expense</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Pension withdrawal liability</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Loss (gain) from property disposals</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accounts providing (using) cash:</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280"/>
              <w:spacing w:after="0"/>
              <w:rPr>
                <w:sz w:val="20"/>
                <w:szCs w:val="20"/>
                <w:color w:val="auto"/>
              </w:rPr>
            </w:pPr>
            <w:r>
              <w:rPr>
                <w:rFonts w:ascii="Arial" w:cs="Arial" w:eastAsia="Arial" w:hAnsi="Arial"/>
                <w:sz w:val="18"/>
                <w:szCs w:val="18"/>
                <w:color w:val="auto"/>
              </w:rPr>
              <w:t>Trade receivables</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liabilities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280"/>
              <w:spacing w:after="0"/>
              <w:rPr>
                <w:sz w:val="20"/>
                <w:szCs w:val="20"/>
                <w:color w:val="auto"/>
              </w:rPr>
            </w:pPr>
            <w:r>
              <w:rPr>
                <w:rFonts w:ascii="Arial" w:cs="Arial" w:eastAsia="Arial" w:hAnsi="Arial"/>
                <w:sz w:val="18"/>
                <w:szCs w:val="18"/>
                <w:color w:val="auto"/>
              </w:rPr>
              <w:t>Income taxes</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4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3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(20,083)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investments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(16,795)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Sale and maturities of investments</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Proceeds from property disposals</w:t>
            </w:r>
          </w:p>
        </w:tc>
        <w:tc>
          <w:tcPr>
            <w:tcW w:w="3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(28,288)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(14,207)</w:t>
            </w:r>
          </w:p>
        </w:tc>
        <w:tc>
          <w:tcPr>
            <w:tcW w:w="0" w:type="dxa"/>
            <w:vAlign w:val="bottom"/>
          </w:tcPr>
          <w:p>
            <w:pPr>
              <w:spacing w:after="0"/>
              <w:rPr>
                <w:sz w:val="1"/>
                <w:szCs w:val="1"/>
                <w:color w:val="auto"/>
              </w:rPr>
            </w:pPr>
          </w:p>
        </w:tc>
      </w:tr>
      <w:tr>
        <w:trPr>
          <w:trHeight w:val="323"/>
        </w:trPr>
        <w:tc>
          <w:tcPr>
            <w:tcW w:w="55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paid</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New shares issued</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3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560" w:type="dxa"/>
            <w:vAlign w:val="bottom"/>
            <w:gridSpan w:val="2"/>
          </w:tcPr>
          <w:p>
            <w:pPr>
              <w:spacing w:after="0"/>
              <w:rPr>
                <w:sz w:val="20"/>
                <w:szCs w:val="20"/>
                <w:color w:val="auto"/>
              </w:rPr>
            </w:pPr>
            <w:r>
              <w:rPr>
                <w:rFonts w:ascii="Arial" w:cs="Arial" w:eastAsia="Arial" w:hAnsi="Arial"/>
                <w:sz w:val="18"/>
                <w:szCs w:val="18"/>
                <w:color w:val="auto"/>
                <w:w w:val="99"/>
              </w:rPr>
              <w:t>NET INCREASE (DECREASE) IN CASH AND CASH EQUIVALENTS</w:t>
            </w: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(3,983)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5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9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24,583</w:t>
            </w:r>
          </w:p>
        </w:tc>
        <w:tc>
          <w:tcPr>
            <w:tcW w:w="3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39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5,126</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Noncash investing activities - Capital expenditures in accounts payable</w:t>
            </w:r>
          </w:p>
        </w:tc>
        <w:tc>
          <w:tcPr>
            <w:tcW w:w="394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spacing w:after="0"/>
              <w:rPr>
                <w:sz w:val="20"/>
                <w:szCs w:val="20"/>
                <w:color w:val="auto"/>
              </w:rPr>
            </w:pPr>
            <w:r>
              <w:rPr>
                <w:rFonts w:ascii="Arial" w:cs="Arial" w:eastAsia="Arial" w:hAnsi="Arial"/>
                <w:sz w:val="18"/>
                <w:szCs w:val="18"/>
                <w:color w:val="auto"/>
                <w:w w:val="93"/>
              </w:rPr>
              <w:t>See accompanying notes to condensed consolidated financial statements.</w:t>
            </w:r>
          </w:p>
        </w:tc>
        <w:tc>
          <w:tcPr>
            <w:tcW w:w="3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60" w:type="dxa"/>
            <w:vAlign w:val="bottom"/>
          </w:tcPr>
          <w:p>
            <w:pPr>
              <w:jc w:val="right"/>
              <w:ind w:right="3472"/>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consolidated financial statements and footnotes included in our Annual Report on Form 10-K for the fiscal year ended April 1, 2012,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18"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April 1, 2012 (“fiscal 2012”) filed with the SEC on June 1, 2012. There has been no significant change in our accounting policies since the end of fiscal 2012.</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period ended December 30, 2012 are not necessarily indicative of the results that may be expected for the full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References to fiscal 2013 refer to the fiscal year ending March 31, 2013 and references to fiscal 2014 refer to the fiscal year ending March 30, 2014.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December 30,</w:t>
            </w: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rPr>
              <w:t>January 1</w:t>
            </w:r>
          </w:p>
        </w:tc>
        <w:tc>
          <w:tcPr>
            <w:tcW w:w="30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December 30,</w:t>
            </w: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114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116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outstanding—basic</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10,474,214</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10,332,480</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10,454,669</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10,320,810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860" w:type="dxa"/>
            <w:vAlign w:val="bottom"/>
          </w:tcPr>
          <w:p>
            <w:pPr>
              <w:jc w:val="right"/>
              <w:spacing w:after="0"/>
              <w:rPr>
                <w:sz w:val="20"/>
                <w:szCs w:val="20"/>
                <w:color w:val="auto"/>
              </w:rPr>
            </w:pPr>
            <w:r>
              <w:rPr>
                <w:rFonts w:ascii="Arial" w:cs="Arial" w:eastAsia="Arial" w:hAnsi="Arial"/>
                <w:sz w:val="18"/>
                <w:szCs w:val="18"/>
                <w:color w:val="auto"/>
              </w:rPr>
              <w:t>61,335</w:t>
            </w:r>
          </w:p>
        </w:tc>
        <w:tc>
          <w:tcPr>
            <w:tcW w:w="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78,053</w:t>
            </w:r>
          </w:p>
        </w:tc>
        <w:tc>
          <w:tcPr>
            <w:tcW w:w="860" w:type="dxa"/>
            <w:vAlign w:val="bottom"/>
          </w:tcPr>
          <w:p>
            <w:pPr>
              <w:jc w:val="right"/>
              <w:spacing w:after="0"/>
              <w:rPr>
                <w:sz w:val="20"/>
                <w:szCs w:val="20"/>
                <w:color w:val="auto"/>
              </w:rPr>
            </w:pPr>
            <w:r>
              <w:rPr>
                <w:rFonts w:ascii="Arial" w:cs="Arial" w:eastAsia="Arial" w:hAnsi="Arial"/>
                <w:sz w:val="18"/>
                <w:szCs w:val="18"/>
                <w:color w:val="auto"/>
              </w:rPr>
              <w:t>73,481</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82,901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outstanding—diluted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10,535,549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10,410,533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10,528,150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10,403,711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periods ended December 30, 2012 and January 1, 2012, there were no shares or stock options excluded from the calculation of weighted-average common shares for diluted EPS.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February 2009, we agreed to sell our inventory and entered into a marketing agreement regarding the business of our Pharmaceutical segment, which provided pharmaceutical chemicals to retail pharmacies and small-scale pharmaceutical manufacturers. The agreement provided for annual payments based on a percentage of gross profit on future sales. We have no remaining obligations to fulfill under the agreement. All required payments under the agreement have been received with the final payment of $1.3 million received in the first quarter of fiscal 2013, generating a nominal gain in that quarter. We recorded a gain of approximately $0.4 million before taxes for the three months ended January 1, 2012 and approximately $1.3 million before taxes for the nine months ended January 1, 2012. The results of the Pharmaceutical segment have been reported as discontinued operations for all periods presented.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4 – Cash and Cash Equivalents and Investments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5700" w:type="dxa"/>
            <w:vAlign w:val="bottom"/>
          </w:tcPr>
          <w:p>
            <w:pPr>
              <w:spacing w:after="0"/>
              <w:rPr>
                <w:sz w:val="14"/>
                <w:szCs w:val="1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December 30,</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660" w:type="dxa"/>
            <w:vAlign w:val="bottom"/>
          </w:tcPr>
          <w:p>
            <w:pPr>
              <w:jc w:val="center"/>
              <w:ind w:right="39"/>
              <w:spacing w:after="0" w:line="142" w:lineRule="exact"/>
              <w:rPr>
                <w:sz w:val="20"/>
                <w:szCs w:val="20"/>
                <w:color w:val="auto"/>
              </w:rPr>
            </w:pPr>
            <w:r>
              <w:rPr>
                <w:rFonts w:ascii="Arial" w:cs="Arial" w:eastAsia="Arial" w:hAnsi="Arial"/>
                <w:sz w:val="14"/>
                <w:szCs w:val="14"/>
                <w:b w:val="1"/>
                <w:bCs w:val="1"/>
                <w:color w:val="auto"/>
                <w:w w:val="83"/>
              </w:rPr>
              <w:t>2012</w:t>
            </w:r>
          </w:p>
        </w:tc>
        <w:tc>
          <w:tcPr>
            <w:tcW w:w="560" w:type="dxa"/>
            <w:vAlign w:val="bottom"/>
          </w:tcPr>
          <w:p>
            <w:pPr>
              <w:spacing w:after="0"/>
              <w:rPr>
                <w:sz w:val="12"/>
                <w:szCs w:val="12"/>
                <w:color w:val="auto"/>
              </w:rPr>
            </w:pPr>
          </w:p>
        </w:tc>
        <w:tc>
          <w:tcPr>
            <w:tcW w:w="114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88"/>
              </w:rPr>
              <w:t>Level 1</w:t>
            </w:r>
          </w:p>
        </w:tc>
        <w:tc>
          <w:tcPr>
            <w:tcW w:w="112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r>
      <w:tr>
        <w:trPr>
          <w:trHeight w:val="196"/>
        </w:trPr>
        <w:tc>
          <w:tcPr>
            <w:tcW w:w="6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24,583</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$24,583</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25,625</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25,625</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Money market securities</w:t>
            </w:r>
          </w:p>
        </w:tc>
        <w:tc>
          <w:tcPr>
            <w:tcW w:w="14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358"/>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April 1,</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3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660" w:type="dxa"/>
            <w:vAlign w:val="bottom"/>
          </w:tcPr>
          <w:p>
            <w:pPr>
              <w:jc w:val="center"/>
              <w:ind w:right="39"/>
              <w:spacing w:after="0" w:line="142" w:lineRule="exact"/>
              <w:rPr>
                <w:sz w:val="20"/>
                <w:szCs w:val="20"/>
                <w:color w:val="auto"/>
              </w:rPr>
            </w:pPr>
            <w:r>
              <w:rPr>
                <w:rFonts w:ascii="Arial" w:cs="Arial" w:eastAsia="Arial" w:hAnsi="Arial"/>
                <w:sz w:val="14"/>
                <w:szCs w:val="14"/>
                <w:b w:val="1"/>
                <w:bCs w:val="1"/>
                <w:color w:val="auto"/>
                <w:w w:val="83"/>
              </w:rPr>
              <w:t>2012</w:t>
            </w:r>
          </w:p>
        </w:tc>
        <w:tc>
          <w:tcPr>
            <w:tcW w:w="560" w:type="dxa"/>
            <w:vAlign w:val="bottom"/>
          </w:tcPr>
          <w:p>
            <w:pPr>
              <w:spacing w:after="0"/>
              <w:rPr>
                <w:sz w:val="12"/>
                <w:szCs w:val="12"/>
                <w:color w:val="auto"/>
              </w:rPr>
            </w:pPr>
          </w:p>
        </w:tc>
        <w:tc>
          <w:tcPr>
            <w:tcW w:w="114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88"/>
              </w:rPr>
              <w:t>Level 1</w:t>
            </w:r>
          </w:p>
        </w:tc>
        <w:tc>
          <w:tcPr>
            <w:tcW w:w="112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r>
      <w:tr>
        <w:trPr>
          <w:trHeight w:val="196"/>
        </w:trPr>
        <w:tc>
          <w:tcPr>
            <w:tcW w:w="6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28,006</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$28,006</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17,349</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17,349</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Money market securities</w:t>
            </w:r>
          </w:p>
        </w:tc>
        <w:tc>
          <w:tcPr>
            <w:tcW w:w="14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560</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560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with original maturities ranging from three months to two years which fall within valuation technique Level 2. The CD’s are classified as investments in current assets and noncurrent assets on the condensed consolidated balance sheets. As of December 30, 2012, the CD’s in current assets had a fair value of $18.8 million, and in noncurrent assets, the CD’s had a fair value of $6.8 million.</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carrying value of cash and cash equivalents accounts approximates fair value, as original maturities are three months or less. We did not have any financial liability instruments subject to recurring fair value measurements as of December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30, 2012 and April 1, 2012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600" w:type="dxa"/>
            <w:vAlign w:val="bottom"/>
            <w:gridSpan w:val="4"/>
          </w:tcPr>
          <w:p>
            <w:pPr>
              <w:ind w:left="2460"/>
              <w:spacing w:after="0"/>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6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8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Inventory (FIFO basis)</w:t>
            </w:r>
          </w:p>
        </w:tc>
        <w:tc>
          <w:tcPr>
            <w:tcW w:w="2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$35,072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LIFO reserve</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(7,673)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inventory</w:t>
            </w:r>
          </w:p>
        </w:tc>
        <w:tc>
          <w:tcPr>
            <w:tcW w:w="264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$30.9 million at December 30, 2012 and $30.6 million at April 1, 2012. The remainder of the inventory was valued and accounted for under the FIFO method.</w:t>
      </w:r>
    </w:p>
    <w:p>
      <w:pPr>
        <w:spacing w:after="0" w:line="132"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The LIFO reserve increased $0.1 million during the three months ended December 30, 2012 compared to a decrease of $0.6 million during the three months ended January 1, 2012. During the nine months ended December 30, 2012, the LIFO reserve increased $0.2 million and for the nine months ended January 1, 2012 the LIFO reserve decreased $0.2 million as a result of the changes in projected inventory costs, mix and volumes. The valuation of LIFO inventory for interim periods is based on our estimates of year-end inventory levels and costs.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7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6 – 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as of December 30, 2012 and at April 1, 2012 was $6.5 million.</w:t>
      </w:r>
    </w:p>
    <w:p>
      <w:pPr>
        <w:spacing w:after="0" w:line="17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Intangible assets consist primarily of customer lists, trademarks, trade secrets and non-compete agreements classified as finite life and trade names classified as indefinite life, related to business acquisitions. A summary of our intangible assets as of December 30, 2012 and April 1, 2012 were as follows: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color w:val="auto"/>
                <w:w w:val="95"/>
              </w:rPr>
              <w:t>December 30, 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gridSpan w:val="3"/>
          </w:tcPr>
          <w:p>
            <w:pPr>
              <w:jc w:val="center"/>
              <w:ind w:right="140"/>
              <w:spacing w:after="0" w:line="131" w:lineRule="exact"/>
              <w:rPr>
                <w:sz w:val="20"/>
                <w:szCs w:val="20"/>
                <w:color w:val="auto"/>
              </w:rPr>
            </w:pPr>
            <w:r>
              <w:rPr>
                <w:rFonts w:ascii="Arial" w:cs="Arial" w:eastAsia="Arial" w:hAnsi="Arial"/>
                <w:sz w:val="14"/>
                <w:szCs w:val="14"/>
                <w:color w:val="auto"/>
                <w:w w:val="87"/>
              </w:rPr>
              <w:t>Gross Carrying</w:t>
            </w:r>
          </w:p>
        </w:tc>
        <w:tc>
          <w:tcPr>
            <w:tcW w:w="460" w:type="dxa"/>
            <w:vAlign w:val="bottom"/>
          </w:tcPr>
          <w:p>
            <w:pPr>
              <w:spacing w:after="0"/>
              <w:rPr>
                <w:sz w:val="11"/>
                <w:szCs w:val="11"/>
                <w:color w:val="auto"/>
              </w:rPr>
            </w:pPr>
          </w:p>
        </w:tc>
        <w:tc>
          <w:tcPr>
            <w:tcW w:w="1320" w:type="dxa"/>
            <w:vAlign w:val="bottom"/>
            <w:gridSpan w:val="3"/>
          </w:tcPr>
          <w:p>
            <w:pPr>
              <w:spacing w:after="0" w:line="131" w:lineRule="exact"/>
              <w:rPr>
                <w:sz w:val="20"/>
                <w:szCs w:val="20"/>
                <w:color w:val="auto"/>
              </w:rPr>
            </w:pPr>
            <w:r>
              <w:rPr>
                <w:rFonts w:ascii="Arial" w:cs="Arial" w:eastAsia="Arial" w:hAnsi="Arial"/>
                <w:sz w:val="14"/>
                <w:szCs w:val="14"/>
                <w:color w:val="auto"/>
              </w:rPr>
              <w:t>Accumulated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5"/>
              </w:rPr>
              <w:t>Amount</w:t>
            </w:r>
          </w:p>
        </w:tc>
        <w:tc>
          <w:tcPr>
            <w:tcW w:w="460" w:type="dxa"/>
            <w:vAlign w:val="bottom"/>
          </w:tcPr>
          <w:p>
            <w:pPr>
              <w:spacing w:after="0"/>
              <w:rPr>
                <w:sz w:val="13"/>
                <w:szCs w:val="13"/>
                <w:color w:val="auto"/>
              </w:rPr>
            </w:pPr>
          </w:p>
        </w:tc>
        <w:tc>
          <w:tcPr>
            <w:tcW w:w="1320" w:type="dxa"/>
            <w:vAlign w:val="bottom"/>
            <w:gridSpan w:val="3"/>
          </w:tcPr>
          <w:p>
            <w:pPr>
              <w:spacing w:after="0" w:line="159" w:lineRule="exact"/>
              <w:rPr>
                <w:sz w:val="20"/>
                <w:szCs w:val="20"/>
                <w:color w:val="auto"/>
              </w:rPr>
            </w:pPr>
            <w:r>
              <w:rPr>
                <w:rFonts w:ascii="Arial" w:cs="Arial" w:eastAsia="Arial" w:hAnsi="Arial"/>
                <w:sz w:val="14"/>
                <w:szCs w:val="14"/>
                <w:color w:val="auto"/>
              </w:rPr>
              <w:t>Amortization</w:t>
            </w:r>
          </w:p>
        </w:tc>
        <w:tc>
          <w:tcPr>
            <w:tcW w:w="6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Finite-life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5,508</w:t>
            </w:r>
          </w:p>
        </w:tc>
        <w:tc>
          <w:tcPr>
            <w:tcW w:w="14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(912)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Trade secrets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(609)</w:t>
            </w:r>
          </w:p>
        </w:tc>
        <w:tc>
          <w:tcPr>
            <w:tcW w:w="5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Carrier relationships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Other finite-life intangible assets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(324)</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finite-life intangible 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(2,245)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w:t>
            </w: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(2,245)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color w:val="auto"/>
              </w:rPr>
              <w:t>April 1, 2012</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gridSpan w:val="3"/>
          </w:tcPr>
          <w:p>
            <w:pPr>
              <w:jc w:val="center"/>
              <w:ind w:right="100"/>
              <w:spacing w:after="0" w:line="131" w:lineRule="exact"/>
              <w:rPr>
                <w:sz w:val="20"/>
                <w:szCs w:val="20"/>
                <w:color w:val="auto"/>
              </w:rPr>
            </w:pPr>
            <w:r>
              <w:rPr>
                <w:rFonts w:ascii="Arial" w:cs="Arial" w:eastAsia="Arial" w:hAnsi="Arial"/>
                <w:sz w:val="14"/>
                <w:szCs w:val="14"/>
                <w:color w:val="auto"/>
                <w:w w:val="87"/>
              </w:rPr>
              <w:t>Gross Carrying</w:t>
            </w:r>
          </w:p>
        </w:tc>
        <w:tc>
          <w:tcPr>
            <w:tcW w:w="460" w:type="dxa"/>
            <w:vAlign w:val="bottom"/>
          </w:tcPr>
          <w:p>
            <w:pPr>
              <w:spacing w:after="0"/>
              <w:rPr>
                <w:sz w:val="11"/>
                <w:szCs w:val="11"/>
                <w:color w:val="auto"/>
              </w:rPr>
            </w:pPr>
          </w:p>
        </w:tc>
        <w:tc>
          <w:tcPr>
            <w:tcW w:w="1320" w:type="dxa"/>
            <w:vAlign w:val="bottom"/>
            <w:gridSpan w:val="3"/>
          </w:tcPr>
          <w:p>
            <w:pPr>
              <w:spacing w:after="0" w:line="131" w:lineRule="exact"/>
              <w:rPr>
                <w:sz w:val="20"/>
                <w:szCs w:val="20"/>
                <w:color w:val="auto"/>
              </w:rPr>
            </w:pPr>
            <w:r>
              <w:rPr>
                <w:rFonts w:ascii="Arial" w:cs="Arial" w:eastAsia="Arial" w:hAnsi="Arial"/>
                <w:sz w:val="14"/>
                <w:szCs w:val="14"/>
                <w:color w:val="auto"/>
              </w:rPr>
              <w:t>Accumulated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91"/>
              </w:rPr>
              <w:t>Amount</w:t>
            </w:r>
          </w:p>
        </w:tc>
        <w:tc>
          <w:tcPr>
            <w:tcW w:w="460" w:type="dxa"/>
            <w:vAlign w:val="bottom"/>
          </w:tcPr>
          <w:p>
            <w:pPr>
              <w:spacing w:after="0"/>
              <w:rPr>
                <w:sz w:val="13"/>
                <w:szCs w:val="13"/>
                <w:color w:val="auto"/>
              </w:rPr>
            </w:pPr>
          </w:p>
        </w:tc>
        <w:tc>
          <w:tcPr>
            <w:tcW w:w="1320" w:type="dxa"/>
            <w:vAlign w:val="bottom"/>
            <w:gridSpan w:val="3"/>
          </w:tcPr>
          <w:p>
            <w:pPr>
              <w:spacing w:after="0" w:line="159" w:lineRule="exact"/>
              <w:rPr>
                <w:sz w:val="20"/>
                <w:szCs w:val="20"/>
                <w:color w:val="auto"/>
              </w:rPr>
            </w:pPr>
            <w:r>
              <w:rPr>
                <w:rFonts w:ascii="Arial" w:cs="Arial" w:eastAsia="Arial" w:hAnsi="Arial"/>
                <w:sz w:val="14"/>
                <w:szCs w:val="14"/>
                <w:color w:val="auto"/>
              </w:rPr>
              <w:t>Amortization</w:t>
            </w:r>
          </w:p>
        </w:tc>
        <w:tc>
          <w:tcPr>
            <w:tcW w:w="6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Finite-life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5,508</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(706)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Trade secrets</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(521)</w:t>
            </w:r>
          </w:p>
        </w:tc>
        <w:tc>
          <w:tcPr>
            <w:tcW w:w="5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Carrier relationships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Other finite-life intangible assets</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(317)</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finite-life intangible assets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1,227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9,976</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preparation of our condensed consolidated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condensed consolidated balance sheet. These assets and liabilities are analyzed regularly and management assesses the likelihood that deferred tax assets will be recovered from future taxable income. We record any interest and penalties related to income taxes as income tax expense in the condensed consolidated statements of income. In the third quarter of fiscal 2013, we amended previously filed U.S. federal tax returns due to an increase in the benefits related to the domestic manufacturing deduction and investment tax credits, which positively impacted our effective tax rate.</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Changes in recognition or measurement are reflected in the period in which the change in judgment occurs.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file income tax returns in the U.S. federal jurisdiction and numerous state and local jurisdictions. With few exceptions, we are no longer subject to U.S. federal and state and local income tax examinations by tax authorities for the fiscal year ended March 30, 2008 and earlier periods, and we are not currently under audit by any jurisdiction.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8 – Accumulated Other Comprehensive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were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3"/>
          </w:tcPr>
          <w:p>
            <w:pPr>
              <w:spacing w:after="0"/>
              <w:rPr>
                <w:sz w:val="20"/>
                <w:szCs w:val="20"/>
                <w:color w:val="auto"/>
              </w:rPr>
            </w:pPr>
            <w:r>
              <w:rPr>
                <w:rFonts w:ascii="Arial" w:cs="Arial" w:eastAsia="Arial" w:hAnsi="Arial"/>
                <w:sz w:val="14"/>
                <w:szCs w:val="14"/>
                <w:color w:val="auto"/>
              </w:rPr>
              <w:t>December 30,</w:t>
            </w:r>
          </w:p>
        </w:tc>
        <w:tc>
          <w:tcPr>
            <w:tcW w:w="880" w:type="dxa"/>
            <w:vAlign w:val="bottom"/>
            <w:gridSpan w:val="4"/>
          </w:tcPr>
          <w:p>
            <w:pPr>
              <w:ind w:left="340"/>
              <w:spacing w:after="0"/>
              <w:rPr>
                <w:sz w:val="20"/>
                <w:szCs w:val="20"/>
                <w:color w:val="auto"/>
              </w:rPr>
            </w:pPr>
            <w:r>
              <w:rPr>
                <w:rFonts w:ascii="Arial" w:cs="Arial" w:eastAsia="Arial" w:hAnsi="Arial"/>
                <w:sz w:val="14"/>
                <w:szCs w:val="14"/>
                <w:color w:val="auto"/>
              </w:rPr>
              <w:t>April 1,</w:t>
            </w:r>
          </w:p>
        </w:tc>
        <w:tc>
          <w:tcPr>
            <w:tcW w:w="0" w:type="dxa"/>
            <w:vAlign w:val="bottom"/>
          </w:tcPr>
          <w:p>
            <w:pPr>
              <w:spacing w:after="0"/>
              <w:rPr>
                <w:sz w:val="1"/>
                <w:szCs w:val="1"/>
                <w:color w:val="auto"/>
              </w:rPr>
            </w:pPr>
          </w:p>
        </w:tc>
      </w:tr>
      <w:tr>
        <w:trPr>
          <w:trHeight w:val="159"/>
        </w:trPr>
        <w:tc>
          <w:tcPr>
            <w:tcW w:w="6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7"/>
              <w:spacing w:after="0" w:line="159" w:lineRule="exact"/>
              <w:rPr>
                <w:sz w:val="20"/>
                <w:szCs w:val="20"/>
                <w:color w:val="auto"/>
              </w:rPr>
            </w:pPr>
            <w:r>
              <w:rPr>
                <w:rFonts w:ascii="Arial" w:cs="Arial" w:eastAsia="Arial" w:hAnsi="Arial"/>
                <w:sz w:val="14"/>
                <w:szCs w:val="14"/>
                <w:color w:val="auto"/>
              </w:rPr>
              <w:t>2012</w:t>
            </w:r>
          </w:p>
        </w:tc>
        <w:tc>
          <w:tcPr>
            <w:tcW w:w="360" w:type="dxa"/>
            <w:vAlign w:val="bottom"/>
          </w:tcPr>
          <w:p>
            <w:pPr>
              <w:spacing w:after="0"/>
              <w:rPr>
                <w:sz w:val="13"/>
                <w:szCs w:val="13"/>
                <w:color w:val="auto"/>
              </w:rPr>
            </w:pPr>
          </w:p>
        </w:tc>
        <w:tc>
          <w:tcPr>
            <w:tcW w:w="7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Unrealized gain (loss) on:</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Available-for-sale investments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Post-retirement plan liability</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(122)</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The following table represents the stock option activity for the nine months ended December 30,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580" w:type="dxa"/>
            <w:vAlign w:val="bottom"/>
            <w:tcBorders>
              <w:bottom w:val="single" w:sz="8" w:color="auto"/>
            </w:tcBorders>
            <w:gridSpan w:val="6"/>
          </w:tcPr>
          <w:p>
            <w:pPr>
              <w:jc w:val="right"/>
              <w:ind w:right="335"/>
              <w:spacing w:after="0"/>
              <w:rPr>
                <w:sz w:val="20"/>
                <w:szCs w:val="20"/>
                <w:color w:val="auto"/>
              </w:rPr>
            </w:pPr>
            <w:r>
              <w:rPr>
                <w:rFonts w:ascii="Arial" w:cs="Arial" w:eastAsia="Arial" w:hAnsi="Arial"/>
                <w:sz w:val="14"/>
                <w:szCs w:val="14"/>
                <w:b w:val="1"/>
                <w:bCs w:val="1"/>
                <w:color w:val="auto"/>
              </w:rPr>
              <w:t>Outstanding</w:t>
            </w:r>
          </w:p>
        </w:tc>
        <w:tc>
          <w:tcPr>
            <w:tcW w:w="400" w:type="dxa"/>
            <w:vAlign w:val="bottom"/>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Exercisable</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r>
      <w:tr>
        <w:trPr>
          <w:trHeight w:val="149"/>
        </w:trPr>
        <w:tc>
          <w:tcPr>
            <w:tcW w:w="6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61"/>
        </w:trPr>
        <w:tc>
          <w:tcPr>
            <w:tcW w:w="682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35"/>
              <w:spacing w:after="0"/>
              <w:rPr>
                <w:sz w:val="20"/>
                <w:szCs w:val="20"/>
                <w:color w:val="auto"/>
              </w:rPr>
            </w:pPr>
            <w:r>
              <w:rPr>
                <w:rFonts w:ascii="Arial" w:cs="Arial" w:eastAsia="Arial" w:hAnsi="Arial"/>
                <w:sz w:val="14"/>
                <w:szCs w:val="14"/>
                <w:b w:val="1"/>
                <w:bCs w:val="1"/>
                <w:color w:val="auto"/>
                <w:w w:val="87"/>
              </w:rPr>
              <w:t>Price</w:t>
            </w:r>
          </w:p>
        </w:tc>
        <w:tc>
          <w:tcPr>
            <w:tcW w:w="4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19.01</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Exercised</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(27,999)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18.41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(27,999)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18.41</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18,666</w:t>
            </w:r>
          </w:p>
        </w:tc>
        <w:tc>
          <w:tcPr>
            <w:tcW w:w="2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18,666</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19.90</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the three and nine months ended December 30, 2012 and January 1, 2012 related to stock options was not material.</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Performance-Based Restricted Stock Units.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during the first quarters of each of fiscal 2013 and 2012. These performance-based arrangements provide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53,193 shares in the aggregate for fiscal 2013.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nine months ended December 30, 2012:</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Average Grant</w:t>
            </w: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98"/>
              </w:rPr>
              <w:t>Shares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Date Fair Value</w:t>
            </w: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33,321</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29,923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Forfeited or expired</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63,244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recorded compensation expense of $0.3 million and $0.8 million related to performance share units and restricted stock for the three and nine months ended December 30, 2012, respectively. We recorded compensation expense of $0.2 million and $0.6 million related to performance share units and restricted stock for the three and nine months ended January 1, 2012, respectively. Substantially all of the compensation expense was recorded in selling, general and administrative expenses in the Condensed Consolidated Statements of Income.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0" w:name="page11"/>
    <w:bookmarkEnd w:id="10"/>
    <w:p>
      <w:pPr>
        <w:ind w:right="120"/>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Restricted Stock Awards. </w:t>
      </w:r>
      <w:r>
        <w:rPr>
          <w:rFonts w:ascii="Arial" w:cs="Arial" w:eastAsia="Arial" w:hAnsi="Arial"/>
          <w:sz w:val="16"/>
          <w:szCs w:val="16"/>
          <w:color w:val="auto"/>
        </w:rPr>
        <w:t>As part of their retainer, each non-employee director receives an annual grant of restricted stock for their Board services. The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awards are expensed over the requisite vesting period, which is one year from the date of issuance, based on the market value on the date of grant. The following table represents the Board’s restricted stock activity for the nine months ended December 30, 2012:</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Average Grant</w:t>
            </w: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Date Fair Value</w:t>
            </w: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5,724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(6,120)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Forfeited or expired</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the three months ended December 30, 2012 and January 1, 2012 related to restricted stock awards to the Board was $0.1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the nine months ended December 30, 2012 and January 1, 2012 related to restricted stock awards to the Board was $0.2 million.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Pension Plans</w:t>
      </w:r>
    </w:p>
    <w:p>
      <w:pPr>
        <w:spacing w:after="0" w:line="9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Multiemployer pension plan</w:t>
      </w:r>
      <w:r>
        <w:rPr>
          <w:rFonts w:ascii="Arial" w:cs="Arial" w:eastAsia="Arial" w:hAnsi="Arial"/>
          <w:sz w:val="18"/>
          <w:szCs w:val="18"/>
          <w:color w:val="auto"/>
        </w:rPr>
        <w:t>. We participate in the Central States, Southeast and Southwest Areas Pension Fund (“CSS” or “the plan”), a collectively bargained</w:t>
      </w:r>
      <w:r>
        <w:rPr>
          <w:rFonts w:ascii="Arial" w:cs="Arial" w:eastAsia="Arial" w:hAnsi="Arial"/>
          <w:sz w:val="18"/>
          <w:szCs w:val="18"/>
          <w:i w:val="1"/>
          <w:iCs w:val="1"/>
          <w:color w:val="auto"/>
        </w:rPr>
        <w:t xml:space="preserve"> </w:t>
      </w:r>
      <w:r>
        <w:rPr>
          <w:rFonts w:ascii="Arial" w:cs="Arial" w:eastAsia="Arial" w:hAnsi="Arial"/>
          <w:sz w:val="18"/>
          <w:szCs w:val="18"/>
          <w:color w:val="auto"/>
        </w:rPr>
        <w:t>multiemployer pension plan. Our participation in the plan is pursuant to two collective bargaining agreements that each expire on February 28, 2013. Our contributions to the plan are determined in accordance with the provisions of the collective bargaining agreements and have been based on a fixed payment per employee for each week worked. In accordance with the accounting rules, we have recorded the required cash contributions to the CSS as an expense in the period incurred.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risks of participating in a multiemployer pension plan are different from the risks of participating in a single-employer plan in the following respects:</w:t>
      </w:r>
    </w:p>
    <w:p>
      <w:pPr>
        <w:spacing w:after="0" w:line="38" w:lineRule="exact"/>
        <w:rPr>
          <w:sz w:val="20"/>
          <w:szCs w:val="20"/>
          <w:color w:val="auto"/>
        </w:rPr>
      </w:pPr>
    </w:p>
    <w:p>
      <w:pPr>
        <w:ind w:right="140" w:firstLine="8"/>
        <w:spacing w:after="0" w:line="287" w:lineRule="auto"/>
        <w:tabs>
          <w:tab w:leader="none" w:pos="249" w:val="left"/>
        </w:tabs>
        <w:numPr>
          <w:ilvl w:val="0"/>
          <w:numId w:val="1"/>
        </w:numPr>
        <w:rPr>
          <w:rFonts w:ascii="Arial" w:cs="Arial" w:eastAsia="Arial" w:hAnsi="Arial"/>
          <w:sz w:val="16"/>
          <w:szCs w:val="16"/>
          <w:color w:val="auto"/>
        </w:rPr>
      </w:pPr>
      <w:r>
        <w:rPr>
          <w:rFonts w:ascii="Arial" w:cs="Arial" w:eastAsia="Arial" w:hAnsi="Arial"/>
          <w:sz w:val="16"/>
          <w:szCs w:val="16"/>
          <w:color w:val="auto"/>
        </w:rPr>
        <w:t>assets contributed to a multiemployer fund by each employer are comingled with the assets contributed by other employers and are used to finance the benefits to employees of all participating employers; (2) to the extent that the assets of the fund are insufficient to meet the fund’s obligations to all of the employees whose accrued benefits are vested, the plan accrues an “unfunded vested liability”; (3) if a participating employer withdraws from the fund (for example, stops contributing to the plan), the fund is required by law to charge a proportional share of the unfunded vested liability to the withdrawing employer. This is referred to as a withdrawal liability. As a result of the extent to which CSS is underfunded, CSS is considered to be in “critical status” as defined by the Pension Protection Act of 2006. Based upon the most recent information available from the trustees of CSS, our withdrawal liability (that is, our share of plan’s unfunded vested benefit liability) was estimated to be approximately $10.0 million if the withdrawal had occurred in calendar year 2012, an increase from an estimate of approximately $7.9 million if the withdrawal had occurred in calendar year 2011. The plan has not yet estimated our withdrawal liability if we withdraw in 2013 or thereafter.</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Management commenced negotiations in the third quarter of fiscal 2013 to modify the collective bargaining agreements when they expire. Subject to our good-faith bargaining obligations and based on our negotiations undertaken to date, we believe it is probable that we will withdraw from CSS for both bargaining units, thus completely discontinuing our participation in CSS. As a replacement for CSS, we have offered to provide defined-contribution retirement benefits to our union employees that are similar to those benefits currently offered to our non-union employees.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accounting rules for multiemployer pension plans, a withdrawal liability should be recorded if circumstances that give rise to an obligation become probable and estimable. As a result of the actions noted above, in the third quarter of fiscal 2013 we recorded a pre-tax charge of $7.2 million (approximately $4.5 million after tax or $0.43 per share, fully diluted). This charge represents the discounted value of our estimated withdrawal payment obligation and has been recorded as a charge in our Industrial segment.</w:t>
      </w:r>
    </w:p>
    <w:p>
      <w:pPr>
        <w:spacing w:after="0" w:line="143"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Payment of our share of the unfunded vested benefit liability may be made over 20 years and is subject to a cap. At the end of the 20-year period we would have no further liability, even if our share of the unfunded vested benefit liability had not yet been paid in full. The annual payment amount is determined based on</w:t>
      </w:r>
    </w:p>
    <w:p>
      <w:pPr>
        <w:ind w:right="20" w:firstLine="8"/>
        <w:spacing w:after="0" w:line="253"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average number of work hours reported to the pension plan trust during the three consecutive years with the highest number of contribution work weeks in the 10-year period prior to the withdrawal, multiplied by (2) the highest hourly contribution rate during the 10-year period. We estimate the aggregate cash payments to be made to total approximately $9.3 million, or $467,000 per year beginning some time in fiscal 2014. We have accrued the discounted value of that payment obligation in the “Pension withdrawal” line item on the condensed consolidated statements of income for the three and nine months ended December 30, 2012.</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1" w:name="page12"/>
    <w:bookmarkEnd w:id="11"/>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ultimate amount of the discounted withdrawal liability assessed by CSS could be impacted by a number of factors, including, among other things, when we actually withdraw, a mass withdrawal (generally a withdrawal of substantially all contributing employers), the number of work weeks reported to CSS by us, the hourly contribution rate paid by us, the continued participation of other employers in CSS, financial difficulty of other participating employers in the plan (including bankruptcy), investment returns, benefit levels, and interest rates. Any assessment in excess of our accrual could impact our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Litigation, Commitments and Contingencies</w:t>
      </w:r>
    </w:p>
    <w:p>
      <w:pPr>
        <w:spacing w:after="0" w:line="9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a party from time to time in litigation arising in the ordinary course of our business. Legal fees associated with such matters are expensed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quarter of fiscal 2013, we entered into a settlement agreement with ICL Performance Products LP (“ICL”), a chemical supplier to us, pursuant to which we mutually resolved the previously disclosed litigation and all disputes among us. The settlement agreement provides for a cash payment by us to ICL and provides that both parties will enter into new contracts for the supply by ICL of certain chemicals to us. Our obligations under the settlement agreement resulted in a $3.2 million charge to pretax income recorded in cost of sales (approximately $2.0 million or $0.19 per share, fully diluted, after tax) for the fiscal quarter ended July 1, 2012 which was recorded in our Industrial segment.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as disclosed in our fiscal 2012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customer represents ten percent or more of our revenue. Sales are primarily within the United States and all assets are located within the United States.</w:t>
      </w:r>
    </w:p>
    <w:p>
      <w:pPr>
        <w:spacing w:after="0" w:line="1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Water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80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2820" w:type="dxa"/>
            <w:vAlign w:val="bottom"/>
          </w:tcPr>
          <w:p>
            <w:pPr>
              <w:spacing w:after="0"/>
              <w:rPr>
                <w:sz w:val="14"/>
                <w:szCs w:val="14"/>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Industrial</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Treatment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380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December 30, 2012:</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Sales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63,109</w:t>
            </w:r>
          </w:p>
        </w:tc>
        <w:tc>
          <w:tcPr>
            <w:tcW w:w="4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$ 22,418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85,527</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00" w:type="dxa"/>
            <w:vAlign w:val="bottom"/>
            <w:shd w:val="clear" w:color="auto" w:fill="CCEEFF"/>
          </w:tcPr>
          <w:p>
            <w:pPr>
              <w:spacing w:after="0"/>
              <w:rPr>
                <w:sz w:val="18"/>
                <w:szCs w:val="18"/>
                <w:color w:val="auto"/>
              </w:rPr>
            </w:pPr>
          </w:p>
        </w:tc>
      </w:tr>
      <w:tr>
        <w:trPr>
          <w:trHeight w:val="222"/>
        </w:trPr>
        <w:tc>
          <w:tcPr>
            <w:tcW w:w="380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(2,104)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2,613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r>
      <w:tr>
        <w:trPr>
          <w:trHeight w:val="102"/>
        </w:trPr>
        <w:tc>
          <w:tcPr>
            <w:tcW w:w="3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January 1, 2012:</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Sales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63,741</w:t>
            </w:r>
          </w:p>
        </w:tc>
        <w:tc>
          <w:tcPr>
            <w:tcW w:w="4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$ 20,419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84,160</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w:t>
            </w:r>
          </w:p>
        </w:tc>
        <w:tc>
          <w:tcPr>
            <w:tcW w:w="100" w:type="dxa"/>
            <w:vAlign w:val="bottom"/>
            <w:shd w:val="clear" w:color="auto" w:fill="CCEEFF"/>
          </w:tcPr>
          <w:p>
            <w:pPr>
              <w:spacing w:after="0"/>
              <w:rPr>
                <w:sz w:val="18"/>
                <w:szCs w:val="18"/>
                <w:color w:val="auto"/>
              </w:rPr>
            </w:pPr>
          </w:p>
        </w:tc>
      </w:tr>
      <w:tr>
        <w:trPr>
          <w:trHeight w:val="222"/>
        </w:trPr>
        <w:tc>
          <w:tcPr>
            <w:tcW w:w="380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5,716</w:t>
            </w:r>
          </w:p>
        </w:tc>
        <w:tc>
          <w:tcPr>
            <w:tcW w:w="4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19"/>
                <w:szCs w:val="19"/>
                <w:color w:val="auto"/>
              </w:rPr>
            </w:pPr>
          </w:p>
        </w:tc>
      </w:tr>
      <w:tr>
        <w:trPr>
          <w:trHeight w:val="102"/>
        </w:trPr>
        <w:tc>
          <w:tcPr>
            <w:tcW w:w="3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December 30, 2012:</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Sales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182,474</w:t>
            </w:r>
          </w:p>
        </w:tc>
        <w:tc>
          <w:tcPr>
            <w:tcW w:w="4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$ 80,312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262,786</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19,992</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42,629</w:t>
            </w:r>
          </w:p>
        </w:tc>
        <w:tc>
          <w:tcPr>
            <w:tcW w:w="100" w:type="dxa"/>
            <w:vAlign w:val="bottom"/>
            <w:shd w:val="clear" w:color="auto" w:fill="CCEEFF"/>
          </w:tcPr>
          <w:p>
            <w:pPr>
              <w:spacing w:after="0"/>
              <w:rPr>
                <w:sz w:val="18"/>
                <w:szCs w:val="18"/>
                <w:color w:val="auto"/>
              </w:rPr>
            </w:pPr>
          </w:p>
        </w:tc>
      </w:tr>
      <w:tr>
        <w:trPr>
          <w:trHeight w:val="222"/>
        </w:trPr>
        <w:tc>
          <w:tcPr>
            <w:tcW w:w="380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5,731</w:t>
            </w:r>
          </w:p>
        </w:tc>
        <w:tc>
          <w:tcPr>
            <w:tcW w:w="4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13,599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19,330</w:t>
            </w:r>
          </w:p>
        </w:tc>
        <w:tc>
          <w:tcPr>
            <w:tcW w:w="100" w:type="dxa"/>
            <w:vAlign w:val="bottom"/>
          </w:tcPr>
          <w:p>
            <w:pPr>
              <w:spacing w:after="0"/>
              <w:rPr>
                <w:sz w:val="19"/>
                <w:szCs w:val="19"/>
                <w:color w:val="auto"/>
              </w:rPr>
            </w:pPr>
          </w:p>
        </w:tc>
      </w:tr>
      <w:tr>
        <w:trPr>
          <w:trHeight w:val="102"/>
        </w:trPr>
        <w:tc>
          <w:tcPr>
            <w:tcW w:w="38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January 1, 2012:</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Sales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188,646</w:t>
            </w:r>
          </w:p>
        </w:tc>
        <w:tc>
          <w:tcPr>
            <w:tcW w:w="4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$ 71,978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260,624</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31,786</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52,356</w:t>
            </w:r>
          </w:p>
        </w:tc>
        <w:tc>
          <w:tcPr>
            <w:tcW w:w="100" w:type="dxa"/>
            <w:vAlign w:val="bottom"/>
            <w:shd w:val="clear" w:color="auto" w:fill="CCEEFF"/>
          </w:tcPr>
          <w:p>
            <w:pPr>
              <w:spacing w:after="0"/>
              <w:rPr>
                <w:sz w:val="18"/>
                <w:szCs w:val="18"/>
                <w:color w:val="auto"/>
              </w:rPr>
            </w:pPr>
          </w:p>
        </w:tc>
      </w:tr>
      <w:tr>
        <w:trPr>
          <w:trHeight w:val="222"/>
        </w:trPr>
        <w:tc>
          <w:tcPr>
            <w:tcW w:w="380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17,143</w:t>
            </w:r>
          </w:p>
        </w:tc>
        <w:tc>
          <w:tcPr>
            <w:tcW w:w="4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12,349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29,492</w:t>
            </w:r>
          </w:p>
        </w:tc>
        <w:tc>
          <w:tcPr>
            <w:tcW w:w="100" w:type="dxa"/>
            <w:vAlign w:val="bottom"/>
          </w:tcPr>
          <w:p>
            <w:pPr>
              <w:spacing w:after="0"/>
              <w:rPr>
                <w:sz w:val="19"/>
                <w:szCs w:val="19"/>
                <w:color w:val="auto"/>
              </w:rPr>
            </w:pPr>
          </w:p>
        </w:tc>
      </w:tr>
      <w:tr>
        <w:trPr>
          <w:trHeight w:val="356"/>
        </w:trPr>
        <w:tc>
          <w:tcPr>
            <w:tcW w:w="3800" w:type="dxa"/>
            <w:vAlign w:val="bottom"/>
          </w:tcPr>
          <w:p>
            <w:pPr>
              <w:spacing w:after="0"/>
              <w:rPr>
                <w:sz w:val="24"/>
                <w:szCs w:val="24"/>
                <w:color w:val="auto"/>
              </w:rPr>
            </w:pPr>
          </w:p>
        </w:tc>
        <w:tc>
          <w:tcPr>
            <w:tcW w:w="2820" w:type="dxa"/>
            <w:vAlign w:val="bottom"/>
          </w:tcPr>
          <w:p>
            <w:pPr>
              <w:jc w:val="right"/>
              <w:ind w:right="165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90" w:lineRule="exact"/>
        <w:rPr>
          <w:sz w:val="20"/>
          <w:szCs w:val="20"/>
          <w:color w:val="auto"/>
        </w:rPr>
      </w:pPr>
    </w:p>
    <w:p>
      <w:pPr>
        <w:ind w:right="340"/>
        <w:spacing w:after="0" w:line="323" w:lineRule="auto"/>
        <w:rPr>
          <w:sz w:val="20"/>
          <w:szCs w:val="20"/>
          <w:color w:val="auto"/>
        </w:rPr>
      </w:pPr>
      <w:r>
        <w:rPr>
          <w:rFonts w:ascii="Arial" w:cs="Arial" w:eastAsia="Arial" w:hAnsi="Arial"/>
          <w:sz w:val="15"/>
          <w:szCs w:val="15"/>
          <w:color w:val="auto"/>
        </w:rPr>
        <w:t>The following is a discussion and analysis of our financial condition and results of operations for the three and nine months ended December 30, 2012 as compared to January 1, 2012. This discussion should be read in conjunction with the Condensed Consolidated Financial Statements and Notes to Condensed Consolidated Financial Statements included in this Form 10-Q and Item 8 of our Annual Report on Form 10-K for the fiscal year ended April 1, 2012 (“fiscal 2012”). References to fiscal 2013 refer to the fiscal year ending March 31, 2013 and references to fiscal 2014 refer to the fiscal year ending March 30,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expanded the sales of our higher-margin blended and manufactured products.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continued to invest in growing our business. During fiscal 2012, we purchased a 28-acre parcel of land in Rosemount, Minnesota and began construction of a new facility on the site, which is expected to be operational by the end of fiscal 2013. The site provides capacity for future business growth and lessens our dependence on our flood-prone sites on the Mississippi River. While we expect to transfer some blending and manufacturing activity to the Rosemount site, we do not intend to close any sites we currently operate. We expect to incur incremental cash and non-cash expenses beginning in fiscal 2013 and fiscal 2014 as we ramp up staffing and production at the new facility.</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the third quarter of fiscal 2013, we recorded a pre-tax charge of $7.2 million in our Industrial segment (approximately $4.5 million after tax or $0.43 per share, fully diluted). This charge represents the discounted value of our estimated withdrawal payment obligation from the Central States, Southeast and Southwest Areas Pension Fund (“CSS” or “the plan”), a collectively bargained multiemployer pension plan. Our participation in the plan is pursuant to two collective bargaining agreements that each expire on February 28, 2013. Management commenced negotiations in the third quarter of fiscal 2013 to modify the collective bargaining agreements when they expire. Subject to our good-faith bargaining obligations and based on our negotiations undertaken to date, we believe it is probable that we will withdraw from CSS for both bargaining units, thus completely discontinuing our participation in CSS. As a replacement for CSS, we have offered to provide defined-contribution retirement benefits to our union employees that are similar to those benefits currently offered to our non-union employees.</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estimate the aggregate cash payments to be made to total approximately $9.3 million, or $467,000 per year beginning some time in fiscal 2014. We have accrued the discounted value of that payment obligation in the “Pension withdrawal” line item on the condensed consolidated statements of income for the three and nine months ended December 30, 2012.</w:t>
      </w:r>
    </w:p>
    <w:p>
      <w:pPr>
        <w:spacing w:after="0" w:line="14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ultimate amount of the withdrawal liability assessed by CSS could be impacted by a number of factors, including, among other things, when we actually withdraw, a mass withdrawal (generally a withdrawal of substantially all contributing employers), the number of work weeks reported to CSS by us, the hourly contribution rate paid by us, the continued participation of other employers in CSS, financial difficulty of other participating employers in the plan (including bankruptcy), investment returns, benefit levels, and interest rates. Any assessment in excess of our accrual could impact our future results of operations and financial condition.</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quarter of fiscal 2013 we entered into a settlement agreement with ICL Performance Products LP (“ICL”), a chemical supplier to us, pursuant to which we mutually resolved the previously disclosed litigation and all disputes among us. The settlement agreement provides for a cash payment by us to ICL and provides that both parties will enter into new contracts for the supply by ICL of certain chemicals to us. Our obligations under the settlement agreement resulted in a $3.2 million charge to pretax income recorded in cost of sales (approximately $2.0 million after tax or $0.19 per share, fully diluted) for the fiscal quarter ended July 1, 2012.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use the last in, first out (“LIFO”) method for valuing substantially all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We recorded a $0.1 million increase in our LIFO reserve for the three months ended December 30, 2012 and $0.2 million increase for the nine months ended December 30, 2012, which decreased our gross profit in those periods by those amounts. We recorded a $0.6 million decrease in our LIFO reserve for the three months ended January 1, 2012, and $0.2 million decrease for the nine months ended January 1, 2012, which increased our gross profit in those periods by those amounts.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8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152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January 1,</w:t>
            </w:r>
          </w:p>
        </w:tc>
        <w:tc>
          <w:tcPr>
            <w:tcW w:w="740" w:type="dxa"/>
            <w:vAlign w:val="bottom"/>
          </w:tcPr>
          <w:p>
            <w:pPr>
              <w:spacing w:after="0"/>
              <w:rPr>
                <w:sz w:val="11"/>
                <w:szCs w:val="11"/>
                <w:color w:val="auto"/>
              </w:rPr>
            </w:pPr>
          </w:p>
        </w:tc>
        <w:tc>
          <w:tcPr>
            <w:tcW w:w="152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January 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Cost of sales</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(82.1)</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(81.4)</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(81.0)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Pension withdrawal</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720" w:type="dxa"/>
            <w:vAlign w:val="bottom"/>
          </w:tcPr>
          <w:p>
            <w:pPr>
              <w:spacing w:after="0"/>
              <w:rPr>
                <w:sz w:val="19"/>
                <w:szCs w:val="19"/>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18.6</w:t>
            </w: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720" w:type="dxa"/>
            <w:vAlign w:val="bottom"/>
          </w:tcPr>
          <w:p>
            <w:pPr>
              <w:spacing w:after="0"/>
              <w:rPr>
                <w:sz w:val="19"/>
                <w:szCs w:val="19"/>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10.1</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720" w:type="dxa"/>
            <w:vAlign w:val="bottom"/>
          </w:tcPr>
          <w:p>
            <w:pPr>
              <w:spacing w:after="0"/>
              <w:rPr>
                <w:sz w:val="19"/>
                <w:szCs w:val="19"/>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10.1</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19"/>
                <w:szCs w:val="19"/>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6.3</w:t>
            </w: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0.3</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6.6%</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4.9%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4380"/>
        <w:spacing w:after="0" w:line="344" w:lineRule="auto"/>
        <w:rPr>
          <w:sz w:val="20"/>
          <w:szCs w:val="20"/>
          <w:color w:val="auto"/>
        </w:rPr>
      </w:pPr>
      <w:r>
        <w:rPr>
          <w:rFonts w:ascii="Arial" w:cs="Arial" w:eastAsia="Arial" w:hAnsi="Arial"/>
          <w:sz w:val="18"/>
          <w:szCs w:val="18"/>
          <w:b w:val="1"/>
          <w:bCs w:val="1"/>
          <w:i w:val="1"/>
          <w:iCs w:val="1"/>
          <w:color w:val="auto"/>
        </w:rPr>
        <w:t xml:space="preserve">Three Months Ended December 30, 2012 Compared to the Three Months Ended January 1, 2012 </w:t>
      </w:r>
      <w:r>
        <w:rPr>
          <w:rFonts w:ascii="Arial" w:cs="Arial" w:eastAsia="Arial" w:hAnsi="Arial"/>
          <w:sz w:val="18"/>
          <w:szCs w:val="18"/>
          <w:i w:val="1"/>
          <w:iCs w:val="1"/>
          <w:color w:val="auto"/>
        </w:rPr>
        <w:t>Sales</w:t>
      </w:r>
    </w:p>
    <w:p>
      <w:pPr>
        <w:spacing w:after="0" w:line="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Sales increased $1.3 million, or 1.6%, to $85.5 million for the three months ended December 30, 2012 as compared to $84.2 million in the same period of the prior year. Sales of bulk chemicals, including caustic soda, were approximately 24% of sales during the three months ended December 30, 2012 as compared to 23% during the same period of the prior year.</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$0.7 million, or 1.0%, to $63.1 million for the three months ended December 30, 2012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the prior year. The decrease in sales was primarily due to a shift in product mix to more bulk products, which generally carry lower per-unit selling prices.</w:t>
      </w:r>
    </w:p>
    <w:p>
      <w:pPr>
        <w:spacing w:after="0" w:line="14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increased $2.0 million, or 9.8%, to $22.4 million for the three months ended December 30, 2012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of the prior year. The increase in sales was primarily due to volume growth of lower-priced commodity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Gross profit was $8.1 million, or 9.5% of sales, for the three months ended December 30, 2012, as compared to $15.7 million, or 18.6% of sales, for the same period of the prior year. Gross profit was negatively impacted by the $7.2 million charge resulting from the CSS pension withdrawal liability, which charge constituted 8.4% of sales for the quarter. The LIFO method of valuing inventory decreased gross profit by $0.1 million for the three months ended December 30, 2012 whereas it increased gross profit by $0.6 million for the three months ended January 1, 2012.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Industrial Segment. </w:t>
      </w:r>
      <w:r>
        <w:rPr>
          <w:rFonts w:ascii="Arial" w:cs="Arial" w:eastAsia="Arial" w:hAnsi="Arial"/>
          <w:sz w:val="16"/>
          <w:szCs w:val="16"/>
          <w:color w:val="auto"/>
        </w:rPr>
        <w:t>Gross profit for the Industrial segment was $2.6 million, or 4.2% of sales, for the three months ended December 30, 2012, as compared to</w:t>
      </w:r>
    </w:p>
    <w:p>
      <w:pPr>
        <w:spacing w:after="0" w:line="3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$10.2 million, or 16.0% of sales, for the same period of the prior year. Gross profit for this segment was negatively impacted by the $7.2 million charge resulting from the CSS pension withdrawal liability, which charge constituted 11.4% of sales for this segment for the quarter. The LIFO method of valuing inventory decreased gross profit in this segment by $0.1 million for the three months ended December 30, 2012 while it increased gross profit by $0.3 million for the three months ended January 1, 2012. Gross profit for the three months ended December 30, 2012 was also reduced by incremental expenses of $0.3 million related to the new Rosemount facility.</w:t>
      </w:r>
    </w:p>
    <w:p>
      <w:pPr>
        <w:spacing w:after="0" w:line="1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$5.5 million, or 24.5% of sales, for the three months ended December 30,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$5.5 million, or 26.8% of sales, for the same period in the prior year. The LIFO Method of valuing inventory had a negligible impact on gross profit for this segment for the three months ended December 30, 2012 while it increased gross profit for this segment by $0.3 million for the three months ended January 1, 2012. Gross profit as a percentage of sales for this segment was negatively impacted by a shift in product mix to sales of more lower-margin commodity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Selling, general and administrative expenses were $7.6 million, or 8.9% of sales, for the three months ended December 30, 2012 as compared to $7.2 million, or 8.5% of sales, for the three months ended January 1, 2012. Selling expenses increased by $0.6 million while administrative expenses decreased by $0.2 million. Selling expenses increased primarily as a result of additional sales staff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Operating income was $0.5 million for the three months ended December 30, 2012 and $8.5 million for the three months ended January 1, 2012. Operating income for the Industrial segment decreased $7.8 million primarily related to the $7.2 million charge resulting from the CSS pension withdrawal liability, and operating income for the Water Treatment segment decreased $0.2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was not material during the three months ended December 30, 2012 and January 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current quarter, we have recorded an income tax benefit primarily as a result of a $0.8 million non-recurring increase in the benefits recorded related to the domestic manufacturing deduction and investment tax credits. As a result, the computation of our effective income tax rate is not meaningful for the three months ended December 30, 2012, while it was 38.1% for the three months ended January 1, 2012. The effective tax rate is generally impacted by projected levels of taxable income, permanent items, and state taxes.</w:t>
      </w:r>
    </w:p>
    <w:p>
      <w:pPr>
        <w:spacing w:after="0" w:line="224" w:lineRule="exact"/>
        <w:rPr>
          <w:sz w:val="20"/>
          <w:szCs w:val="20"/>
          <w:color w:val="auto"/>
        </w:rPr>
      </w:pPr>
    </w:p>
    <w:p>
      <w:pPr>
        <w:ind w:right="4520"/>
        <w:spacing w:after="0" w:line="344" w:lineRule="auto"/>
        <w:rPr>
          <w:sz w:val="20"/>
          <w:szCs w:val="20"/>
          <w:color w:val="auto"/>
        </w:rPr>
      </w:pPr>
      <w:r>
        <w:rPr>
          <w:rFonts w:ascii="Arial" w:cs="Arial" w:eastAsia="Arial" w:hAnsi="Arial"/>
          <w:sz w:val="18"/>
          <w:szCs w:val="18"/>
          <w:b w:val="1"/>
          <w:bCs w:val="1"/>
          <w:i w:val="1"/>
          <w:iCs w:val="1"/>
          <w:color w:val="auto"/>
        </w:rPr>
        <w:t xml:space="preserve">Nine Months Ended December 30, 2012 Compared to the Nine Months Ended January 1, 2012 </w:t>
      </w:r>
      <w:r>
        <w:rPr>
          <w:rFonts w:ascii="Arial" w:cs="Arial" w:eastAsia="Arial" w:hAnsi="Arial"/>
          <w:sz w:val="18"/>
          <w:szCs w:val="18"/>
          <w:i w:val="1"/>
          <w:iCs w:val="1"/>
          <w:color w:val="auto"/>
        </w:rPr>
        <w:t>Sales</w:t>
      </w:r>
    </w:p>
    <w:p>
      <w:pPr>
        <w:spacing w:after="0" w:line="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Sales increased $2.2 million, or 0.8%, to $262.8 million for the nine months ended December 30, 2012 as compared to $260.6 million in the same period of the prior year. Sales of bulk chemicals, including caustic soda, were approximately 23% of sales during the nine months ended December 30, 2012 as compared to 22% during the same period of the prior year.</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$6.1 million, or 3.3%, to $182.5 million for the nine months ended December 30, 2012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the prior year. The decrease in sales was primarily due to reduced volumes and a shift in product mix to more bulk products, which generally carry lower per-unit selling prices.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$8.3 million, or 11.6%, to $80.3 million for the nine months ended December 30,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the prior year. The increase in sales was primarily due to favorable weather conditions in the first two quarters of fiscal 2013 and volume growth of lower-priced commodity products.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Profit</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Gross profit was $42.6 million, or 16.2% of sales, for the nine months ended December 30, 2012, as compared to $52.4 million, or 20.1% of sales, for the same period of the prior year. Gross profit was negatively impacted by the $7.2 million CSS pension withdrawal during the third quarter and the $3.2 million charge resulting from the ICL litigation settlement in the first quarter of the current fiscal year, which charges together constituted 4.0% of sales for the nine month period. The LIFO method of valuing inventory decreased gross profit by $0.2 million for the nine months ended December 30, 2012 and increased gross profit by $0.2 million for the same period of the prior year.</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$20.0 million, or 11.0% of sales, for the nine months ended December 30, 2012,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$31.8 million, or 16.8% of sales, for the same period of the prior year. Gross profit for this segment was negatively impacted by the $7.2 million CSS pension withdrawal charge and the $3.2 million charge resulting from the ICL litigation settlement, which charges together constituted 5.7% of sales for this segment for the nine month period. The LIFO method of valuing inventory decreased gross profit in this segment by $0.2 million for the nine months ended December 30, 2012 while it had a minimal impact on gross profit for the same period of the prior year. The remainder of the decline was primarily due to reduced volumes and pricing pressures which led to lower per-unit profits and $0.6 million of incremental expenses related to the new Rosemount facility.</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was $22.6 million, or 28.2% of sales, for the nine months ended December 30, 2012,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$20.6 million, or 28.6% of sales, for the same period in the prior year. The increase in gross profit was primarily due to increased volumes, partially due to favorable weather conditions during the first two quarters of fiscal 2013, and higher per-unit margins across most product lines. These increases were partially offset by a shift in product mix to sales of more lower-margin commodity products. The LIFO method of valuing inventory decreased gross profit in this segment nominally for the nine months ended December 30, 2012 while increasing gross profit by $0.2 million for the same period of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were $23.3 million, or 8.9% of sales, for the nine months ended December 30, 2012 as compared to $22.9 million, or 8.8% of sales, for the nine months ended January 1, 2012 with higher selling costs due to additional sales staffing offset by lower administration expenses in the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Operating income was $19.3 million for the nine months ended December 30, 2012 and $29.5 million for the nine months ended January 1, 2012. Operating income for the Industrial segment decreased $11.4 million, primarily due to the $7.2 million CSS pension withdrawal charge and the $3.2 million charge resulting from the ICL litigation settlement recorded within that segment. Operating income for the Water Treatment segment increased $1.2 million for the nine months ended December 30, 2012, as compared to the same period of the prior year due to increased volumes and higher per-unit margins.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was $0.1 for the nine month periods ended December 30, 2012 and January 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Our effective income tax rate was 33.4% for the nine months ended December 30, 2012, compared to 38.0% for the nine months ended January 1, 2012. The effective tax rate is generally impacted by projected levels of taxable income, permanent items, and state taxes. The reduction in our effective tax rate in the current fiscal year is primarily due to a $0.8 million non-recurring increase in the benefits recorded related to the domestic manufacturing deduction and investment tax credits.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Cash provided by operating activities for the nine months ended December 30, 2012 was $30.0 million compared to $20.5 million for the nine months ended January 1, 2012. The increase in cash provided by operating activities was primarily due to reduced cash used to fund working capital, including the timing of inventory purchases and other trade payables. Due to the nature of our operations, which includes purchases of large quantities of bulk chemicals, timing of purchases can result in significant changes in working capital investment and the resulting operating cash flow. Historically,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generally increases during the period of April through September.</w:t>
      </w:r>
    </w:p>
    <w:p>
      <w:pPr>
        <w:spacing w:after="0" w:line="12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Cash and investments available-for-sale of $50.2 million at December 30, 2012 increased by $4.3 million as compared with the $45.9 million available as of April 1, 2012, primarily due to cash flows generated from operations, partially offset by capital expenditures and dividends paid.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expect cash balances and our cash flows from operations will be sufficient to fund our cash requirements in fiscal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Capital expenditures were $20.1 million for the nine months ended December 30, 2012 compared to $13.8 million in the same period in the prior fiscal year. Significant capital expenditures during the nine months ended December 30, 2012 consisted of approximately $14.9 million related to business expansion and process improvement projects including the new facility in Rosemount, Minnesota, compared to $8.2 million spent for expansion and process improvements during the same period in fiscal 2012. Other capital spending was related to regulatory, safety, and facility improvements and replacement trucks for the Water Treatment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April 1, 2012. The accounting policies used in preparing our interim fiscal 2013 condensed consolidated financial statements are the same as those described in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1, 2012.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80" w:right="339" w:bottom="1440" w:gutter="0" w:footer="0" w:header="0"/>
        </w:sectPr>
      </w:pPr>
    </w:p>
    <w:bookmarkStart w:id="17" w:name="page18"/>
    <w:bookmarkEnd w:id="17"/>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December 30, 2012, our investment portfolio included $25.6 million of certificates of deposit classified as fixed income securities and cash and cash equivalents of $24.6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43"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 as our pricing must be competitive.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CONTROLS AND PROCEDURES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2013 that has materially affected, or is reasonably likely to materially affect, our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21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previously reported in our quarterly report on Form 10-Q for the quarterly period ended July 1, 2012, on June 15, 2012, we entered into a settlement agreement with ICL Performance Products LP (“ICL”), a chemical supplier to us, pursuant to which we mutually resolved the previously disclosed litigation and all disputes among us. The settlement agreement provides for a cash payment by us to ICL and provides that both parties will enter into new contracts for the supply by ICL of certain chemicals to us. Our obligations under the settlement agreement resulted in a $3.2 million charge to pretax income recorded in cost of sales (approximately $2.0 million after tax) for our fiscal quarter ended July 1, 2012.</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a party from time to time in other legal proceedings arising in the ordinary course of our business. To date, none of the litigation has had a material effect on us.</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1, 2012.</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or repurchase any shares of our common stock during the third quarter of fiscal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2"/>
        </w:trPr>
        <w:tc>
          <w:tcPr>
            <w:tcW w:w="6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860" w:type="dxa"/>
            <w:vAlign w:val="bottom"/>
            <w:gridSpan w:val="3"/>
          </w:tcPr>
          <w:p>
            <w:pPr>
              <w:ind w:left="360"/>
              <w:spacing w:after="0"/>
              <w:rPr>
                <w:sz w:val="20"/>
                <w:szCs w:val="20"/>
                <w:color w:val="auto"/>
              </w:rPr>
            </w:pPr>
            <w:r>
              <w:rPr>
                <w:rFonts w:ascii="Arial" w:cs="Arial" w:eastAsia="Arial" w:hAnsi="Arial"/>
                <w:sz w:val="18"/>
                <w:szCs w:val="18"/>
                <w:color w:val="auto"/>
              </w:rPr>
              <w:t>EXHIBITS</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840" w:type="dxa"/>
            <w:vAlign w:val="bottom"/>
            <w:gridSpan w:val="2"/>
          </w:tcPr>
          <w:p>
            <w:pPr>
              <w:ind w:left="540"/>
              <w:spacing w:after="0"/>
              <w:rPr>
                <w:sz w:val="20"/>
                <w:szCs w:val="20"/>
                <w:color w:val="auto"/>
              </w:rPr>
            </w:pPr>
            <w:r>
              <w:rPr>
                <w:rFonts w:ascii="Arial" w:cs="Arial" w:eastAsia="Arial" w:hAnsi="Arial"/>
                <w:sz w:val="18"/>
                <w:szCs w:val="18"/>
                <w:color w:val="auto"/>
              </w:rPr>
              <w:t>Exhibit Index</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8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4020" w:type="dxa"/>
            <w:vAlign w:val="bottom"/>
            <w:vMerge w:val="restart"/>
          </w:tcPr>
          <w:p>
            <w:pPr>
              <w:ind w:left="80"/>
              <w:spacing w:after="0"/>
              <w:rPr>
                <w:sz w:val="20"/>
                <w:szCs w:val="20"/>
                <w:color w:val="auto"/>
              </w:rPr>
            </w:pPr>
            <w:r>
              <w:rPr>
                <w:rFonts w:ascii="Arial" w:cs="Arial" w:eastAsia="Arial" w:hAnsi="Arial"/>
                <w:sz w:val="18"/>
                <w:szCs w:val="18"/>
                <w:color w:val="auto"/>
                <w:w w:val="94"/>
              </w:rPr>
              <w:t>Amended and Restated Articles of Incorporation. (1)</w:t>
            </w:r>
          </w:p>
        </w:tc>
        <w:tc>
          <w:tcPr>
            <w:tcW w:w="4840" w:type="dxa"/>
            <w:vAlign w:val="bottom"/>
            <w:gridSpan w:val="2"/>
          </w:tcPr>
          <w:p>
            <w:pPr>
              <w:ind w:left="20"/>
              <w:spacing w:after="0"/>
              <w:rPr>
                <w:sz w:val="20"/>
                <w:szCs w:val="20"/>
                <w:color w:val="auto"/>
              </w:rPr>
            </w:pPr>
            <w:r>
              <w:rPr>
                <w:rFonts w:ascii="Arial" w:cs="Arial" w:eastAsia="Arial" w:hAnsi="Arial"/>
                <w:sz w:val="14"/>
                <w:szCs w:val="14"/>
                <w:color w:val="auto"/>
              </w:rPr>
              <w:t>Description</w:t>
            </w:r>
          </w:p>
        </w:tc>
        <w:tc>
          <w:tcPr>
            <w:tcW w:w="1880" w:type="dxa"/>
            <w:vAlign w:val="bottom"/>
          </w:tcPr>
          <w:p>
            <w:pPr>
              <w:jc w:val="center"/>
              <w:spacing w:after="0"/>
              <w:rPr>
                <w:sz w:val="20"/>
                <w:szCs w:val="20"/>
                <w:color w:val="auto"/>
              </w:rPr>
            </w:pPr>
            <w:r>
              <w:rPr>
                <w:rFonts w:ascii="Arial" w:cs="Arial" w:eastAsia="Arial" w:hAnsi="Arial"/>
                <w:sz w:val="14"/>
                <w:szCs w:val="14"/>
                <w:color w:val="auto"/>
                <w:w w:val="92"/>
              </w:rPr>
              <w:t>Method of Filing</w:t>
            </w:r>
          </w:p>
        </w:tc>
        <w:tc>
          <w:tcPr>
            <w:tcW w:w="0" w:type="dxa"/>
            <w:vAlign w:val="bottom"/>
          </w:tcPr>
          <w:p>
            <w:pPr>
              <w:spacing w:after="0"/>
              <w:rPr>
                <w:sz w:val="1"/>
                <w:szCs w:val="1"/>
                <w:color w:val="auto"/>
              </w:rPr>
            </w:pPr>
          </w:p>
        </w:tc>
      </w:tr>
      <w:tr>
        <w:trPr>
          <w:trHeight w:val="195"/>
        </w:trPr>
        <w:tc>
          <w:tcPr>
            <w:tcW w:w="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180" w:type="dxa"/>
            <w:vAlign w:val="bottom"/>
          </w:tcPr>
          <w:p>
            <w:pPr>
              <w:spacing w:after="0"/>
              <w:rPr>
                <w:sz w:val="16"/>
                <w:szCs w:val="16"/>
                <w:color w:val="auto"/>
              </w:rPr>
            </w:pPr>
          </w:p>
        </w:tc>
        <w:tc>
          <w:tcPr>
            <w:tcW w:w="1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Incorporated by Reference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Amended and Restated By-Laws. (2)</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Incorporated by Reference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Executive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Financial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Arial" w:cs="Arial" w:eastAsia="Arial" w:hAnsi="Arial"/>
                <w:sz w:val="18"/>
                <w:szCs w:val="18"/>
                <w:color w:val="auto"/>
                <w:w w:val="91"/>
              </w:rPr>
              <w:t>Financial statements from the Quarterly Report on Form 10-Q of Hawkins, Inc. for the period ended December 30, 2012,</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60" w:type="dxa"/>
            <w:vAlign w:val="bottom"/>
            <w:gridSpan w:val="3"/>
          </w:tcPr>
          <w:p>
            <w:pPr>
              <w:ind w:left="80"/>
              <w:spacing w:after="0"/>
              <w:rPr>
                <w:sz w:val="20"/>
                <w:szCs w:val="20"/>
                <w:color w:val="auto"/>
              </w:rPr>
            </w:pPr>
            <w:r>
              <w:rPr>
                <w:rFonts w:ascii="Arial" w:cs="Arial" w:eastAsia="Arial" w:hAnsi="Arial"/>
                <w:sz w:val="18"/>
                <w:szCs w:val="18"/>
                <w:color w:val="auto"/>
              </w:rPr>
              <w:t>filed with the SEC on January 31, 2013, formatted in Extensible Business Reporting Language (XBRL); (i) the</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760" w:right="2100"/>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Consolidated Balance Sheets at December 30, 2012 and April 1, 2012, (ii) the Condensed Consolidated Statements of Income for the Three and Nine Months Ended December 30, 2012 and January 1, 2012, (iii) the Condensed Consolidated Statements of Comprehensive Income for the Three and Nine Months Ended December 30, 2012 and January 1, 2012, (iv) the Condensed Consolidated Statements of Cash Flows for the Nine Months Ended December 30, 2012 and January 1, 2012, and (v) Notes to Condensed Consolidated Financial Statements.</w:t>
      </w:r>
    </w:p>
    <w:p>
      <w:pPr>
        <w:spacing w:after="0" w:line="1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left="67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10795</wp:posOffset>
            </wp:positionV>
            <wp:extent cx="2769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jc w:val="center"/>
        <w:ind w:left="7060"/>
        <w:spacing w:after="0"/>
        <w:rPr>
          <w:sz w:val="20"/>
          <w:szCs w:val="20"/>
          <w:color w:val="auto"/>
        </w:rPr>
      </w:pPr>
      <w:r>
        <w:rPr>
          <w:rFonts w:ascii="Arial" w:cs="Arial" w:eastAsia="Arial" w:hAnsi="Arial"/>
          <w:sz w:val="16"/>
          <w:szCs w:val="16"/>
          <w:color w:val="auto"/>
        </w:rPr>
        <w:t>(On behalf of the Registrant and as principal financial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31,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5" w:lineRule="exact"/>
        <w:rPr>
          <w:sz w:val="20"/>
          <w:szCs w:val="20"/>
          <w:color w:val="auto"/>
        </w:rPr>
      </w:pPr>
    </w:p>
    <w:p>
      <w:pPr>
        <w:spacing w:after="0"/>
        <w:tabs>
          <w:tab w:leader="none" w:pos="422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9" w:lineRule="exact"/>
        <w:rPr>
          <w:sz w:val="20"/>
          <w:szCs w:val="20"/>
          <w:color w:val="auto"/>
        </w:rPr>
      </w:pPr>
    </w:p>
    <w:p>
      <w:pPr>
        <w:ind w:left="760" w:right="40" w:hanging="752"/>
        <w:spacing w:after="0" w:line="287"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December 30, 2012, filed with the SEC on January 31, 2013, formatted in Extensible Business Reporting Language (XBRL); (i) the Condensed Consolidated Balance Sheets at December 30, 2012 and April 1, 2012, (ii) the Condensed Consolidated Statements of Income for the Three and Nine Months Ended December 30, 2012 and January 1, 2012, (iii) the Condensed Consolidated Statements of Comprehensive Income for the Three and Nine Months Ended December 30, 2012 and January 1, 2012, (iv) the Condensed Consolidated Statements of Cash Flows for the Nine Months Ended December 30, 2012 and January 1, 2012, and (v) Notes to Condensed Consolidated Financial Statements.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7620</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jc w:val="center"/>
        <w:spacing w:after="0" w:line="312" w:lineRule="auto"/>
        <w:rPr>
          <w:sz w:val="20"/>
          <w:szCs w:val="20"/>
          <w:color w:val="auto"/>
        </w:rPr>
      </w:pPr>
      <w:r>
        <w:rPr>
          <w:rFonts w:ascii="Arial" w:cs="Arial" w:eastAsia="Arial" w:hAnsi="Arial"/>
          <w:sz w:val="15"/>
          <w:szCs w:val="15"/>
          <w:color w:val="auto"/>
        </w:rPr>
        <w:t>Incorporated by Reference Incorporated by Reference Filed Electronically Filed Electronically Filed Electronically Filed Electronically Filed Electronically</w:t>
      </w:r>
    </w:p>
    <w:p>
      <w:pPr>
        <w:sectPr>
          <w:pgSz w:w="11900" w:h="16838" w:orient="portrait"/>
          <w:cols w:equalWidth="0" w:num="2">
            <w:col w:w="8340" w:space="720"/>
            <w:col w:w="1880"/>
          </w:cols>
          <w:pgMar w:left="240" w:top="274" w:right="7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2013</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Patrick H. Hawkins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2013</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30, 2012, as filed with the Securities and Exchange Commission on the date hereof (the Report), I, Patrick H. Hawkins,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H.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2013</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30, 2012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0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2019-12-05T10:57:52Z</dcterms:created>
  <dcterms:modified xsi:type="dcterms:W3CDTF">2019-12-05T10:57:52Z</dcterms:modified>
</cp:coreProperties>
</file>