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7" w:lineRule="auto"/>
        <w:framePr w:w="3440" w:h="156" w:wrap="auto" w:vAnchor="page" w:hAnchor="page" w:x="3260" w:y="6898"/>
        <w:rPr>
          <w:rFonts w:ascii="Arial" w:cs="Arial" w:eastAsia="Arial" w:hAnsi="Arial"/>
          <w:sz w:val="15"/>
          <w:szCs w:val="15"/>
          <w:color w:val="auto"/>
        </w:rPr>
      </w:pPr>
      <w:r>
        <w:rPr>
          <w:rFonts w:ascii="Arial" w:cs="Arial" w:eastAsia="Arial" w:hAnsi="Arial"/>
          <w:sz w:val="15"/>
          <w:szCs w:val="15"/>
          <w:color w:val="auto"/>
        </w:rPr>
        <w:t>(Name of Registrant as Specified In Its Charter)</w:t>
      </w:r>
    </w:p>
    <w:p>
      <w:pPr>
        <w:spacing w:after="0" w:line="204" w:lineRule="auto"/>
        <w:framePr w:w="5160" w:h="156" w:wrap="auto" w:vAnchor="page" w:hAnchor="page" w:x="2400" w:y="7817"/>
        <w:rPr>
          <w:rFonts w:ascii="Arial" w:cs="Arial" w:eastAsia="Arial" w:hAnsi="Arial"/>
          <w:sz w:val="16"/>
          <w:szCs w:val="16"/>
          <w:color w:val="auto"/>
        </w:rPr>
      </w:pPr>
      <w:r>
        <w:rPr>
          <w:rFonts w:ascii="Arial" w:cs="Arial" w:eastAsia="Arial" w:hAnsi="Arial"/>
          <w:sz w:val="16"/>
          <w:szCs w:val="16"/>
          <w:color w:val="auto"/>
        </w:rPr>
        <w:t>(Name of Person(s) Filing Proxy Statement, if other than the Registrant)</w:t>
      </w:r>
    </w:p>
    <w:p>
      <w:pPr>
        <w:spacing w:after="0" w:line="204" w:lineRule="auto"/>
        <w:framePr w:w="3860" w:h="156" w:wrap="auto" w:vAnchor="page" w:hAnchor="page" w:x="4020" w:y="956"/>
        <w:rPr>
          <w:rFonts w:ascii="Arial" w:cs="Arial" w:eastAsia="Arial" w:hAnsi="Arial"/>
          <w:sz w:val="16"/>
          <w:szCs w:val="16"/>
          <w:b w:val="1"/>
          <w:bCs w:val="1"/>
          <w:color w:val="auto"/>
        </w:rPr>
      </w:pPr>
      <w:r>
        <w:rPr>
          <w:rFonts w:ascii="Arial" w:cs="Arial" w:eastAsia="Arial" w:hAnsi="Arial"/>
          <w:sz w:val="16"/>
          <w:szCs w:val="16"/>
          <w:b w:val="1"/>
          <w:bCs w:val="1"/>
          <w:color w:val="auto"/>
        </w:rPr>
        <w:t>SECURITIES AND EXCHANGE COMMISSION</w:t>
      </w:r>
    </w:p>
    <w:p>
      <w:pPr>
        <w:spacing w:after="0" w:line="204" w:lineRule="auto"/>
        <w:framePr w:w="2220" w:h="156" w:wrap="auto" w:vAnchor="page" w:hAnchor="page" w:x="4840" w:y="1172"/>
        <w:rPr>
          <w:rFonts w:ascii="Arial" w:cs="Arial" w:eastAsia="Arial" w:hAnsi="Arial"/>
          <w:sz w:val="16"/>
          <w:szCs w:val="16"/>
          <w:b w:val="1"/>
          <w:bCs w:val="1"/>
          <w:color w:val="auto"/>
        </w:rPr>
      </w:pPr>
      <w:r>
        <w:rPr>
          <w:rFonts w:ascii="Arial" w:cs="Arial" w:eastAsia="Arial" w:hAnsi="Arial"/>
          <w:sz w:val="16"/>
          <w:szCs w:val="16"/>
          <w:b w:val="1"/>
          <w:bCs w:val="1"/>
          <w:color w:val="auto"/>
        </w:rPr>
        <w:t>WASHINGTON, D.C. 20549</w:t>
      </w:r>
    </w:p>
    <w:p>
      <w:pPr>
        <w:spacing w:after="0" w:line="204" w:lineRule="auto"/>
        <w:framePr w:w="2740" w:h="156" w:wrap="auto" w:vAnchor="page" w:hAnchor="page" w:x="4580" w:y="1847"/>
        <w:rPr>
          <w:rFonts w:ascii="Arial" w:cs="Arial" w:eastAsia="Arial" w:hAnsi="Arial"/>
          <w:sz w:val="16"/>
          <w:szCs w:val="16"/>
          <w:b w:val="1"/>
          <w:bCs w:val="1"/>
          <w:color w:val="auto"/>
        </w:rPr>
      </w:pPr>
      <w:r>
        <w:rPr>
          <w:rFonts w:ascii="Arial" w:cs="Arial" w:eastAsia="Arial" w:hAnsi="Arial"/>
          <w:sz w:val="16"/>
          <w:szCs w:val="16"/>
          <w:b w:val="1"/>
          <w:bCs w:val="1"/>
          <w:color w:val="auto"/>
        </w:rPr>
        <w:t>SCHEDULE 14A INFORMATION</w:t>
      </w:r>
    </w:p>
    <w:p>
      <w:pPr>
        <w:ind w:firstLine="602"/>
        <w:spacing w:after="0" w:line="242" w:lineRule="auto"/>
        <w:framePr w:w="3920" w:h="373" w:wrap="auto" w:vAnchor="page" w:hAnchor="page" w:x="3720" w:y="2279"/>
        <w:rPr>
          <w:rFonts w:ascii="Arial" w:cs="Arial" w:eastAsia="Arial" w:hAnsi="Arial"/>
          <w:sz w:val="16"/>
          <w:szCs w:val="16"/>
          <w:b w:val="1"/>
          <w:bCs w:val="1"/>
          <w:color w:val="auto"/>
        </w:rPr>
      </w:pPr>
      <w:r>
        <w:rPr>
          <w:rFonts w:ascii="Arial" w:cs="Arial" w:eastAsia="Arial" w:hAnsi="Arial"/>
          <w:sz w:val="16"/>
          <w:szCs w:val="16"/>
          <w:b w:val="1"/>
          <w:bCs w:val="1"/>
          <w:color w:val="auto"/>
        </w:rPr>
        <w:t>Proxy Statement Pursuant to Section 14(a) of the Securities Exchange Act of 1934 (Amendment No.</w:t>
      </w:r>
    </w:p>
    <w:p>
      <w:pPr>
        <w:spacing w:after="0"/>
        <w:rPr>
          <w:rFonts w:ascii="Arial" w:cs="Arial" w:eastAsia="Arial" w:hAnsi="Arial"/>
          <w:sz w:val="22"/>
          <w:szCs w:val="22"/>
          <w:color w:val="0000EE"/>
        </w:rPr>
      </w:pPr>
      <w:hyperlink w:anchor="page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3107690</wp:posOffset>
            </wp:positionH>
            <wp:positionV relativeFrom="paragraph">
              <wp:posOffset>554355</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9" w:lineRule="exact"/>
        <w:rPr>
          <w:rFonts w:ascii="Arial" w:cs="Arial" w:eastAsia="Arial" w:hAnsi="Arial"/>
          <w:sz w:val="16"/>
          <w:szCs w:val="16"/>
          <w:b w:val="1"/>
          <w:bCs w:val="1"/>
          <w:color w:val="auto"/>
        </w:rPr>
      </w:pPr>
    </w:p>
    <w:p>
      <w:pPr>
        <w:ind w:left="7840"/>
        <w:spacing w:after="0"/>
        <w:rPr>
          <w:sz w:val="20"/>
          <w:szCs w:val="20"/>
          <w:color w:val="auto"/>
        </w:rPr>
      </w:pPr>
      <w:r>
        <w:rPr>
          <w:rFonts w:ascii="Arial" w:cs="Arial" w:eastAsia="Arial" w:hAnsi="Arial"/>
          <w:sz w:val="18"/>
          <w:szCs w:val="18"/>
          <w:color w:val="auto"/>
        </w:rPr>
        <w:t>)</w:t>
      </w:r>
    </w:p>
    <w:p>
      <w:pPr>
        <w:spacing w:after="0" w:line="193" w:lineRule="exact"/>
        <w:rPr>
          <w:rFonts w:ascii="Arial" w:cs="Arial" w:eastAsia="Arial" w:hAnsi="Arial"/>
          <w:sz w:val="16"/>
          <w:szCs w:val="16"/>
          <w:b w:val="1"/>
          <w:bCs w:val="1"/>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rFonts w:ascii="Arial" w:cs="Arial" w:eastAsia="Arial" w:hAnsi="Arial"/>
          <w:sz w:val="16"/>
          <w:szCs w:val="16"/>
          <w:b w:val="1"/>
          <w:bCs w:val="1"/>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1" w:lineRule="exact"/>
        <w:rPr>
          <w:rFonts w:ascii="Arial" w:cs="Arial" w:eastAsia="Arial" w:hAnsi="Arial"/>
          <w:sz w:val="16"/>
          <w:szCs w:val="16"/>
          <w:b w:val="1"/>
          <w:bCs w:val="1"/>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Arial" w:cs="Arial" w:eastAsia="Arial" w:hAnsi="Arial"/>
          <w:sz w:val="16"/>
          <w:szCs w:val="16"/>
          <w:b w:val="1"/>
          <w:bCs w:val="1"/>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Section 240.14a-11(c) or Section 240.14a-12</w:t>
      </w:r>
    </w:p>
    <w:p>
      <w:pPr>
        <w:spacing w:after="0" w:line="246" w:lineRule="exact"/>
        <w:rPr>
          <w:rFonts w:ascii="Arial" w:cs="Arial" w:eastAsia="Arial" w:hAnsi="Arial"/>
          <w:sz w:val="18"/>
          <w:szCs w:val="18"/>
          <w:color w:val="auto"/>
        </w:rPr>
      </w:pPr>
    </w:p>
    <w:p>
      <w:pPr>
        <w:ind w:left="4100"/>
        <w:spacing w:after="0"/>
        <w:rPr>
          <w:rFonts w:ascii="Arial" w:cs="Arial" w:eastAsia="Arial" w:hAnsi="Arial"/>
          <w:sz w:val="18"/>
          <w:szCs w:val="18"/>
          <w:color w:val="auto"/>
        </w:rPr>
      </w:pPr>
      <w:r>
        <w:rPr>
          <w:rFonts w:ascii="Arial" w:cs="Arial" w:eastAsia="Arial" w:hAnsi="Arial"/>
          <w:sz w:val="18"/>
          <w:szCs w:val="18"/>
          <w:b w:val="1"/>
          <w:bCs w:val="1"/>
          <w:color w:val="auto"/>
        </w:rPr>
        <w:t>HAWKINS, INC.</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0159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59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664845</wp:posOffset>
            </wp:positionV>
            <wp:extent cx="60159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170" w:lineRule="exact"/>
        <w:rPr>
          <w:rFonts w:ascii="Arial" w:cs="Arial" w:eastAsia="Arial" w:hAnsi="Arial"/>
          <w:sz w:val="16"/>
          <w:szCs w:val="16"/>
          <w:b w:val="1"/>
          <w:bCs w:val="1"/>
          <w:color w:val="auto"/>
        </w:rPr>
      </w:pPr>
    </w:p>
    <w:p>
      <w:pPr>
        <w:spacing w:after="0" w:line="262"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rFonts w:ascii="Arial" w:cs="Arial" w:eastAsia="Arial" w:hAnsi="Arial"/>
          <w:sz w:val="16"/>
          <w:szCs w:val="16"/>
          <w:b w:val="1"/>
          <w:bCs w:val="1"/>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Arial" w:cs="Arial" w:eastAsia="Arial" w:hAnsi="Arial"/>
          <w:sz w:val="16"/>
          <w:szCs w:val="16"/>
          <w:b w:val="1"/>
          <w:bCs w:val="1"/>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right="1199" w:hanging="560"/>
        <w:spacing w:after="0" w:line="268"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400" w:right="779" w:hanging="392"/>
        <w:spacing w:after="0" w:line="259"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612140</wp:posOffset>
            </wp:positionH>
            <wp:positionV relativeFrom="paragraph">
              <wp:posOffset>-3883660</wp:posOffset>
            </wp:positionV>
            <wp:extent cx="540702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-3455035</wp:posOffset>
            </wp:positionV>
            <wp:extent cx="54070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-2889250</wp:posOffset>
            </wp:positionV>
            <wp:extent cx="54070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-2459990</wp:posOffset>
            </wp:positionV>
            <wp:extent cx="54070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-2031365</wp:posOffset>
            </wp:positionV>
            <wp:extent cx="540702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-641985</wp:posOffset>
            </wp:positionV>
            <wp:extent cx="54070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-213360</wp:posOffset>
            </wp:positionV>
            <wp:extent cx="540702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214630</wp:posOffset>
            </wp:positionV>
            <wp:extent cx="54070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7025" cy="21590"/>
                    </a:xfrm>
                    <a:prstGeom prst="rect">
                      <a:avLst/>
                    </a:prstGeom>
                    <a:noFill/>
                  </pic:spPr>
                </pic:pic>
              </a:graphicData>
            </a:graphic>
          </wp:anchor>
        </w:drawing>
      </w:r>
    </w:p>
    <w:p>
      <w:pPr>
        <w:sectPr>
          <w:pgSz w:w="11900" w:h="16838" w:orient="portrait"/>
          <w:cols w:equalWidth="0" w:num="1">
            <w:col w:w="10219"/>
          </w:cols>
          <w:pgMar w:left="240" w:top="469" w:right="1440" w:bottom="0" w:gutter="0" w:footer="0" w:header="0"/>
        </w:sectPr>
      </w:pPr>
    </w:p>
    <w:p>
      <w:pPr>
        <w:spacing w:after="0" w:line="200" w:lineRule="exact"/>
        <w:rPr>
          <w:rFonts w:ascii="Arial" w:cs="Arial" w:eastAsia="Arial" w:hAnsi="Arial"/>
          <w:sz w:val="16"/>
          <w:szCs w:val="16"/>
          <w:b w:val="1"/>
          <w:bCs w:val="1"/>
          <w:color w:val="auto"/>
        </w:rPr>
      </w:pPr>
    </w:p>
    <w:p>
      <w:pPr>
        <w:spacing w:after="0" w:line="268" w:lineRule="exact"/>
        <w:rPr>
          <w:rFonts w:ascii="Arial" w:cs="Arial" w:eastAsia="Arial" w:hAnsi="Arial"/>
          <w:sz w:val="16"/>
          <w:szCs w:val="16"/>
          <w:b w:val="1"/>
          <w:bCs w:val="1"/>
          <w:color w:val="auto"/>
        </w:rPr>
      </w:pPr>
    </w:p>
    <w:p>
      <w:pPr>
        <w:ind w:left="960" w:hanging="560"/>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0219"/>
          </w:cols>
          <w:pgMar w:left="240" w:top="469" w:right="1440"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764540</wp:posOffset>
            </wp:positionH>
            <wp:positionV relativeFrom="page">
              <wp:posOffset>292735</wp:posOffset>
            </wp:positionV>
            <wp:extent cx="540702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603250</wp:posOffset>
            </wp:positionV>
            <wp:extent cx="1672590" cy="909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7259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HAWKINS,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NOTICE OF ANNUAL MEETING OF SHAREHOLDERS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14,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225" w:lineRule="exact"/>
        <w:rPr>
          <w:sz w:val="20"/>
          <w:szCs w:val="20"/>
          <w:color w:val="auto"/>
        </w:rPr>
      </w:pPr>
    </w:p>
    <w:p>
      <w:pPr>
        <w:ind w:right="800" w:firstLine="348"/>
        <w:spacing w:after="0" w:line="332" w:lineRule="auto"/>
        <w:rPr>
          <w:sz w:val="20"/>
          <w:szCs w:val="20"/>
          <w:color w:val="auto"/>
        </w:rPr>
      </w:pPr>
      <w:r>
        <w:rPr>
          <w:rFonts w:ascii="Arial" w:cs="Arial" w:eastAsia="Arial" w:hAnsi="Arial"/>
          <w:sz w:val="16"/>
          <w:szCs w:val="16"/>
          <w:color w:val="auto"/>
        </w:rPr>
        <w:t>The Annual Meeting of shareholders of Hawkins, Inc. (the "Company") will be held at the Four Points Sheraton Hotel, 1330 Industrial Boulevard, Minneapolis, Minnesota, on Thursday, August 14, 2003, at 3:00 P.M., Central Daylight Time, for the following purposes:</w:t>
      </w:r>
    </w:p>
    <w:p>
      <w:pPr>
        <w:spacing w:after="0" w:line="153"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Board of Directors has fixed the close of business on July 7, 2003 as the record date for determining the shareholders entitled to vote at the Annual Meeting. Accordingly, only shareholders of record at the close of business on that date will be entitled to vote. The Company's transfer books will not be closed.</w:t>
      </w:r>
    </w:p>
    <w:p>
      <w:pPr>
        <w:spacing w:after="0" w:line="139"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Dated: July 17, 2003.</w:t>
      </w:r>
      <w:r>
        <w:rPr>
          <w:sz w:val="20"/>
          <w:szCs w:val="20"/>
          <w:color w:val="auto"/>
        </w:rPr>
        <w:tab/>
      </w:r>
      <w:r>
        <w:rPr>
          <w:rFonts w:ascii="Arial" w:cs="Arial" w:eastAsia="Arial" w:hAnsi="Arial"/>
          <w:sz w:val="16"/>
          <w:szCs w:val="16"/>
          <w:color w:val="auto"/>
        </w:rPr>
        <w:t>BY ORDER OF THE BOARD OF DIRECTORS</w:t>
      </w:r>
    </w:p>
    <w:p>
      <w:pPr>
        <w:spacing w:after="0" w:line="25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 xml:space="preserve">MARVIN E. DEE, </w:t>
      </w:r>
      <w:r>
        <w:rPr>
          <w:rFonts w:ascii="Arial" w:cs="Arial" w:eastAsia="Arial" w:hAnsi="Arial"/>
          <w:sz w:val="18"/>
          <w:szCs w:val="18"/>
          <w:i w:val="1"/>
          <w:iCs w:val="1"/>
          <w:color w:val="auto"/>
        </w:rPr>
        <w:t>Secretary</w:t>
      </w:r>
    </w:p>
    <w:p>
      <w:pPr>
        <w:spacing w:after="0" w:line="219"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HAWKINS,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17, 2003</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statement is furnished in connection with the solicitation of proxies by the Board of Directors of Hawkins, Inc. (the "Company") to be voted at the Annual Meeting of shareholders of the Company to be held on Thursday, August 14, 2003 at the Four Points Sheraton Hotel, 1330 Industrial Boulevard, Minneapolis, Minnesota, at 3:00 p.m., Central Daylight Time, and at any adjournment or adjournments of such meeting. Distribution of this proxy statement and proxy to shareholders began on or about July 17, 2003.</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cost of soliciting proxies and of the notices of the meeting, including the preparation, assembly and mailing of proxies and this statement, will be borne by the Company. In addition to the use of the mail, proxies may be solicited personally or by telephone, mail or electronic mail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REVOCATION AND VOTING OF PROXY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Unless otherwise directed in the accompanying proxy, the persons named therein will vote FOR the nominees for director as set forth in this Notice of Annual Meeting of Shareholders. Management is not aware of any other business that will, or is likely to, come before the meeting. If any other business does properly come before the meeting, such persons will vote in accordance with their judgment as to what is in the Company's best interests.</w:t>
      </w:r>
    </w:p>
    <w:p>
      <w:pPr>
        <w:sectPr>
          <w:pgSz w:w="11900" w:h="16904" w:orient="portrait"/>
          <w:cols w:equalWidth="0" w:num="1">
            <w:col w:w="11420"/>
          </w:cols>
          <w:pgMar w:left="240" w:top="1440" w:right="239" w:bottom="0" w:gutter="0" w:footer="0" w:header="0"/>
        </w:sectPr>
      </w:pPr>
    </w:p>
    <w:bookmarkStart w:id="2" w:name="page3"/>
    <w:bookmarkEnd w:id="2"/>
    <w:p>
      <w:pPr>
        <w:ind w:right="80" w:firstLine="341"/>
        <w:spacing w:after="0" w:line="255" w:lineRule="auto"/>
        <w:rPr>
          <w:sz w:val="20"/>
          <w:szCs w:val="20"/>
          <w:color w:val="auto"/>
        </w:rPr>
      </w:pPr>
      <w:r>
        <w:rPr>
          <w:rFonts w:ascii="Arial" w:cs="Arial" w:eastAsia="Arial" w:hAnsi="Arial"/>
          <w:sz w:val="18"/>
          <w:szCs w:val="18"/>
          <w:color w:val="auto"/>
        </w:rPr>
        <w:t>A majority of the outstanding shares will constitute a quorum at the Annual Meeting. Abstentions and broker non-votes are counted for purposes of determining the presence or absence of a quorum for the transaction of business. Pursuant to Minnesota law and the Company's Amended and Second Restated Articles of Incorporation, abstentions are counted in determining the total number of the votes cast on proposals presented to shareholders, but will not be treated as votes in favor of the proposals. Broker non-votes are not counted for purposes of determining the total number of votes cast on proposals presented to shareholders.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SHARES AND VOTING RIGHTS</w:t>
      </w:r>
    </w:p>
    <w:p>
      <w:pPr>
        <w:spacing w:after="0" w:line="231" w:lineRule="exact"/>
        <w:rPr>
          <w:sz w:val="20"/>
          <w:szCs w:val="20"/>
          <w:color w:val="auto"/>
        </w:rPr>
      </w:pPr>
    </w:p>
    <w:p>
      <w:pPr>
        <w:ind w:right="200" w:firstLine="341"/>
        <w:spacing w:after="0" w:line="306" w:lineRule="auto"/>
        <w:rPr>
          <w:sz w:val="20"/>
          <w:szCs w:val="20"/>
          <w:color w:val="auto"/>
        </w:rPr>
      </w:pPr>
      <w:r>
        <w:rPr>
          <w:rFonts w:ascii="Arial" w:cs="Arial" w:eastAsia="Arial" w:hAnsi="Arial"/>
          <w:sz w:val="16"/>
          <w:szCs w:val="16"/>
          <w:color w:val="auto"/>
        </w:rPr>
        <w:t>At the close of business on July 7, 2003, the record date, there were 10,216,688 shares of the Company's common stock, par value $.05 per share, outstanding. The common stock is the only outstanding class of capital stock of the Company. Holders of common shares are entitled to one vote for each share held on the record date with respect to all matters that may be brought before the meeting. There is no cumulative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Section 16(a) of the Securities Exchange Act of 1934 requires the Company's executive officers, directors and persons who beneficially own more than ten percent of the Company's common stock to file initial reports of ownership and reports of changes in ownership of common stock of the Company with the Securities and Exchange Commission(SEC).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 except that Dean L. Hahn failed to file reports on a timely basis for a transaction in October 2002 and a transaction in December 2002 which have since been filed and Donald L. Shipp failed to file a report on a timely basis for a transaction in January 2003 which has since been filed.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MANAGEMENT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BENEFICIAL OWNERSHIP</w:t>
      </w:r>
    </w:p>
    <w:p>
      <w:pPr>
        <w:spacing w:after="0" w:line="219" w:lineRule="exact"/>
        <w:rPr>
          <w:sz w:val="20"/>
          <w:szCs w:val="20"/>
          <w:color w:val="auto"/>
        </w:rPr>
      </w:pPr>
    </w:p>
    <w:p>
      <w:pPr>
        <w:jc w:val="both"/>
        <w:ind w:right="320" w:firstLine="348"/>
        <w:spacing w:after="0" w:line="256" w:lineRule="auto"/>
        <w:rPr>
          <w:sz w:val="20"/>
          <w:szCs w:val="20"/>
          <w:color w:val="auto"/>
        </w:rPr>
      </w:pPr>
      <w:r>
        <w:rPr>
          <w:rFonts w:ascii="Arial" w:cs="Arial" w:eastAsia="Arial" w:hAnsi="Arial"/>
          <w:sz w:val="18"/>
          <w:szCs w:val="18"/>
          <w:color w:val="auto"/>
        </w:rPr>
        <w:t>The following table contains information as of May 30, 2003 concerning the beneficial ownership of the Company's common shares by all directors and nominees, by the executive officers named in the Summary Compensation table, by all current directors and executive officers as a group and by shareholders known to the Company to beneficially own more than 5% of its common shares. Unless otherwise noted, the address for each shareholder listed below is the Company's executive offices.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200" w:type="dxa"/>
            <w:vAlign w:val="bottom"/>
          </w:tcPr>
          <w:p>
            <w:pPr>
              <w:spacing w:after="0"/>
              <w:rPr>
                <w:sz w:val="15"/>
                <w:szCs w:val="15"/>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Shares(a)</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962,045(b)</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Marvin E. Dee</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1,617(c)</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Robert Gey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Dean L. Hahn</w:t>
            </w: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112,209(d)</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M. Hawkins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206,654(e)</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John R. Hawkins</w:t>
            </w:r>
          </w:p>
        </w:tc>
        <w:tc>
          <w:tcPr>
            <w:tcW w:w="2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63,712(f)</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22,445(g)</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R. Norman</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18,748(h)</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2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7,283(i)</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21,318(j)</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Donald L. Shipp</w:t>
            </w: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284,920(k)</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Daryl I. Skaar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All current directors and officers as a group (13 persons)</w:t>
            </w:r>
          </w:p>
        </w:tc>
        <w:tc>
          <w:tcPr>
            <w:tcW w:w="2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764,591(l)</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Hawkins, Inc. Employee Stock Ownership Plan and Trust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1,943,615(m)</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-2226945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-2226945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-2226945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-2226945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-2226945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Unless otherwise noted, all shares shown are held by shareholders possessing sole voting and investment power with respect to such shares.</w:t>
      </w:r>
    </w:p>
    <w:p>
      <w:pPr>
        <w:spacing w:after="0" w:line="261"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Form 13F Holdings Report filed by Royce &amp; Associates, LLC with the SEC on May 7, 2003 for the period ended March 31, 2003. The address for Royce &amp; Associates is 1414 Avenue of the Americas, New York, NY 10019.</w:t>
      </w:r>
    </w:p>
    <w:p>
      <w:pPr>
        <w:spacing w:after="0" w:line="199"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Mr. Dee as of March 31, 2003 in the Company's Employee Stock Ownership Plan (2,900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8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22,553 shares that Mr. Hahn holds jointly with his wife as to which he shares voting and investment power. Does not include shares representing Mr. Hahn's beneficial interest as of March 31, 2003 in the Company's Employee Stock Ownership Plan (12,881 shares).</w:t>
      </w:r>
    </w:p>
    <w:p>
      <w:pPr>
        <w:spacing w:after="0" w:line="152" w:lineRule="exact"/>
        <w:rPr>
          <w:rFonts w:ascii="Arial" w:cs="Arial" w:eastAsia="Arial" w:hAnsi="Arial"/>
          <w:sz w:val="16"/>
          <w:szCs w:val="16"/>
          <w:color w:val="auto"/>
        </w:rPr>
      </w:pPr>
    </w:p>
    <w:p>
      <w:pPr>
        <w:ind w:left="540" w:hanging="532"/>
        <w:spacing w:after="0" w:line="306"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64,195 shares held by Mr. Hawkins' wife as to which he may be deemed to share voting and investment power, but as to which he disclaims beneficial ownership; and 39,246 shares that Mr. Hawkins holds jointly with his wife as to which he shares voting and investment power. Does not include shares representing the beneficial interest of Mr. Hawkins as of March 31,2003 in the Company's Employee Stock Ownership Plan (103,922 shares).</w:t>
      </w:r>
    </w:p>
    <w:p>
      <w:pPr>
        <w:sectPr>
          <w:pgSz w:w="11900" w:h="16838" w:orient="portrait"/>
          <w:cols w:equalWidth="0" w:num="1">
            <w:col w:w="11420"/>
          </w:cols>
          <w:pgMar w:left="240" w:top="131" w:right="239" w:bottom="0" w:gutter="0" w:footer="0" w:header="0"/>
        </w:sectPr>
      </w:pPr>
    </w:p>
    <w:bookmarkStart w:id="3" w:name="page4"/>
    <w:bookmarkEnd w:id="3"/>
    <w:p>
      <w:pPr>
        <w:ind w:left="540" w:right="740" w:hanging="532"/>
        <w:spacing w:after="0" w:line="370"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59,052 shares that Mr. Hawkins holds jointly with his wife as to which he shares voting and investment power. Does not include shares representing Mr. Hawkins' beneficial interest as of March 31, 2003 in the Company's Employee Stock Ownership Plan (125,107 shares).</w:t>
      </w:r>
    </w:p>
    <w:p>
      <w:pPr>
        <w:spacing w:after="0" w:line="143" w:lineRule="exact"/>
        <w:rPr>
          <w:rFonts w:ascii="Arial" w:cs="Arial" w:eastAsia="Arial" w:hAnsi="Arial"/>
          <w:sz w:val="15"/>
          <w:szCs w:val="15"/>
          <w:color w:val="auto"/>
        </w:rPr>
      </w:pPr>
    </w:p>
    <w:p>
      <w:pPr>
        <w:ind w:left="540" w:right="46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426 shares held by Mr. McKeon as custodian for a child as to which Mr. McKeon has sole voting and investment power, but as to which he disclaims beneficial ownership.</w:t>
      </w:r>
    </w:p>
    <w:p>
      <w:pPr>
        <w:spacing w:after="0" w:line="199" w:lineRule="exact"/>
        <w:rPr>
          <w:rFonts w:ascii="Arial" w:cs="Arial" w:eastAsia="Arial" w:hAnsi="Arial"/>
          <w:sz w:val="18"/>
          <w:szCs w:val="18"/>
          <w:color w:val="auto"/>
        </w:rPr>
      </w:pPr>
    </w:p>
    <w:p>
      <w:pPr>
        <w:jc w:val="both"/>
        <w:ind w:left="540" w:right="60" w:hanging="532"/>
        <w:spacing w:after="0" w:line="306"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1,428 shares held by Mr. Norman's wife as custodian for their children, as to which he disclaims beneficial ownership. Includes 2,320 shares that Mr. Norman holds jointly with his wife as to which he shares voting and investment power. Does not include shares representing the beneficial interest of Mr. Norman as of March 31, 2003 in the Company's Employee Stock Ownership Plan (30,727 shares).</w:t>
      </w:r>
    </w:p>
    <w:p>
      <w:pPr>
        <w:spacing w:after="0" w:line="174" w:lineRule="exact"/>
        <w:rPr>
          <w:rFonts w:ascii="Arial" w:cs="Arial" w:eastAsia="Arial" w:hAnsi="Arial"/>
          <w:sz w:val="16"/>
          <w:szCs w:val="16"/>
          <w:color w:val="auto"/>
        </w:rPr>
      </w:pPr>
    </w:p>
    <w:p>
      <w:pPr>
        <w:ind w:left="540" w:right="240" w:hanging="532"/>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6,755 shares that Ms. Paulson holds jointly with her husband and 528 shares that Ms. Paulson holds jointly with a child as to which she shares voting and investment power. Does not include shares representing the beneficial interest of Ms. Paulson as of March 31, 2003 in the Company's Employee Stock Ownership Plan (66,395 shares).</w:t>
      </w:r>
    </w:p>
    <w:p>
      <w:pPr>
        <w:spacing w:after="0" w:line="221"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Mr. Sevenich as of March 31, 2003 in the Company's Employee Stock Ownership Plan (20,785 shares).</w:t>
      </w:r>
    </w:p>
    <w:p>
      <w:pPr>
        <w:spacing w:after="0" w:line="199" w:lineRule="exact"/>
        <w:rPr>
          <w:rFonts w:ascii="Arial" w:cs="Arial" w:eastAsia="Arial" w:hAnsi="Arial"/>
          <w:sz w:val="18"/>
          <w:szCs w:val="18"/>
          <w:color w:val="auto"/>
        </w:rPr>
      </w:pPr>
    </w:p>
    <w:p>
      <w:pPr>
        <w:ind w:left="540" w:right="46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107,359 shares held by Mr. Shipp's wife as to which he may be deemed to share voting and investment power, but as to which he disclaims beneficial ownership.</w:t>
      </w:r>
    </w:p>
    <w:p>
      <w:pPr>
        <w:spacing w:after="0" w:line="199" w:lineRule="exact"/>
        <w:rPr>
          <w:rFonts w:ascii="Arial" w:cs="Arial" w:eastAsia="Arial" w:hAnsi="Arial"/>
          <w:sz w:val="18"/>
          <w:szCs w:val="18"/>
          <w:color w:val="auto"/>
        </w:rPr>
      </w:pPr>
    </w:p>
    <w:p>
      <w:pPr>
        <w:ind w:left="540" w:right="74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the directors and officers as of March 31, 2003 in the Company's Employee Stock Ownership Plan (375,254 shares).</w:t>
      </w:r>
    </w:p>
    <w:p>
      <w:pPr>
        <w:spacing w:after="0" w:line="212" w:lineRule="exact"/>
        <w:rPr>
          <w:rFonts w:ascii="Arial" w:cs="Arial" w:eastAsia="Arial" w:hAnsi="Arial"/>
          <w:sz w:val="18"/>
          <w:szCs w:val="18"/>
          <w:color w:val="auto"/>
        </w:rPr>
      </w:pPr>
    </w:p>
    <w:p>
      <w:pPr>
        <w:ind w:left="540" w:right="60" w:hanging="532"/>
        <w:spacing w:after="0" w:line="25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current trustees of the Hawkins, Inc. Employee Stock Ownership Plan and trust are John R. Hawkins, Kurt R. Norman, and Marvin E. Dee. Although these individuals could be deemed to "beneficially own" all of the shares held by this Plan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 and Trust.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PROPOSALS TO BE ACTED UPON AT THE ANNUAL MEETING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w:t>
      </w:r>
    </w:p>
    <w:p>
      <w:pPr>
        <w:spacing w:after="0" w:line="219"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At the forthcoming meeting, nine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Abstentions have the effect of a vote against the nominees. Proxies will be voted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election of all nominees unless you direct otherwise. Should any nominee decline or be unable to accept such nomination or to serve as a director (an event which management does not now expect to occur), proxies will be voted for a substitute nominee or nominees in accordance with the best judgment of the person or persons acting under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w:t>
      </w:r>
    </w:p>
    <w:p>
      <w:pPr>
        <w:spacing w:after="0" w:line="23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All nominees who are now directors of the Company have served continuously since the year indicated below. The following information, including the principal occupation or employment of each nominee, has been furnished to the Company by the respective nominees, as of May 30, 2003; all positions are with the Company unless otherwise noted.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Occupation</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30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6"/>
              </w:rPr>
              <w:t>and Employment</w:t>
            </w:r>
          </w:p>
        </w:tc>
        <w:tc>
          <w:tcPr>
            <w:tcW w:w="28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5"/>
                <w:szCs w:val="15"/>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0"/>
              </w:rPr>
              <w:t>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8"/>
              </w:rPr>
              <w:t>Chairman of the Board and Chief Executive Officer since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February 2000; President from December 1998 to February</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2000; Executive Vice President from 1997 to December 1998;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5"/>
              </w:rPr>
              <w:t>Vice President of Sales from 1987 to 1997; Secretary from</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1991 to 1999.</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740" w:type="dxa"/>
            <w:vAlign w:val="bottom"/>
            <w:gridSpan w:val="2"/>
          </w:tcPr>
          <w:p>
            <w:pPr>
              <w:spacing w:after="0"/>
              <w:rPr>
                <w:sz w:val="20"/>
                <w:szCs w:val="20"/>
                <w:color w:val="auto"/>
              </w:rPr>
            </w:pPr>
            <w:r>
              <w:rPr>
                <w:rFonts w:ascii="Arial" w:cs="Arial" w:eastAsia="Arial" w:hAnsi="Arial"/>
                <w:sz w:val="18"/>
                <w:szCs w:val="18"/>
                <w:color w:val="auto"/>
              </w:rPr>
              <w:t>Kurt R. Norman</w:t>
            </w: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w w:val="93"/>
              </w:rPr>
              <w:t>President and Chief Operating Officer since February 2000;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w w:val="95"/>
              </w:rPr>
              <w:t>Vice President from February 1999 to February 2000; Vice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w w:val="97"/>
              </w:rPr>
              <w:t>President, Hawkins Water Treatment Group from 1996 to</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w w:val="88"/>
              </w:rPr>
              <w:t>February 1999; General Manager of Hawkins Water Treatment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rPr>
              <w:t>Group from 1988 to 1996.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Dean L. Hahn</w:t>
            </w: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4"/>
              </w:rPr>
              <w:t>Retired; Chairman of the Board and Chief Executive Officer</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from 1996 to 2000; President from 1983 to 1996.</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740" w:type="dxa"/>
            <w:vAlign w:val="bottom"/>
            <w:gridSpan w:val="2"/>
          </w:tcPr>
          <w:p>
            <w:pPr>
              <w:spacing w:after="0"/>
              <w:rPr>
                <w:sz w:val="20"/>
                <w:szCs w:val="20"/>
                <w:color w:val="auto"/>
              </w:rPr>
            </w:pPr>
            <w:r>
              <w:rPr>
                <w:rFonts w:ascii="Arial" w:cs="Arial" w:eastAsia="Arial" w:hAnsi="Arial"/>
                <w:sz w:val="18"/>
                <w:szCs w:val="18"/>
                <w:color w:val="auto"/>
              </w:rPr>
              <w:t>Donald L. Shipp</w:t>
            </w: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w w:val="93"/>
              </w:rPr>
              <w:t>Retired; Vice Chairman from December 1998 to September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w w:val="90"/>
              </w:rPr>
              <w:t>2000; President from 1996 to December 1998; Executive Vice</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-2412365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-2412365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-2412365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-2412365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-2412365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-2412365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-2412365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-2412365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sectPr>
      </w:pPr>
    </w:p>
    <w:bookmarkStart w:id="4" w:name="page5"/>
    <w:bookmarkEnd w:id="4"/>
    <w:p>
      <w:pPr>
        <w:ind w:left="3040"/>
        <w:spacing w:after="0"/>
        <w:rPr>
          <w:sz w:val="20"/>
          <w:szCs w:val="20"/>
          <w:color w:val="auto"/>
        </w:rPr>
      </w:pPr>
      <w:r>
        <w:rPr>
          <w:rFonts w:ascii="Arial" w:cs="Arial" w:eastAsia="Arial" w:hAnsi="Arial"/>
          <w:sz w:val="18"/>
          <w:szCs w:val="18"/>
          <w:color w:val="auto"/>
        </w:rPr>
        <w:t>President from 1983 to 1996; President of Feed-Rite Controls,</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Inc., then a subsidiary of the Company, from 1967 to 1996.</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40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Howard M. Hawkins</w:t>
            </w:r>
          </w:p>
        </w:tc>
        <w:tc>
          <w:tcPr>
            <w:tcW w:w="55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Retired; Treasurer from 1973 to 1999; Vice President from</w:t>
            </w: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280" w:type="dxa"/>
            <w:vAlign w:val="bottom"/>
          </w:tcPr>
          <w:p>
            <w:pPr>
              <w:spacing w:after="0"/>
              <w:rPr>
                <w:sz w:val="24"/>
                <w:szCs w:val="24"/>
                <w:color w:val="auto"/>
              </w:rPr>
            </w:pPr>
          </w:p>
        </w:tc>
      </w:tr>
      <w:tr>
        <w:trPr>
          <w:trHeight w:val="224"/>
        </w:trPr>
        <w:tc>
          <w:tcPr>
            <w:tcW w:w="2260" w:type="dxa"/>
            <w:vAlign w:val="bottom"/>
            <w:shd w:val="clear" w:color="auto" w:fill="CCEEFF"/>
          </w:tcPr>
          <w:p>
            <w:pPr>
              <w:spacing w:after="0"/>
              <w:rPr>
                <w:sz w:val="19"/>
                <w:szCs w:val="19"/>
                <w:color w:val="auto"/>
              </w:rPr>
            </w:pPr>
          </w:p>
        </w:tc>
        <w:tc>
          <w:tcPr>
            <w:tcW w:w="55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1996 to 1999.</w:t>
            </w: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424"/>
        </w:trPr>
        <w:tc>
          <w:tcPr>
            <w:tcW w:w="2260" w:type="dxa"/>
            <w:vAlign w:val="bottom"/>
          </w:tcPr>
          <w:p>
            <w:pPr>
              <w:spacing w:after="0"/>
              <w:rPr>
                <w:sz w:val="20"/>
                <w:szCs w:val="20"/>
                <w:color w:val="auto"/>
              </w:rPr>
            </w:pPr>
            <w:r>
              <w:rPr>
                <w:rFonts w:ascii="Arial" w:cs="Arial" w:eastAsia="Arial" w:hAnsi="Arial"/>
                <w:sz w:val="18"/>
                <w:szCs w:val="18"/>
                <w:color w:val="auto"/>
              </w:rPr>
              <w:t>John S. McKeon</w:t>
            </w:r>
          </w:p>
        </w:tc>
        <w:tc>
          <w:tcPr>
            <w:tcW w:w="5500" w:type="dxa"/>
            <w:vAlign w:val="bottom"/>
          </w:tcPr>
          <w:p>
            <w:pPr>
              <w:ind w:left="780"/>
              <w:spacing w:after="0"/>
              <w:rPr>
                <w:sz w:val="20"/>
                <w:szCs w:val="20"/>
                <w:color w:val="auto"/>
              </w:rPr>
            </w:pPr>
            <w:r>
              <w:rPr>
                <w:rFonts w:ascii="Arial" w:cs="Arial" w:eastAsia="Arial" w:hAnsi="Arial"/>
                <w:sz w:val="18"/>
                <w:szCs w:val="18"/>
                <w:color w:val="auto"/>
              </w:rPr>
              <w:t>President and Chief Operating Officer of ConAgra Foods</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58</w:t>
            </w:r>
          </w:p>
        </w:tc>
        <w:tc>
          <w:tcPr>
            <w:tcW w:w="2920" w:type="dxa"/>
            <w:vAlign w:val="bottom"/>
            <w:gridSpan w:val="2"/>
          </w:tcPr>
          <w:p>
            <w:pPr>
              <w:jc w:val="right"/>
              <w:ind w:right="2280"/>
              <w:spacing w:after="0"/>
              <w:rPr>
                <w:sz w:val="20"/>
                <w:szCs w:val="20"/>
                <w:color w:val="auto"/>
              </w:rPr>
            </w:pPr>
            <w:r>
              <w:rPr>
                <w:rFonts w:ascii="Arial" w:cs="Arial" w:eastAsia="Arial" w:hAnsi="Arial"/>
                <w:sz w:val="18"/>
                <w:szCs w:val="18"/>
                <w:color w:val="auto"/>
              </w:rPr>
              <w:t>1984</w:t>
            </w:r>
          </w:p>
        </w:tc>
      </w:tr>
      <w:tr>
        <w:trPr>
          <w:trHeight w:val="216"/>
        </w:trPr>
        <w:tc>
          <w:tcPr>
            <w:tcW w:w="2260" w:type="dxa"/>
            <w:vAlign w:val="bottom"/>
          </w:tcPr>
          <w:p>
            <w:pPr>
              <w:spacing w:after="0"/>
              <w:rPr>
                <w:sz w:val="18"/>
                <w:szCs w:val="18"/>
                <w:color w:val="auto"/>
              </w:rPr>
            </w:pPr>
          </w:p>
        </w:tc>
        <w:tc>
          <w:tcPr>
            <w:tcW w:w="5500" w:type="dxa"/>
            <w:vAlign w:val="bottom"/>
          </w:tcPr>
          <w:p>
            <w:pPr>
              <w:ind w:left="780"/>
              <w:spacing w:after="0"/>
              <w:rPr>
                <w:sz w:val="20"/>
                <w:szCs w:val="20"/>
                <w:color w:val="auto"/>
              </w:rPr>
            </w:pPr>
            <w:r>
              <w:rPr>
                <w:rFonts w:ascii="Arial" w:cs="Arial" w:eastAsia="Arial" w:hAnsi="Arial"/>
                <w:sz w:val="18"/>
                <w:szCs w:val="18"/>
                <w:color w:val="auto"/>
              </w:rPr>
              <w:t>Snack Foods Group (formerly Golden Valley Microwave</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500" w:type="dxa"/>
            <w:vAlign w:val="bottom"/>
          </w:tcPr>
          <w:p>
            <w:pPr>
              <w:ind w:left="780"/>
              <w:spacing w:after="0"/>
              <w:rPr>
                <w:sz w:val="20"/>
                <w:szCs w:val="20"/>
                <w:color w:val="auto"/>
              </w:rPr>
            </w:pPr>
            <w:r>
              <w:rPr>
                <w:rFonts w:ascii="Arial" w:cs="Arial" w:eastAsia="Arial" w:hAnsi="Arial"/>
                <w:sz w:val="18"/>
                <w:szCs w:val="18"/>
                <w:color w:val="auto"/>
              </w:rPr>
              <w:t>Foods, Inc.) since August 1993; President of McKeon</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500" w:type="dxa"/>
            <w:vAlign w:val="bottom"/>
          </w:tcPr>
          <w:p>
            <w:pPr>
              <w:ind w:left="780"/>
              <w:spacing w:after="0"/>
              <w:rPr>
                <w:sz w:val="20"/>
                <w:szCs w:val="20"/>
                <w:color w:val="auto"/>
              </w:rPr>
            </w:pPr>
            <w:r>
              <w:rPr>
                <w:rFonts w:ascii="Arial" w:cs="Arial" w:eastAsia="Arial" w:hAnsi="Arial"/>
                <w:sz w:val="18"/>
                <w:szCs w:val="18"/>
                <w:color w:val="auto"/>
                <w:w w:val="97"/>
              </w:rPr>
              <w:t>Associates, Inc. 1991 to 1993 (corporate finance consulting);</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3"/>
        </w:trPr>
        <w:tc>
          <w:tcPr>
            <w:tcW w:w="2260" w:type="dxa"/>
            <w:vAlign w:val="bottom"/>
          </w:tcPr>
          <w:p>
            <w:pPr>
              <w:spacing w:after="0"/>
              <w:rPr>
                <w:sz w:val="19"/>
                <w:szCs w:val="19"/>
                <w:color w:val="auto"/>
              </w:rPr>
            </w:pPr>
          </w:p>
        </w:tc>
        <w:tc>
          <w:tcPr>
            <w:tcW w:w="5500" w:type="dxa"/>
            <w:vAlign w:val="bottom"/>
          </w:tcPr>
          <w:p>
            <w:pPr>
              <w:ind w:left="780"/>
              <w:spacing w:after="0"/>
              <w:rPr>
                <w:sz w:val="20"/>
                <w:szCs w:val="20"/>
                <w:color w:val="auto"/>
              </w:rPr>
            </w:pPr>
            <w:r>
              <w:rPr>
                <w:rFonts w:ascii="Arial" w:cs="Arial" w:eastAsia="Arial" w:hAnsi="Arial"/>
                <w:sz w:val="18"/>
                <w:szCs w:val="18"/>
                <w:color w:val="auto"/>
              </w:rPr>
              <w:t>Vice President of Northstar Industries, Inc. 1976 to 1990.</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7"/>
        </w:trPr>
        <w:tc>
          <w:tcPr>
            <w:tcW w:w="226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430"/>
        </w:trPr>
        <w:tc>
          <w:tcPr>
            <w:tcW w:w="2260" w:type="dxa"/>
            <w:vAlign w:val="bottom"/>
          </w:tcPr>
          <w:p>
            <w:pPr>
              <w:spacing w:after="0"/>
              <w:rPr>
                <w:sz w:val="24"/>
                <w:szCs w:val="24"/>
                <w:color w:val="auto"/>
              </w:rPr>
            </w:pPr>
          </w:p>
        </w:tc>
        <w:tc>
          <w:tcPr>
            <w:tcW w:w="5500" w:type="dxa"/>
            <w:vAlign w:val="bottom"/>
          </w:tcPr>
          <w:p>
            <w:pPr>
              <w:ind w:left="3420"/>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26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gridSpan w:val="2"/>
          </w:tcPr>
          <w:p>
            <w:pPr>
              <w:spacing w:after="0"/>
              <w:rPr>
                <w:sz w:val="19"/>
                <w:szCs w:val="19"/>
                <w:color w:val="auto"/>
              </w:rPr>
            </w:pPr>
          </w:p>
        </w:tc>
      </w:tr>
      <w:tr>
        <w:trPr>
          <w:trHeight w:val="105"/>
        </w:trPr>
        <w:tc>
          <w:tcPr>
            <w:tcW w:w="22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20" w:type="dxa"/>
            <w:vAlign w:val="bottom"/>
            <w:gridSpan w:val="2"/>
          </w:tcPr>
          <w:p>
            <w:pPr>
              <w:spacing w:after="0"/>
              <w:rPr>
                <w:sz w:val="9"/>
                <w:szCs w:val="9"/>
                <w:color w:val="auto"/>
              </w:rPr>
            </w:pPr>
          </w:p>
        </w:tc>
      </w:tr>
      <w:tr>
        <w:trPr>
          <w:trHeight w:val="424"/>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55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4"/>
              </w:rPr>
              <w:t>Retired; Vice President of Operations, Taylor Corporation from</w:t>
            </w: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280" w:type="dxa"/>
            <w:vAlign w:val="bottom"/>
          </w:tcPr>
          <w:p>
            <w:pPr>
              <w:spacing w:after="0"/>
              <w:rPr>
                <w:sz w:val="24"/>
                <w:szCs w:val="24"/>
                <w:color w:val="auto"/>
              </w:rPr>
            </w:pPr>
          </w:p>
        </w:tc>
      </w:tr>
      <w:tr>
        <w:trPr>
          <w:trHeight w:val="216"/>
        </w:trPr>
        <w:tc>
          <w:tcPr>
            <w:tcW w:w="2260" w:type="dxa"/>
            <w:vAlign w:val="bottom"/>
            <w:shd w:val="clear" w:color="auto" w:fill="CCEEFF"/>
          </w:tcPr>
          <w:p>
            <w:pPr>
              <w:spacing w:after="0"/>
              <w:rPr>
                <w:sz w:val="18"/>
                <w:szCs w:val="18"/>
                <w:color w:val="auto"/>
              </w:rPr>
            </w:pPr>
          </w:p>
        </w:tc>
        <w:tc>
          <w:tcPr>
            <w:tcW w:w="55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7"/>
              </w:rPr>
              <w:t>1985 to 1999. Various positions with Taylor Corporation from</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4"/>
        </w:trPr>
        <w:tc>
          <w:tcPr>
            <w:tcW w:w="2260" w:type="dxa"/>
            <w:vAlign w:val="bottom"/>
            <w:shd w:val="clear" w:color="auto" w:fill="CCEEFF"/>
          </w:tcPr>
          <w:p>
            <w:pPr>
              <w:spacing w:after="0"/>
              <w:rPr>
                <w:sz w:val="19"/>
                <w:szCs w:val="19"/>
                <w:color w:val="auto"/>
              </w:rPr>
            </w:pPr>
          </w:p>
        </w:tc>
        <w:tc>
          <w:tcPr>
            <w:tcW w:w="55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1966 to 1985.</w:t>
            </w: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424"/>
        </w:trPr>
        <w:tc>
          <w:tcPr>
            <w:tcW w:w="2260" w:type="dxa"/>
            <w:vAlign w:val="bottom"/>
          </w:tcPr>
          <w:p>
            <w:pPr>
              <w:spacing w:after="0"/>
              <w:rPr>
                <w:sz w:val="20"/>
                <w:szCs w:val="20"/>
                <w:color w:val="auto"/>
              </w:rPr>
            </w:pPr>
            <w:r>
              <w:rPr>
                <w:rFonts w:ascii="Arial" w:cs="Arial" w:eastAsia="Arial" w:hAnsi="Arial"/>
                <w:sz w:val="18"/>
                <w:szCs w:val="18"/>
                <w:color w:val="auto"/>
              </w:rPr>
              <w:t>G. Robert Gey</w:t>
            </w:r>
          </w:p>
        </w:tc>
        <w:tc>
          <w:tcPr>
            <w:tcW w:w="5500" w:type="dxa"/>
            <w:vAlign w:val="bottom"/>
          </w:tcPr>
          <w:p>
            <w:pPr>
              <w:ind w:left="780"/>
              <w:spacing w:after="0"/>
              <w:rPr>
                <w:sz w:val="20"/>
                <w:szCs w:val="20"/>
                <w:color w:val="auto"/>
              </w:rPr>
            </w:pPr>
            <w:r>
              <w:rPr>
                <w:rFonts w:ascii="Arial" w:cs="Arial" w:eastAsia="Arial" w:hAnsi="Arial"/>
                <w:sz w:val="18"/>
                <w:szCs w:val="18"/>
                <w:color w:val="auto"/>
                <w:w w:val="99"/>
              </w:rPr>
              <w:t>President of Fuller Brands since 2003 and President of The</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58</w:t>
            </w:r>
          </w:p>
        </w:tc>
        <w:tc>
          <w:tcPr>
            <w:tcW w:w="2920" w:type="dxa"/>
            <w:vAlign w:val="bottom"/>
            <w:gridSpan w:val="2"/>
          </w:tcPr>
          <w:p>
            <w:pPr>
              <w:jc w:val="right"/>
              <w:ind w:right="2280"/>
              <w:spacing w:after="0"/>
              <w:rPr>
                <w:sz w:val="20"/>
                <w:szCs w:val="20"/>
                <w:color w:val="auto"/>
              </w:rPr>
            </w:pPr>
            <w:r>
              <w:rPr>
                <w:rFonts w:ascii="Arial" w:cs="Arial" w:eastAsia="Arial" w:hAnsi="Arial"/>
                <w:sz w:val="18"/>
                <w:szCs w:val="18"/>
                <w:color w:val="auto"/>
              </w:rPr>
              <w:t>1999</w:t>
            </w:r>
          </w:p>
        </w:tc>
      </w:tr>
      <w:tr>
        <w:trPr>
          <w:trHeight w:val="216"/>
        </w:trPr>
        <w:tc>
          <w:tcPr>
            <w:tcW w:w="2260" w:type="dxa"/>
            <w:vAlign w:val="bottom"/>
          </w:tcPr>
          <w:p>
            <w:pPr>
              <w:spacing w:after="0"/>
              <w:rPr>
                <w:sz w:val="18"/>
                <w:szCs w:val="18"/>
                <w:color w:val="auto"/>
              </w:rPr>
            </w:pPr>
          </w:p>
        </w:tc>
        <w:tc>
          <w:tcPr>
            <w:tcW w:w="5500" w:type="dxa"/>
            <w:vAlign w:val="bottom"/>
          </w:tcPr>
          <w:p>
            <w:pPr>
              <w:ind w:left="780"/>
              <w:spacing w:after="0"/>
              <w:rPr>
                <w:sz w:val="20"/>
                <w:szCs w:val="20"/>
                <w:color w:val="auto"/>
              </w:rPr>
            </w:pPr>
            <w:r>
              <w:rPr>
                <w:rFonts w:ascii="Arial" w:cs="Arial" w:eastAsia="Arial" w:hAnsi="Arial"/>
                <w:sz w:val="18"/>
                <w:szCs w:val="18"/>
                <w:color w:val="auto"/>
                <w:w w:val="96"/>
              </w:rPr>
              <w:t>Fuller Brush Company since 2002; President, Pentair Service</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500" w:type="dxa"/>
            <w:vAlign w:val="bottom"/>
          </w:tcPr>
          <w:p>
            <w:pPr>
              <w:ind w:left="780"/>
              <w:spacing w:after="0"/>
              <w:rPr>
                <w:sz w:val="20"/>
                <w:szCs w:val="20"/>
                <w:color w:val="auto"/>
              </w:rPr>
            </w:pPr>
            <w:r>
              <w:rPr>
                <w:rFonts w:ascii="Arial" w:cs="Arial" w:eastAsia="Arial" w:hAnsi="Arial"/>
                <w:sz w:val="18"/>
                <w:szCs w:val="18"/>
                <w:color w:val="auto"/>
              </w:rPr>
              <w:t>Equipment Business from 1996 to 2001; Vice President,</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500" w:type="dxa"/>
            <w:vAlign w:val="bottom"/>
          </w:tcPr>
          <w:p>
            <w:pPr>
              <w:ind w:left="780"/>
              <w:spacing w:after="0"/>
              <w:rPr>
                <w:sz w:val="20"/>
                <w:szCs w:val="20"/>
                <w:color w:val="auto"/>
              </w:rPr>
            </w:pPr>
            <w:r>
              <w:rPr>
                <w:rFonts w:ascii="Arial" w:cs="Arial" w:eastAsia="Arial" w:hAnsi="Arial"/>
                <w:sz w:val="18"/>
                <w:szCs w:val="18"/>
                <w:color w:val="auto"/>
                <w:w w:val="94"/>
              </w:rPr>
              <w:t>Pentair Corporate Development from 1995 to 1996; President,</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500" w:type="dxa"/>
            <w:vAlign w:val="bottom"/>
          </w:tcPr>
          <w:p>
            <w:pPr>
              <w:ind w:left="780"/>
              <w:spacing w:after="0"/>
              <w:rPr>
                <w:sz w:val="20"/>
                <w:szCs w:val="20"/>
                <w:color w:val="auto"/>
              </w:rPr>
            </w:pPr>
            <w:r>
              <w:rPr>
                <w:rFonts w:ascii="Arial" w:cs="Arial" w:eastAsia="Arial" w:hAnsi="Arial"/>
                <w:sz w:val="18"/>
                <w:szCs w:val="18"/>
                <w:color w:val="auto"/>
                <w:w w:val="94"/>
              </w:rPr>
              <w:t>Niagara Paper Corp. from 1992 to 1995; various positions with</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2"/>
        </w:trPr>
        <w:tc>
          <w:tcPr>
            <w:tcW w:w="2260" w:type="dxa"/>
            <w:vAlign w:val="bottom"/>
          </w:tcPr>
          <w:p>
            <w:pPr>
              <w:spacing w:after="0"/>
              <w:rPr>
                <w:sz w:val="19"/>
                <w:szCs w:val="19"/>
                <w:color w:val="auto"/>
              </w:rPr>
            </w:pPr>
          </w:p>
        </w:tc>
        <w:tc>
          <w:tcPr>
            <w:tcW w:w="5500" w:type="dxa"/>
            <w:vAlign w:val="bottom"/>
          </w:tcPr>
          <w:p>
            <w:pPr>
              <w:ind w:left="780"/>
              <w:spacing w:after="0"/>
              <w:rPr>
                <w:sz w:val="20"/>
                <w:szCs w:val="20"/>
                <w:color w:val="auto"/>
              </w:rPr>
            </w:pPr>
            <w:r>
              <w:rPr>
                <w:rFonts w:ascii="Arial" w:cs="Arial" w:eastAsia="Arial" w:hAnsi="Arial"/>
                <w:sz w:val="18"/>
                <w:szCs w:val="18"/>
                <w:color w:val="auto"/>
              </w:rPr>
              <w:t>Pentair, Inc. from 1983 to 1992.</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Daryl I. Skaar</w:t>
            </w:r>
          </w:p>
        </w:tc>
        <w:tc>
          <w:tcPr>
            <w:tcW w:w="5500" w:type="dxa"/>
            <w:vAlign w:val="bottom"/>
          </w:tcPr>
          <w:p>
            <w:pPr>
              <w:ind w:left="780"/>
              <w:spacing w:after="0"/>
              <w:rPr>
                <w:sz w:val="20"/>
                <w:szCs w:val="20"/>
                <w:color w:val="auto"/>
              </w:rPr>
            </w:pPr>
            <w:r>
              <w:rPr>
                <w:rFonts w:ascii="Arial" w:cs="Arial" w:eastAsia="Arial" w:hAnsi="Arial"/>
                <w:sz w:val="18"/>
                <w:szCs w:val="18"/>
                <w:color w:val="auto"/>
              </w:rPr>
              <w:t>Retired; Vice President and Chief Procurement Officer of</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61</w:t>
            </w:r>
          </w:p>
        </w:tc>
        <w:tc>
          <w:tcPr>
            <w:tcW w:w="2920" w:type="dxa"/>
            <w:vAlign w:val="bottom"/>
            <w:gridSpan w:val="2"/>
          </w:tcPr>
          <w:p>
            <w:pPr>
              <w:jc w:val="right"/>
              <w:ind w:right="2280"/>
              <w:spacing w:after="0"/>
              <w:rPr>
                <w:sz w:val="20"/>
                <w:szCs w:val="20"/>
                <w:color w:val="auto"/>
              </w:rPr>
            </w:pPr>
            <w:r>
              <w:rPr>
                <w:rFonts w:ascii="Arial" w:cs="Arial" w:eastAsia="Arial" w:hAnsi="Arial"/>
                <w:sz w:val="18"/>
                <w:szCs w:val="18"/>
                <w:color w:val="auto"/>
              </w:rPr>
              <w:t>2001</w:t>
            </w:r>
          </w:p>
        </w:tc>
      </w:tr>
      <w:tr>
        <w:trPr>
          <w:trHeight w:val="222"/>
        </w:trPr>
        <w:tc>
          <w:tcPr>
            <w:tcW w:w="2260" w:type="dxa"/>
            <w:vAlign w:val="bottom"/>
          </w:tcPr>
          <w:p>
            <w:pPr>
              <w:spacing w:after="0"/>
              <w:rPr>
                <w:sz w:val="19"/>
                <w:szCs w:val="19"/>
                <w:color w:val="auto"/>
              </w:rPr>
            </w:pPr>
          </w:p>
        </w:tc>
        <w:tc>
          <w:tcPr>
            <w:tcW w:w="5500" w:type="dxa"/>
            <w:vAlign w:val="bottom"/>
          </w:tcPr>
          <w:p>
            <w:pPr>
              <w:ind w:left="780"/>
              <w:spacing w:after="0"/>
              <w:rPr>
                <w:sz w:val="20"/>
                <w:szCs w:val="20"/>
                <w:color w:val="auto"/>
              </w:rPr>
            </w:pPr>
            <w:r>
              <w:rPr>
                <w:rFonts w:ascii="Arial" w:cs="Arial" w:eastAsia="Arial" w:hAnsi="Arial"/>
                <w:sz w:val="18"/>
                <w:szCs w:val="18"/>
                <w:color w:val="auto"/>
                <w:w w:val="97"/>
              </w:rPr>
              <w:t>Lucent Technologies from 1997 to 2000; various positions at</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-2000250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5797550" cy="685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7550" cy="685800"/>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8"/>
          <w:szCs w:val="18"/>
          <w:color w:val="auto"/>
        </w:rPr>
        <w:t>3M from 1965 to 1997, most recently as Vice President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Purchasing and Packaging Engineering.</w:t>
      </w:r>
    </w:p>
    <w:p>
      <w:pPr>
        <w:spacing w:after="0" w:line="21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Howard M. Hawkins and John R. Hawkins are brothers. Donald L. Shipp is the father-in-law of Kurt R. Norman. There are no other family relationships between any executive officers or directors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Board of Directors and its Committees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Board of Directors held four meetings in fiscal 2003. All directors attended at least 75% of the total number of meetings of the Board and the committees on which they served, with the exception of John S. McKeon, who attended 25% of all the meetings of the Board during fiscal 2003. Mr. McKeon attended 83% of all meetings of the committees on which he served during fiscal 2003. The Audit Committee, which presently consists of John S. McKeon, Duane M. Jergenson, G. Robert Gey and Daryl I. Skaar is responsible for, among other things, selecting and appointing the Company's independent auditors, meeting with the independent auditors and financial management to review the scope of the audit and the audit procedures, reviewing annually the responsibilities of the Audit Committee and recommending to the Board of Directors any changes to these responsibilities, and establishing and reviewing internal controls. The Audit Committee held four meetings during fiscal 2003. The Compensation Committee, which consists of John S. McKeon, Duane M. Jergenson, G. Robert Gey and Daryl I. Skaar is responsible for establishing compensation policies for the Company and for reviewing and setting compensation for senior executives of the Company. The Compensation Committee held two meetings during fiscal 2003.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Sections 8 through 11 of Article II of the Company's Second Amended and Superseding By-Laws, as currently in effect (the "Bylaws"), provide that a candidate may not be nominated for election as a director at the meeting of shareholders unless the nomination was previously submitted to the Board or its nominating committee.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 (3) the nominee's statement consenting to his nomination and agreeing to serve, if elected; and (4) evidence that the person making the nomination is a shareholder. After reviewing the submission, the Board or the appointed nominating committee may,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fiscal 2003, each director who is not an employee of the Company was paid $12,000 as a retainer plus $1,000 for each meeting attended.</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THE ELECTION OF ALL NOMINEES FOR DIRECTOR.</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OTHER MATTERS</w:t>
      </w:r>
    </w:p>
    <w:p>
      <w:pPr>
        <w:sectPr>
          <w:pgSz w:w="11900" w:h="16838" w:orient="portrait"/>
          <w:cols w:equalWidth="0" w:num="1">
            <w:col w:w="11420"/>
          </w:cols>
          <w:pgMar w:left="240" w:top="131" w:right="239" w:bottom="0" w:gutter="0" w:footer="0" w:header="0"/>
          <w:type w:val="continuous"/>
        </w:sectPr>
      </w:pPr>
    </w:p>
    <w:bookmarkStart w:id="5" w:name="page6"/>
    <w:bookmarkEnd w:id="5"/>
    <w:p>
      <w:pPr>
        <w:spacing w:after="0" w:line="62"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Management does not know of any other business which will be presented for consideration at the meeting. If, however, any other business does properly come before the meeting, proxies will be voted in accordance with the judgment of the person or persons acting under them as to what is in the best interests of the Company.</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INDEPENDENT PUBLIC ACCOUNTANTS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Deloitte &amp; Touche LLP, independent certified public accountants, have been the auditors of the Company since 1971. They have been retained by the Board of Directors as the Company's auditors for the current fiscal year.</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Representatives of Deloitte &amp; Touche LLP are expected to attend this meeting with the opportunity to make a statement if they desire. They will be available to respond to appropriate questions.</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During the fiscal year ended March 30, 2003, Deloitte &amp; Touche LLP provided various audit, audit related and non-audit services to the Company as follows:</w:t>
      </w:r>
    </w:p>
    <w:p>
      <w:pPr>
        <w:spacing w:after="0" w:line="199" w:lineRule="exact"/>
        <w:rPr>
          <w:sz w:val="20"/>
          <w:szCs w:val="20"/>
          <w:color w:val="auto"/>
        </w:rPr>
      </w:pPr>
    </w:p>
    <w:p>
      <w:pPr>
        <w:ind w:left="1080" w:right="2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Fees: Audit fees for professional services rendered for the audit of the Company's fiscal 2003 financial statements and review of financial statements in the Company's Form 10-Q Reports were $103,000.</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Financial Information Systems Design and Implementation Fees: Aggregate fees billed for services rendered in fiscal 2003 were $0.</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Fees: Professional fees for fiscal 2003 for all other services, including benefit plan audits and other, totaled $25,000.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Audit Committee of the Board of Directors is responsible for selecting auditors, ensuring the fiscal integrity of the Company and establishing and reviewing internal controls. The Audit Committee operates under a written charter adopted by the Board of Directors. The Audit Committee was comprised of the following directors during fiscal 2003:</w:t>
      </w:r>
    </w:p>
    <w:p>
      <w:pPr>
        <w:spacing w:after="0" w:line="190"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Name of Director</w:t>
            </w: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Director 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John S. McKeon, Chair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Duane M. Jergenson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 Robert Gey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Daryl I. Skaar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-633730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-633730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-633730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-633730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During fiscal 2003, the Audit Committee considered the revised requirements for members of audit committees adopted by the SEC. All of the members of the Audit Committee have been determined to be independent. None of the members of the Audit Committee were officers or employees of the Company during fiscal 2003 or had a relationship with the Company that would, in the opinion of the Board of Directors, interfere with the exercise of his independence from management and the Company. All members of the Audit Committee have substantial experience in financial matters and business operations.</w:t>
      </w:r>
    </w:p>
    <w:p>
      <w:pPr>
        <w:spacing w:after="0" w:line="16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Audit Committee has (i) reviewed and discussed the Company's audited financial statements with management; (ii) discussed with the Company's independent auditors, Deloitte &amp; Touche, LLP, the matters required to be discussed by Statement on Auditing Standards No. 61; and (iii) received from the auditors disclosures regarding the auditors' independence required by Independence Standards Board Standard No. 1 and discussed with the auditors the auditors' independence (iv) considered whether the level of non-audit services provided by Deloitte &amp; Touche LLP is compatible with maintaining the independence of its auditors.</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Based on the review and discussions described above, the Audit Committee recommended to the Board of Directors that the Company's audited financial statements for the fiscal year ended March 30, 2003 be included in the Company's Annual Report on Form 10-K for filing with the SEC. Additionally, the Audit Committee reviewed the Company's quarterly results prior to public release.</w:t>
      </w:r>
    </w:p>
    <w:p>
      <w:pPr>
        <w:spacing w:after="0" w:line="194" w:lineRule="exact"/>
        <w:rPr>
          <w:sz w:val="20"/>
          <w:szCs w:val="20"/>
          <w:color w:val="auto"/>
        </w:rPr>
      </w:pPr>
    </w:p>
    <w:p>
      <w:pPr>
        <w:ind w:left="2620"/>
        <w:spacing w:after="0"/>
        <w:tabs>
          <w:tab w:leader="none" w:pos="4600" w:val="left"/>
          <w:tab w:leader="none" w:pos="6420" w:val="left"/>
          <w:tab w:leader="none" w:pos="7780" w:val="left"/>
        </w:tabs>
        <w:rPr>
          <w:sz w:val="20"/>
          <w:szCs w:val="20"/>
          <w:color w:val="auto"/>
        </w:rPr>
      </w:pPr>
      <w:r>
        <w:rPr>
          <w:rFonts w:ascii="Arial" w:cs="Arial" w:eastAsia="Arial" w:hAnsi="Arial"/>
          <w:sz w:val="18"/>
          <w:szCs w:val="18"/>
          <w:i w:val="1"/>
          <w:iCs w:val="1"/>
          <w:color w:val="auto"/>
        </w:rPr>
        <w:t>John S. McKeon, Chair</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G. Robert Gey</w:t>
      </w:r>
      <w:r>
        <w:rPr>
          <w:sz w:val="20"/>
          <w:szCs w:val="20"/>
          <w:color w:val="auto"/>
        </w:rPr>
        <w:tab/>
      </w:r>
      <w:r>
        <w:rPr>
          <w:rFonts w:ascii="Arial" w:cs="Arial" w:eastAsia="Arial" w:hAnsi="Arial"/>
          <w:sz w:val="16"/>
          <w:szCs w:val="16"/>
          <w:i w:val="1"/>
          <w:iCs w:val="1"/>
          <w:color w:val="auto"/>
        </w:rPr>
        <w:t>Daryl I. Skaar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AND OTHER BENEFITS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compensation of the Chief Executive Officer and the four highest paid executive officers(collectively, the "Named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0"/>
                <w:szCs w:val="20"/>
                <w:color w:val="auto"/>
              </w:rPr>
            </w:pPr>
          </w:p>
        </w:tc>
        <w:tc>
          <w:tcPr>
            <w:tcW w:w="1840" w:type="dxa"/>
            <w:vAlign w:val="bottom"/>
          </w:tcPr>
          <w:p>
            <w:pPr>
              <w:jc w:val="right"/>
              <w:ind w:right="722"/>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5"/>
                <w:szCs w:val="15"/>
                <w:color w:val="auto"/>
              </w:rPr>
            </w:pPr>
          </w:p>
        </w:tc>
        <w:tc>
          <w:tcPr>
            <w:tcW w:w="900" w:type="dxa"/>
            <w:vAlign w:val="bottom"/>
          </w:tcPr>
          <w:p>
            <w:pPr>
              <w:jc w:val="right"/>
              <w:ind w:right="319"/>
              <w:spacing w:after="0"/>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Compensation(a)</w:t>
            </w:r>
          </w:p>
        </w:tc>
        <w:tc>
          <w:tcPr>
            <w:tcW w:w="300" w:type="dxa"/>
            <w:vAlign w:val="bottom"/>
          </w:tcPr>
          <w:p>
            <w:pPr>
              <w:spacing w:after="0"/>
              <w:rPr>
                <w:sz w:val="15"/>
                <w:szCs w:val="15"/>
                <w:color w:val="auto"/>
              </w:rPr>
            </w:pPr>
          </w:p>
        </w:tc>
        <w:tc>
          <w:tcPr>
            <w:tcW w:w="184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Compensation(b)(c)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166,650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2002</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-699770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-699770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-356870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-356870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-356870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-356870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-356870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-356870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-356870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-356870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-356870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-356870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-356870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31" w:right="25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8"/>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163,776</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156,000</w:t>
            </w: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24"/>
        </w:trPr>
        <w:tc>
          <w:tcPr>
            <w:tcW w:w="16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155,988</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160,000</w:t>
            </w: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424"/>
        </w:trPr>
        <w:tc>
          <w:tcPr>
            <w:tcW w:w="3540" w:type="dxa"/>
            <w:vAlign w:val="bottom"/>
            <w:gridSpan w:val="2"/>
          </w:tcPr>
          <w:p>
            <w:pPr>
              <w:spacing w:after="0"/>
              <w:rPr>
                <w:sz w:val="20"/>
                <w:szCs w:val="20"/>
                <w:color w:val="auto"/>
              </w:rPr>
            </w:pPr>
            <w:r>
              <w:rPr>
                <w:rFonts w:ascii="Arial" w:cs="Arial" w:eastAsia="Arial" w:hAnsi="Arial"/>
                <w:sz w:val="18"/>
                <w:szCs w:val="18"/>
                <w:color w:val="auto"/>
              </w:rPr>
              <w:t>Kurt R. Norman(2)</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2003</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146,450</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155,000</w:t>
            </w:r>
          </w:p>
        </w:tc>
        <w:tc>
          <w:tcPr>
            <w:tcW w:w="8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2002</w:t>
            </w:r>
          </w:p>
        </w:tc>
        <w:tc>
          <w:tcPr>
            <w:tcW w:w="4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72,500</w:t>
            </w:r>
          </w:p>
        </w:tc>
        <w:tc>
          <w:tcPr>
            <w:tcW w:w="4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75,000</w:t>
            </w:r>
          </w:p>
        </w:tc>
        <w:tc>
          <w:tcPr>
            <w:tcW w:w="8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2,250</w:t>
            </w:r>
          </w:p>
        </w:tc>
        <w:tc>
          <w:tcPr>
            <w:tcW w:w="9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17,000</w:t>
            </w:r>
          </w:p>
        </w:tc>
      </w:tr>
      <w:tr>
        <w:trPr>
          <w:trHeight w:val="216"/>
        </w:trPr>
        <w:tc>
          <w:tcPr>
            <w:tcW w:w="1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2001</w:t>
            </w:r>
          </w:p>
        </w:tc>
        <w:tc>
          <w:tcPr>
            <w:tcW w:w="4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142,867</w:t>
            </w:r>
          </w:p>
        </w:tc>
        <w:tc>
          <w:tcPr>
            <w:tcW w:w="4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140,000</w:t>
            </w:r>
          </w:p>
        </w:tc>
        <w:tc>
          <w:tcPr>
            <w:tcW w:w="8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23"/>
        </w:trPr>
        <w:tc>
          <w:tcPr>
            <w:tcW w:w="1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130,915</w:t>
            </w:r>
          </w:p>
        </w:tc>
        <w:tc>
          <w:tcPr>
            <w:tcW w:w="4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143,000</w:t>
            </w:r>
          </w:p>
        </w:tc>
        <w:tc>
          <w:tcPr>
            <w:tcW w:w="8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42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Dee(3)</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2003</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142,410</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92,000</w:t>
            </w:r>
          </w:p>
        </w:tc>
        <w:tc>
          <w:tcPr>
            <w:tcW w:w="8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3,150</w:t>
            </w:r>
          </w:p>
        </w:tc>
        <w:tc>
          <w:tcPr>
            <w:tcW w:w="9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President—Chief Financial Officer,</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2002</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70,500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40,000</w:t>
            </w: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1,575</w:t>
            </w: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Secretary and Treasurer</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140,000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72,000</w:t>
            </w: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1,050</w:t>
            </w: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24"/>
        </w:trPr>
        <w:tc>
          <w:tcPr>
            <w:tcW w:w="16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135,000</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64,000</w:t>
            </w: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424"/>
        </w:trPr>
        <w:tc>
          <w:tcPr>
            <w:tcW w:w="354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2003</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120,695</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81,000</w:t>
            </w:r>
          </w:p>
        </w:tc>
        <w:tc>
          <w:tcPr>
            <w:tcW w:w="8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Vice President—Water Treatment Group</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2002</w:t>
            </w:r>
          </w:p>
        </w:tc>
        <w:tc>
          <w:tcPr>
            <w:tcW w:w="4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59,750</w:t>
            </w:r>
          </w:p>
        </w:tc>
        <w:tc>
          <w:tcPr>
            <w:tcW w:w="4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40,000</w:t>
            </w:r>
          </w:p>
        </w:tc>
        <w:tc>
          <w:tcPr>
            <w:tcW w:w="8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2,250</w:t>
            </w:r>
          </w:p>
        </w:tc>
        <w:tc>
          <w:tcPr>
            <w:tcW w:w="9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17,000</w:t>
            </w:r>
          </w:p>
        </w:tc>
      </w:tr>
      <w:tr>
        <w:trPr>
          <w:trHeight w:val="216"/>
        </w:trPr>
        <w:tc>
          <w:tcPr>
            <w:tcW w:w="1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2001</w:t>
            </w:r>
          </w:p>
        </w:tc>
        <w:tc>
          <w:tcPr>
            <w:tcW w:w="4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118,750</w:t>
            </w:r>
          </w:p>
        </w:tc>
        <w:tc>
          <w:tcPr>
            <w:tcW w:w="4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68,000</w:t>
            </w:r>
          </w:p>
        </w:tc>
        <w:tc>
          <w:tcPr>
            <w:tcW w:w="8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23"/>
        </w:trPr>
        <w:tc>
          <w:tcPr>
            <w:tcW w:w="1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106,670</w:t>
            </w:r>
          </w:p>
        </w:tc>
        <w:tc>
          <w:tcPr>
            <w:tcW w:w="4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68,000</w:t>
            </w:r>
          </w:p>
        </w:tc>
        <w:tc>
          <w:tcPr>
            <w:tcW w:w="8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42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2003</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117,665</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83,000</w:t>
            </w:r>
          </w:p>
        </w:tc>
        <w:tc>
          <w:tcPr>
            <w:tcW w:w="8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Vice President—Manufacturing and Specialty</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2002</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58,250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40,000</w:t>
            </w: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2,250</w:t>
            </w: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16"/>
        </w:trPr>
        <w:tc>
          <w:tcPr>
            <w:tcW w:w="16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115,750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74,000</w:t>
            </w: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24"/>
        </w:trPr>
        <w:tc>
          <w:tcPr>
            <w:tcW w:w="16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110,683</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74,000</w:t>
            </w: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4,500</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118"/>
        </w:trPr>
        <w:tc>
          <w:tcPr>
            <w:tcW w:w="1660" w:type="dxa"/>
            <w:vAlign w:val="bottom"/>
            <w:tcBorders>
              <w:bottom w:val="single" w:sz="8" w:color="808080"/>
            </w:tcBorders>
          </w:tcPr>
          <w:p>
            <w:pPr>
              <w:spacing w:after="0"/>
              <w:rPr>
                <w:sz w:val="10"/>
                <w:szCs w:val="10"/>
                <w:color w:val="auto"/>
              </w:rPr>
            </w:pPr>
          </w:p>
        </w:tc>
        <w:tc>
          <w:tcPr>
            <w:tcW w:w="1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changed its fiscal year from the Sunday closest to September 30 to the Sunday closest to March 31, beginning after a six-month transitional period ended March 31, 2002. Fiscal year 2002 compensation reflects the six-month period ended March 31, 2002.</w:t>
      </w:r>
    </w:p>
    <w:p>
      <w:pPr>
        <w:spacing w:after="0" w:line="166"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Hawkins was elected Chairman and CEO effective February 16, 2000.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Norman was elected President and COO effective February 16, 2000.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Dee has been the Company's Chief Financial Officer since September 1999 and was elected Secretary and Treasurer in December 1999.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Employee Stock Purchase Plan</w:t>
      </w:r>
    </w:p>
    <w:p>
      <w:pPr>
        <w:spacing w:after="0" w:line="231" w:lineRule="exact"/>
        <w:rPr>
          <w:sz w:val="20"/>
          <w:szCs w:val="20"/>
          <w:color w:val="auto"/>
        </w:rPr>
      </w:pPr>
    </w:p>
    <w:p>
      <w:pPr>
        <w:jc w:val="both"/>
        <w:ind w:right="40" w:firstLine="341"/>
        <w:spacing w:after="0" w:line="298" w:lineRule="auto"/>
        <w:rPr>
          <w:sz w:val="20"/>
          <w:szCs w:val="20"/>
          <w:color w:val="auto"/>
        </w:rPr>
      </w:pPr>
      <w:r>
        <w:rPr>
          <w:rFonts w:ascii="Arial" w:cs="Arial" w:eastAsia="Arial" w:hAnsi="Arial"/>
          <w:sz w:val="16"/>
          <w:szCs w:val="16"/>
          <w:color w:val="auto"/>
        </w:rPr>
        <w:t>All employees of the Company who have attained the age of 18 years and who have been employed by the Company for 90 days are eligible to participate in the Company's Employee Stock Purchase Plan. Under the Plan, each participant authorizes the Company to deduct a specified amount, not to exceed $500, from the participant's paycheck each month, to which the Company generally adds a bonus of 75% of such amount, to be used by a depository agent to purchase shares of the Company's common stock for the participant's individual account under the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Money Purchase Pension Plan</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Non-bargaining employees of the Company who have attained the age of 21 years and completed one year of service are eligible to participate in this defined contribution pension plan. Each year, the Company contributes a percentage of an eligible participant's compensation and this amount is credited to an account maintained for the participant under the Plan. The Company contributed 11% for the fiscal year ended March 30, 2003 and the six-month transitional period ended March 31, 2002, and 10% for the fiscal years ended September 30, 2001 and October 1, 2000. The maximum annual compensation that was used to determine Plan benefits was capped at $200,000 for the plan year ended March 31, 2003; this limit will be adjusted in future years under federal tax law for cost-of-living increases.</w:t>
      </w:r>
    </w:p>
    <w:p>
      <w:pPr>
        <w:spacing w:after="0" w:line="19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Participant accounts are credited with the appropriate gains or losses resulting from employee-directed investments made by the Plan. A participant is fully vested after completing seven years of service. At retirement, the participant may elect to receive the amount credited to his or her account either as a lump sum, in installments, or in the form of an annuity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Employee Stock Ownership Plan</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Non-bargaining employees of the Company who have attained the age of 21 years and completed one year of service are eligible to participate in the Company's Employee Stock Ownership Plan. Contributions to this Plan are made at the discretion of the Board of Directors and credited to individual accounts maintained for participants under the Plan.</w:t>
      </w:r>
    </w:p>
    <w:p>
      <w:pPr>
        <w:spacing w:after="0" w:line="19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amount of each contribution credited to a participant's account is proportionate to that participant's compensation compared to the total compensation paid to all participants in the Plan. The maximum annual compensation that was used to determine benefits was capped at $200,000 for the plan year ended March 31, 2003; this limit will be adjusted in future years under federal tax law for cost-of-living increases. In addition, the aggregate amount contributed in any one plan year for a participant under the Money Purchase Pension Plan and Employee Stock Ownership Plan may not exceed the lesser of 25% of compensation or $40,000.</w:t>
      </w:r>
    </w:p>
    <w:p>
      <w:pPr>
        <w:spacing w:after="0" w:line="19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Participant accounts in the Employee Stock Ownership Plan are also credited with the appropriate gains or losses resulting from Plan investments. A participant is fully vested after completing seven years of service. At retirement, the participant may elect to receive the amount credited to his or her account either as a lump sum or in installments.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Option/SAR Grants and Exercises in Fiscal 2003</w:t>
      </w:r>
    </w:p>
    <w:p>
      <w:pPr>
        <w:sectPr>
          <w:pgSz w:w="11900" w:h="16838" w:orient="portrait"/>
          <w:cols w:equalWidth="0" w:num="1">
            <w:col w:w="11420"/>
          </w:cols>
          <w:pgMar w:left="240" w:top="140" w:right="239" w:bottom="19" w:gutter="0" w:footer="0" w:header="0"/>
        </w:sectPr>
      </w:pPr>
    </w:p>
    <w:bookmarkStart w:id="7" w:name="page8"/>
    <w:bookmarkEnd w:id="7"/>
    <w:p>
      <w:pPr>
        <w:ind w:left="360"/>
        <w:spacing w:after="0"/>
        <w:rPr>
          <w:sz w:val="20"/>
          <w:szCs w:val="20"/>
          <w:color w:val="auto"/>
        </w:rPr>
      </w:pPr>
      <w:r>
        <w:rPr>
          <w:rFonts w:ascii="Arial" w:cs="Arial" w:eastAsia="Arial" w:hAnsi="Arial"/>
          <w:sz w:val="18"/>
          <w:szCs w:val="18"/>
          <w:color w:val="auto"/>
        </w:rPr>
        <w:t>There were no options or SAR's granted to or exercised by the Named Executive Officers in fiscal 2003.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All decisions regarding compensation of executive officers of the Company during fiscal 2003 were made by the Compensation Committee of the Board of Directors. During fiscal 2003, the Compensation Committee was made up of the following directors: John S. McKeon, Duane M. Jergenson, G. Robert Gey and Daryl I. Skaar. None of the executive officers of the Company participates in any board vote setting his or her annual salary or bonus. During fiscal 2003, none of the members of the Compensation Committee were officers or employees of the Company and there were no interlock relationships.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 ON ANNUAL COMPENSATION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annual compensation programs of the Company are designed to create incentives and reward performance. The Company's annual compensation mix generally has lower base salaries than comparable companies, coupled with an incentive system that rewards good performance and the achievement of Company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Salaries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Salary increases of the Company's executive officers are made based on inflation, performance and increase in corporate profits.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Bonus Plan</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bonus plan for executive officers uses the following factors:corporate performance, business unit performance and personal performance. The corporate performance rating is based on the Company's percentage growth in earnings per share over the prior year and its return on equity because these two factors are the primary determinants of share price over time. Business unit ratings are based primarily on profit performance (market share performance, new product development, workplace diversity and other factors are also considered). Personal ratings generally reflect such qualitative factors as quality of the strategic plan, organizational and management development progress and industry considerations, public affairs, and civic involvement.</w:t>
      </w:r>
    </w:p>
    <w:p>
      <w:pPr>
        <w:spacing w:after="0" w:line="170"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 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compensation of John R. Hawkins, Chief Executive Officer, is determined in the same manner as set forth above for all other executive officers.</w:t>
      </w:r>
    </w:p>
    <w:p>
      <w:pPr>
        <w:spacing w:after="0" w:line="248" w:lineRule="exact"/>
        <w:rPr>
          <w:sz w:val="20"/>
          <w:szCs w:val="20"/>
          <w:color w:val="auto"/>
        </w:rPr>
      </w:pPr>
    </w:p>
    <w:p>
      <w:pPr>
        <w:ind w:left="3040"/>
        <w:spacing w:after="0"/>
        <w:tabs>
          <w:tab w:leader="none" w:pos="4520" w:val="left"/>
          <w:tab w:leader="none" w:pos="6340" w:val="left"/>
          <w:tab w:leader="none" w:pos="7700" w:val="left"/>
        </w:tabs>
        <w:rPr>
          <w:sz w:val="20"/>
          <w:szCs w:val="20"/>
          <w:color w:val="auto"/>
        </w:rPr>
      </w:pPr>
      <w:r>
        <w:rPr>
          <w:rFonts w:ascii="Arial" w:cs="Arial" w:eastAsia="Arial" w:hAnsi="Arial"/>
          <w:sz w:val="18"/>
          <w:szCs w:val="18"/>
          <w:i w:val="1"/>
          <w:iCs w:val="1"/>
          <w:color w:val="auto"/>
        </w:rPr>
        <w:t>John S. McKeon</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G. Robert Gey</w:t>
      </w:r>
      <w:r>
        <w:rPr>
          <w:sz w:val="20"/>
          <w:szCs w:val="20"/>
          <w:color w:val="auto"/>
        </w:rPr>
        <w:tab/>
      </w:r>
      <w:r>
        <w:rPr>
          <w:rFonts w:ascii="Arial" w:cs="Arial" w:eastAsia="Arial" w:hAnsi="Arial"/>
          <w:sz w:val="16"/>
          <w:szCs w:val="16"/>
          <w:i w:val="1"/>
          <w:iCs w:val="1"/>
          <w:color w:val="auto"/>
        </w:rPr>
        <w:t>Daryl I. Skaar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is a graph comparing the cumulative total shareholder return on the Company's common stock with the cumulative total returns of the NASDAQ Composite Index and the NASDAQ Industrial Index for the Company's last four fiscal years ended September, the six-month transitional period ended March 31, 2002 and the fiscal year ended March 30, 2003. The Company changed its fiscal year end from the Sunday closest to September 30 to the Sunday closest to March 31, beginning after a six-month transitional period ended on March 31, 2002. The graph assumes the investment of $100 in the Company's Common Stock, the NASDAQ Composite Index and the NASDAQ Industrial Index on September 28, 1997, and reinvestment of all dividends.</w:t>
      </w:r>
    </w:p>
    <w:p>
      <w:pPr>
        <w:sectPr>
          <w:pgSz w:w="11900" w:h="16838" w:orient="portrait"/>
          <w:cols w:equalWidth="0" w:num="1">
            <w:col w:w="11380"/>
          </w:cols>
          <w:pgMar w:left="240" w:top="131" w:right="2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88900</wp:posOffset>
            </wp:positionV>
            <wp:extent cx="5737225" cy="3507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737225"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PROPOSALS BY SHAREHOLDERS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order for a shareholder proposal to be considered for inclusion in the Company's proxy statement for next year's annual meeting, the written proposal must be received by the Company at its principal executive office no later than March 19, 2004. Any such proposals also must comply with the rules and regulations of the SEC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the Company no later than June 2, 2004. The persons named as proxies by the Company for that meeting will have discretionary authority to vote on any shareholder proposal for which such notice is not properly received by the Company and as otherwise permitted pursuant to the SEC's rules and regulations regarding the voting of proxies. Any director nominations made by shareholders also must comply with the relevant provisions set forth in Article I of the Company's Bylaws, as described under the caption "Election of Directors—Nominations" elsewhere in this proxy statement. A copy of the Bylaws has been filed with the SEC and is available on the SEC's website (www.sec.gov) or may be obtained by sending a written request to the Corporate Secretary at the Company's headquarters.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Company's 2003 Annual Report on Form 10-K for the fiscal year ended March 30, 2003, including financial statements, are being mailed with this Proxy Statement. Shareholders who wish to obtain an additional copy of the Company's Annual Report on Form 10-K for fiscal 2003 may do so without charge by writing to: Hawkins, Inc., 3100 East Hennepin Avenue, Minneapolis, Minnesota 55413, Attention: Corporate Secretary. The Annual Report on Form 10-K, as well as other Company reports, are also available on the SEC's website (www.sec.gov).</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60" w:type="dxa"/>
            <w:vAlign w:val="bottom"/>
            <w:gridSpan w:val="2"/>
          </w:tcPr>
          <w:p>
            <w:pPr>
              <w:spacing w:after="0"/>
              <w:rPr>
                <w:sz w:val="20"/>
                <w:szCs w:val="20"/>
                <w:color w:val="auto"/>
              </w:rPr>
            </w:pPr>
            <w:r>
              <w:rPr>
                <w:rFonts w:ascii="Arial" w:cs="Arial" w:eastAsia="Arial" w:hAnsi="Arial"/>
                <w:sz w:val="18"/>
                <w:szCs w:val="18"/>
                <w:color w:val="auto"/>
              </w:rPr>
              <w:t>Dated: July 17, 2003.</w:t>
            </w:r>
          </w:p>
        </w:tc>
        <w:tc>
          <w:tcPr>
            <w:tcW w:w="2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60" w:type="dxa"/>
            <w:vAlign w:val="bottom"/>
            <w:gridSpan w:val="3"/>
          </w:tcPr>
          <w:p>
            <w:pPr>
              <w:jc w:val="center"/>
              <w:ind w:right="372"/>
              <w:spacing w:after="0"/>
              <w:rPr>
                <w:sz w:val="20"/>
                <w:szCs w:val="20"/>
                <w:color w:val="auto"/>
              </w:rPr>
            </w:pPr>
            <w:r>
              <w:rPr>
                <w:rFonts w:ascii="Arial" w:cs="Arial" w:eastAsia="Arial" w:hAnsi="Arial"/>
                <w:sz w:val="18"/>
                <w:szCs w:val="18"/>
                <w:color w:val="auto"/>
                <w:w w:val="92"/>
              </w:rPr>
              <w:t>BY ORDER OF THE BOARD OF DIRECTORS</w:t>
            </w:r>
          </w:p>
        </w:tc>
      </w:tr>
      <w:tr>
        <w:trPr>
          <w:trHeight w:val="459"/>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 xml:space="preserve">MARVIN E. DEE, </w:t>
            </w:r>
            <w:r>
              <w:rPr>
                <w:rFonts w:ascii="Arial" w:cs="Arial" w:eastAsia="Arial" w:hAnsi="Arial"/>
                <w:sz w:val="18"/>
                <w:szCs w:val="18"/>
                <w:i w:val="1"/>
                <w:iCs w:val="1"/>
                <w:color w:val="auto"/>
                <w:w w:val="92"/>
              </w:rPr>
              <w:t>Secretary</w:t>
            </w:r>
          </w:p>
        </w:tc>
        <w:tc>
          <w:tcPr>
            <w:tcW w:w="170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center"/>
              <w:ind w:right="368"/>
              <w:spacing w:after="0"/>
              <w:rPr>
                <w:sz w:val="20"/>
                <w:szCs w:val="20"/>
                <w:color w:val="auto"/>
              </w:rPr>
            </w:pPr>
            <w:r>
              <w:rPr>
                <w:rFonts w:ascii="Arial" w:cs="Arial" w:eastAsia="Arial" w:hAnsi="Arial"/>
                <w:sz w:val="18"/>
                <w:szCs w:val="18"/>
                <w:color w:val="auto"/>
                <w:w w:val="89"/>
              </w:rPr>
              <w:t>12</w:t>
            </w: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8"/>
        </w:trPr>
        <w:tc>
          <w:tcPr>
            <w:tcW w:w="2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gridSpan w:val="3"/>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r>
        <w:trPr>
          <w:trHeight w:val="374"/>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80" w:type="dxa"/>
            <w:vAlign w:val="bottom"/>
            <w:gridSpan w:val="3"/>
          </w:tcPr>
          <w:p>
            <w:pPr>
              <w:jc w:val="center"/>
              <w:ind w:right="628"/>
              <w:spacing w:after="0"/>
              <w:rPr>
                <w:sz w:val="20"/>
                <w:szCs w:val="20"/>
                <w:color w:val="auto"/>
              </w:rPr>
            </w:pPr>
            <w:r>
              <w:rPr>
                <w:rFonts w:ascii="Arial" w:cs="Arial" w:eastAsia="Arial" w:hAnsi="Arial"/>
                <w:sz w:val="14"/>
                <w:szCs w:val="14"/>
                <w:i w:val="1"/>
                <w:iCs w:val="1"/>
                <w:color w:val="auto"/>
                <w:w w:val="85"/>
              </w:rPr>
              <w:t>- Please detach here -</w:t>
            </w:r>
          </w:p>
        </w:tc>
        <w:tc>
          <w:tcPr>
            <w:tcW w:w="2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60" w:type="dxa"/>
            <w:vAlign w:val="bottom"/>
            <w:gridSpan w:val="5"/>
          </w:tcPr>
          <w:p>
            <w:pPr>
              <w:jc w:val="center"/>
              <w:ind w:right="467"/>
              <w:spacing w:after="0"/>
              <w:rPr>
                <w:sz w:val="20"/>
                <w:szCs w:val="20"/>
                <w:color w:val="auto"/>
              </w:rPr>
            </w:pPr>
            <w:r>
              <w:rPr>
                <w:rFonts w:ascii="Arial" w:cs="Arial" w:eastAsia="Arial" w:hAnsi="Arial"/>
                <w:sz w:val="14"/>
                <w:szCs w:val="14"/>
                <w:b w:val="1"/>
                <w:bCs w:val="1"/>
                <w:color w:val="auto"/>
                <w:w w:val="97"/>
              </w:rPr>
              <w:t>THE BOARD OF DIRECTORS RECOMMENDS A VOTE FOR ALL NOMINEES IN ITEM 1.</w:t>
            </w:r>
          </w:p>
        </w:tc>
        <w:tc>
          <w:tcPr>
            <w:tcW w:w="1700" w:type="dxa"/>
            <w:vAlign w:val="bottom"/>
          </w:tcPr>
          <w:p>
            <w:pPr>
              <w:spacing w:after="0"/>
              <w:rPr>
                <w:sz w:val="24"/>
                <w:szCs w:val="24"/>
                <w:color w:val="auto"/>
              </w:rPr>
            </w:pPr>
          </w:p>
        </w:tc>
      </w:tr>
      <w:tr>
        <w:trPr>
          <w:trHeight w:val="341"/>
        </w:trPr>
        <w:tc>
          <w:tcPr>
            <w:tcW w:w="280" w:type="dxa"/>
            <w:vAlign w:val="bottom"/>
          </w:tcPr>
          <w:p>
            <w:pPr>
              <w:spacing w:after="0"/>
              <w:rPr>
                <w:sz w:val="20"/>
                <w:szCs w:val="20"/>
                <w:color w:val="auto"/>
              </w:rPr>
            </w:pPr>
            <w:r>
              <w:rPr>
                <w:rFonts w:ascii="Arial" w:cs="Arial" w:eastAsia="Arial" w:hAnsi="Arial"/>
                <w:sz w:val="14"/>
                <w:szCs w:val="14"/>
                <w:b w:val="1"/>
                <w:bCs w:val="1"/>
                <w:color w:val="auto"/>
              </w:rPr>
              <w:t>1.</w:t>
            </w:r>
          </w:p>
        </w:tc>
        <w:tc>
          <w:tcPr>
            <w:tcW w:w="1980" w:type="dxa"/>
            <w:vAlign w:val="bottom"/>
          </w:tcPr>
          <w:p>
            <w:pPr>
              <w:ind w:left="160"/>
              <w:spacing w:after="0"/>
              <w:rPr>
                <w:sz w:val="20"/>
                <w:szCs w:val="20"/>
                <w:color w:val="auto"/>
              </w:rPr>
            </w:pPr>
            <w:r>
              <w:rPr>
                <w:rFonts w:ascii="Arial" w:cs="Arial" w:eastAsia="Arial" w:hAnsi="Arial"/>
                <w:sz w:val="14"/>
                <w:szCs w:val="14"/>
                <w:color w:val="auto"/>
              </w:rPr>
              <w:t>Election of directors:</w:t>
            </w:r>
          </w:p>
        </w:tc>
        <w:tc>
          <w:tcPr>
            <w:tcW w:w="3340" w:type="dxa"/>
            <w:vAlign w:val="bottom"/>
            <w:gridSpan w:val="2"/>
          </w:tcPr>
          <w:p>
            <w:pPr>
              <w:ind w:left="2200"/>
              <w:spacing w:after="0"/>
              <w:rPr>
                <w:sz w:val="20"/>
                <w:szCs w:val="20"/>
                <w:color w:val="auto"/>
              </w:rPr>
            </w:pPr>
            <w:r>
              <w:rPr>
                <w:rFonts w:ascii="Arial" w:cs="Arial" w:eastAsia="Arial" w:hAnsi="Arial"/>
                <w:sz w:val="14"/>
                <w:szCs w:val="14"/>
                <w:color w:val="auto"/>
                <w:w w:val="89"/>
              </w:rPr>
              <w:t>01 John R. Hawkins</w:t>
            </w: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1240" w:type="dxa"/>
            <w:vAlign w:val="bottom"/>
          </w:tcPr>
          <w:p>
            <w:pPr>
              <w:ind w:left="20"/>
              <w:spacing w:after="0"/>
              <w:rPr>
                <w:sz w:val="20"/>
                <w:szCs w:val="20"/>
                <w:color w:val="auto"/>
              </w:rPr>
            </w:pPr>
            <w:r>
              <w:rPr>
                <w:rFonts w:ascii="Arial" w:cs="Arial" w:eastAsia="Arial" w:hAnsi="Arial"/>
                <w:sz w:val="14"/>
                <w:szCs w:val="14"/>
                <w:color w:val="auto"/>
              </w:rPr>
              <w:t>John S. McKeon</w:t>
            </w:r>
          </w:p>
        </w:tc>
        <w:tc>
          <w:tcPr>
            <w:tcW w:w="2220" w:type="dxa"/>
            <w:vAlign w:val="bottom"/>
          </w:tcPr>
          <w:p>
            <w:pPr>
              <w:ind w:left="400"/>
              <w:spacing w:after="0"/>
              <w:rPr>
                <w:sz w:val="20"/>
                <w:szCs w:val="20"/>
                <w:color w:val="auto"/>
              </w:rPr>
            </w:pPr>
            <w:r>
              <w:rPr>
                <w:rFonts w:ascii="Arial" w:cs="Arial" w:eastAsia="Arial" w:hAnsi="Arial"/>
                <w:sz w:val="14"/>
                <w:szCs w:val="14"/>
                <w:color w:val="auto"/>
              </w:rPr>
              <w:t>o    Vote FOR</w:t>
            </w:r>
          </w:p>
        </w:tc>
        <w:tc>
          <w:tcPr>
            <w:tcW w:w="1700" w:type="dxa"/>
            <w:vAlign w:val="bottom"/>
          </w:tcPr>
          <w:p>
            <w:pPr>
              <w:ind w:left="80"/>
              <w:spacing w:after="0"/>
              <w:rPr>
                <w:sz w:val="20"/>
                <w:szCs w:val="20"/>
                <w:color w:val="auto"/>
              </w:rPr>
            </w:pPr>
            <w:r>
              <w:rPr>
                <w:rFonts w:ascii="Arial" w:cs="Arial" w:eastAsia="Arial" w:hAnsi="Arial"/>
                <w:sz w:val="14"/>
                <w:szCs w:val="14"/>
                <w:color w:val="auto"/>
              </w:rPr>
              <w:t>o    Vote WITHHELD</w:t>
            </w:r>
          </w:p>
        </w:tc>
      </w:tr>
      <w:tr>
        <w:trPr>
          <w:trHeight w:val="149"/>
        </w:trPr>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60" w:type="dxa"/>
            <w:vAlign w:val="bottom"/>
          </w:tcPr>
          <w:p>
            <w:pPr>
              <w:ind w:left="2200"/>
              <w:spacing w:after="0" w:line="149" w:lineRule="exact"/>
              <w:rPr>
                <w:sz w:val="20"/>
                <w:szCs w:val="20"/>
                <w:color w:val="auto"/>
              </w:rPr>
            </w:pPr>
            <w:r>
              <w:rPr>
                <w:rFonts w:ascii="Arial" w:cs="Arial" w:eastAsia="Arial" w:hAnsi="Arial"/>
                <w:sz w:val="14"/>
                <w:szCs w:val="14"/>
                <w:color w:val="auto"/>
                <w:w w:val="89"/>
              </w:rPr>
              <w:t>02</w:t>
            </w:r>
          </w:p>
        </w:tc>
        <w:tc>
          <w:tcPr>
            <w:tcW w:w="980" w:type="dxa"/>
            <w:vAlign w:val="bottom"/>
          </w:tcPr>
          <w:p>
            <w:pPr>
              <w:ind w:left="20"/>
              <w:spacing w:after="0" w:line="149" w:lineRule="exact"/>
              <w:rPr>
                <w:sz w:val="20"/>
                <w:szCs w:val="20"/>
                <w:color w:val="auto"/>
              </w:rPr>
            </w:pPr>
            <w:r>
              <w:rPr>
                <w:rFonts w:ascii="Arial" w:cs="Arial" w:eastAsia="Arial" w:hAnsi="Arial"/>
                <w:sz w:val="14"/>
                <w:szCs w:val="14"/>
                <w:color w:val="auto"/>
                <w:w w:val="96"/>
              </w:rPr>
              <w:t>Kurt R. Norman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240" w:type="dxa"/>
            <w:vAlign w:val="bottom"/>
          </w:tcPr>
          <w:p>
            <w:pPr>
              <w:ind w:left="20"/>
              <w:spacing w:after="0" w:line="149" w:lineRule="exact"/>
              <w:rPr>
                <w:sz w:val="20"/>
                <w:szCs w:val="20"/>
                <w:color w:val="auto"/>
              </w:rPr>
            </w:pPr>
            <w:r>
              <w:rPr>
                <w:rFonts w:ascii="Arial" w:cs="Arial" w:eastAsia="Arial" w:hAnsi="Arial"/>
                <w:sz w:val="14"/>
                <w:szCs w:val="14"/>
                <w:color w:val="auto"/>
                <w:w w:val="92"/>
              </w:rPr>
              <w:t>Duane M. Jergenson</w:t>
            </w:r>
          </w:p>
        </w:tc>
        <w:tc>
          <w:tcPr>
            <w:tcW w:w="2220" w:type="dxa"/>
            <w:vAlign w:val="bottom"/>
          </w:tcPr>
          <w:p>
            <w:pPr>
              <w:ind w:left="700"/>
              <w:spacing w:after="0" w:line="149" w:lineRule="exact"/>
              <w:rPr>
                <w:sz w:val="20"/>
                <w:szCs w:val="20"/>
                <w:color w:val="auto"/>
              </w:rPr>
            </w:pPr>
            <w:r>
              <w:rPr>
                <w:rFonts w:ascii="Arial" w:cs="Arial" w:eastAsia="Arial" w:hAnsi="Arial"/>
                <w:sz w:val="14"/>
                <w:szCs w:val="14"/>
                <w:color w:val="auto"/>
              </w:rPr>
              <w:t>all nominees</w:t>
            </w:r>
          </w:p>
        </w:tc>
        <w:tc>
          <w:tcPr>
            <w:tcW w:w="1700" w:type="dxa"/>
            <w:vAlign w:val="bottom"/>
          </w:tcPr>
          <w:p>
            <w:pPr>
              <w:ind w:left="380"/>
              <w:spacing w:after="0" w:line="149" w:lineRule="exact"/>
              <w:rPr>
                <w:sz w:val="20"/>
                <w:szCs w:val="20"/>
                <w:color w:val="auto"/>
              </w:rPr>
            </w:pPr>
            <w:r>
              <w:rPr>
                <w:rFonts w:ascii="Arial" w:cs="Arial" w:eastAsia="Arial" w:hAnsi="Arial"/>
                <w:sz w:val="14"/>
                <w:szCs w:val="14"/>
                <w:color w:val="auto"/>
              </w:rPr>
              <w:t>from all nominees</w:t>
            </w:r>
          </w:p>
        </w:tc>
      </w:tr>
      <w:tr>
        <w:trPr>
          <w:trHeight w:val="149"/>
        </w:trPr>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60" w:type="dxa"/>
            <w:vAlign w:val="bottom"/>
          </w:tcPr>
          <w:p>
            <w:pPr>
              <w:ind w:left="2200"/>
              <w:spacing w:after="0" w:line="149" w:lineRule="exact"/>
              <w:rPr>
                <w:sz w:val="20"/>
                <w:szCs w:val="20"/>
                <w:color w:val="auto"/>
              </w:rPr>
            </w:pPr>
            <w:r>
              <w:rPr>
                <w:rFonts w:ascii="Arial" w:cs="Arial" w:eastAsia="Arial" w:hAnsi="Arial"/>
                <w:sz w:val="14"/>
                <w:szCs w:val="14"/>
                <w:color w:val="auto"/>
                <w:w w:val="89"/>
              </w:rPr>
              <w:t>03</w:t>
            </w:r>
          </w:p>
        </w:tc>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Dean L. Hahn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G. Robert Gey</w:t>
            </w:r>
          </w:p>
        </w:tc>
        <w:tc>
          <w:tcPr>
            <w:tcW w:w="2220" w:type="dxa"/>
            <w:vAlign w:val="bottom"/>
          </w:tcPr>
          <w:p>
            <w:pPr>
              <w:ind w:left="700"/>
              <w:spacing w:after="0" w:line="149" w:lineRule="exact"/>
              <w:rPr>
                <w:sz w:val="20"/>
                <w:szCs w:val="20"/>
                <w:color w:val="auto"/>
              </w:rPr>
            </w:pPr>
            <w:r>
              <w:rPr>
                <w:rFonts w:ascii="Arial" w:cs="Arial" w:eastAsia="Arial" w:hAnsi="Arial"/>
                <w:sz w:val="14"/>
                <w:szCs w:val="14"/>
                <w:color w:val="auto"/>
              </w:rPr>
              <w:t>(except as marked)</w:t>
            </w:r>
          </w:p>
        </w:tc>
        <w:tc>
          <w:tcPr>
            <w:tcW w:w="1700" w:type="dxa"/>
            <w:vAlign w:val="bottom"/>
          </w:tcPr>
          <w:p>
            <w:pPr>
              <w:spacing w:after="0"/>
              <w:rPr>
                <w:sz w:val="12"/>
                <w:szCs w:val="12"/>
                <w:color w:val="auto"/>
              </w:rPr>
            </w:pPr>
          </w:p>
        </w:tc>
      </w:tr>
      <w:tr>
        <w:trPr>
          <w:trHeight w:val="161"/>
        </w:trPr>
        <w:tc>
          <w:tcPr>
            <w:tcW w:w="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360" w:type="dxa"/>
            <w:vAlign w:val="bottom"/>
          </w:tcPr>
          <w:p>
            <w:pPr>
              <w:ind w:left="2200"/>
              <w:spacing w:after="0"/>
              <w:rPr>
                <w:sz w:val="20"/>
                <w:szCs w:val="20"/>
                <w:color w:val="auto"/>
              </w:rPr>
            </w:pPr>
            <w:r>
              <w:rPr>
                <w:rFonts w:ascii="Arial" w:cs="Arial" w:eastAsia="Arial" w:hAnsi="Arial"/>
                <w:sz w:val="14"/>
                <w:szCs w:val="14"/>
                <w:color w:val="auto"/>
                <w:w w:val="89"/>
              </w:rPr>
              <w:t>04</w:t>
            </w:r>
          </w:p>
        </w:tc>
        <w:tc>
          <w:tcPr>
            <w:tcW w:w="980" w:type="dxa"/>
            <w:vAlign w:val="bottom"/>
          </w:tcPr>
          <w:p>
            <w:pPr>
              <w:ind w:left="20"/>
              <w:spacing w:after="0"/>
              <w:rPr>
                <w:sz w:val="20"/>
                <w:szCs w:val="20"/>
                <w:color w:val="auto"/>
              </w:rPr>
            </w:pPr>
            <w:r>
              <w:rPr>
                <w:rFonts w:ascii="Arial" w:cs="Arial" w:eastAsia="Arial" w:hAnsi="Arial"/>
                <w:sz w:val="14"/>
                <w:szCs w:val="14"/>
                <w:color w:val="auto"/>
                <w:w w:val="94"/>
              </w:rPr>
              <w:t>Donald L. Shipp</w:t>
            </w:r>
          </w:p>
        </w:tc>
        <w:tc>
          <w:tcPr>
            <w:tcW w:w="660" w:type="dxa"/>
            <w:vAlign w:val="bottom"/>
          </w:tcPr>
          <w:p>
            <w:pPr>
              <w:jc w:val="right"/>
              <w:spacing w:after="0"/>
              <w:rPr>
                <w:sz w:val="20"/>
                <w:szCs w:val="20"/>
                <w:color w:val="auto"/>
              </w:rPr>
            </w:pPr>
            <w:r>
              <w:rPr>
                <w:rFonts w:ascii="Arial" w:cs="Arial" w:eastAsia="Arial" w:hAnsi="Arial"/>
                <w:sz w:val="14"/>
                <w:szCs w:val="14"/>
                <w:color w:val="auto"/>
              </w:rPr>
              <w:t>09</w:t>
            </w:r>
          </w:p>
        </w:tc>
        <w:tc>
          <w:tcPr>
            <w:tcW w:w="1240" w:type="dxa"/>
            <w:vAlign w:val="bottom"/>
          </w:tcPr>
          <w:p>
            <w:pPr>
              <w:ind w:left="20"/>
              <w:spacing w:after="0"/>
              <w:rPr>
                <w:sz w:val="20"/>
                <w:szCs w:val="20"/>
                <w:color w:val="auto"/>
              </w:rPr>
            </w:pPr>
            <w:r>
              <w:rPr>
                <w:rFonts w:ascii="Arial" w:cs="Arial" w:eastAsia="Arial" w:hAnsi="Arial"/>
                <w:sz w:val="14"/>
                <w:szCs w:val="14"/>
                <w:color w:val="auto"/>
              </w:rPr>
              <w:t>Daryl I. Skaar</w:t>
            </w:r>
          </w:p>
        </w:tc>
        <w:tc>
          <w:tcPr>
            <w:tcW w:w="2220" w:type="dxa"/>
            <w:vAlign w:val="bottom"/>
          </w:tcPr>
          <w:p>
            <w:pPr>
              <w:spacing w:after="0"/>
              <w:rPr>
                <w:sz w:val="13"/>
                <w:szCs w:val="13"/>
                <w:color w:val="auto"/>
              </w:rPr>
            </w:pPr>
          </w:p>
        </w:tc>
        <w:tc>
          <w:tcPr>
            <w:tcW w:w="17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-990600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4"/>
          <w:szCs w:val="14"/>
          <w:color w:val="auto"/>
        </w:rPr>
        <w:t>05 Howard M.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57785</wp:posOffset>
            </wp:positionV>
            <wp:extent cx="232791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(Instructions: to withhold authority to vote for any indicated nominee, write the number(s) of the nominee(s) in the box</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For</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center"/>
        <w:ind w:right="60"/>
        <w:spacing w:after="0"/>
        <w:tabs>
          <w:tab w:leader="none" w:pos="2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Against</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tabs>
          <w:tab w:leader="none" w:pos="260" w:val="left"/>
        </w:tabs>
        <w:rPr>
          <w:sz w:val="20"/>
          <w:szCs w:val="20"/>
          <w:color w:val="auto"/>
        </w:rPr>
      </w:pP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Abstain</w:t>
      </w:r>
    </w:p>
    <w:p>
      <w:pPr>
        <w:spacing w:after="0" w:line="24" w:lineRule="exact"/>
        <w:rPr>
          <w:sz w:val="20"/>
          <w:szCs w:val="20"/>
          <w:color w:val="auto"/>
        </w:rPr>
      </w:pPr>
    </w:p>
    <w:p>
      <w:pPr>
        <w:sectPr>
          <w:pgSz w:w="11900" w:h="16838" w:orient="portrait"/>
          <w:cols w:equalWidth="0" w:num="4">
            <w:col w:w="6860" w:space="720"/>
            <w:col w:w="500" w:space="720"/>
            <w:col w:w="760" w:space="720"/>
            <w:col w:w="1140"/>
          </w:cols>
          <w:pgMar w:left="240" w:top="1440" w:right="239" w:bottom="0" w:gutter="0" w:footer="0" w:header="0"/>
          <w:type w:val="continuous"/>
        </w:sectPr>
      </w:pPr>
    </w:p>
    <w:p>
      <w:pPr>
        <w:spacing w:after="0" w:line="238" w:lineRule="auto"/>
        <w:rPr>
          <w:sz w:val="20"/>
          <w:szCs w:val="20"/>
          <w:color w:val="auto"/>
        </w:rPr>
      </w:pPr>
      <w:r>
        <w:rPr>
          <w:rFonts w:ascii="Arial" w:cs="Arial" w:eastAsia="Arial" w:hAnsi="Arial"/>
          <w:sz w:val="14"/>
          <w:szCs w:val="14"/>
          <w:b w:val="1"/>
          <w:bCs w:val="1"/>
          <w:color w:val="auto"/>
        </w:rPr>
        <w:t>provided to the right.)</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their discretion, the Proxies are authorized to vote upon such other matters as may properly come before the meeting.</w:t>
      </w:r>
    </w:p>
    <w:p>
      <w:pPr>
        <w:spacing w:after="0"/>
        <w:rPr>
          <w:sz w:val="20"/>
          <w:szCs w:val="20"/>
          <w:color w:val="auto"/>
        </w:rPr>
      </w:pPr>
      <w:r>
        <w:rPr>
          <w:rFonts w:ascii="Arial" w:cs="Arial" w:eastAsia="Arial" w:hAnsi="Arial"/>
          <w:sz w:val="14"/>
          <w:szCs w:val="14"/>
          <w:b w:val="1"/>
          <w:bCs w:val="1"/>
          <w:color w:val="auto"/>
        </w:rPr>
        <w:t>2.</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THIS PROXY WHEN PROPERLY EXECUTED WILL BE VOTED AS DIRECTED OR, IF NO DIRECTION IS GIVEN, WILL BE VOTED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EACH PROPOSAL.</w:t>
      </w:r>
    </w:p>
    <w:p>
      <w:pPr>
        <w:sectPr>
          <w:pgSz w:w="11900" w:h="16838" w:orient="portrait"/>
          <w:cols w:equalWidth="0" w:num="1">
            <w:col w:w="11420"/>
          </w:cols>
          <w:pgMar w:left="240" w:top="1440" w:right="239" w:bottom="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Address Change? Mark Box</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34" w:lineRule="exact"/>
        <w:rPr>
          <w:sz w:val="20"/>
          <w:szCs w:val="20"/>
          <w:color w:val="auto"/>
        </w:rPr>
      </w:pPr>
    </w:p>
    <w:p>
      <w:pPr>
        <w:sectPr>
          <w:pgSz w:w="11900" w:h="16838" w:orient="portrait"/>
          <w:cols w:equalWidth="0" w:num="3">
            <w:col w:w="1540" w:space="480"/>
            <w:col w:w="3580" w:space="720"/>
            <w:col w:w="5100"/>
          </w:cols>
          <w:pgMar w:left="240" w:top="1440" w:right="239" w:bottom="0" w:gutter="0" w:footer="0" w:header="0"/>
          <w:type w:val="continuous"/>
        </w:sectPr>
      </w:pPr>
    </w:p>
    <w:p>
      <w:pPr>
        <w:spacing w:after="0"/>
        <w:rPr>
          <w:sz w:val="20"/>
          <w:szCs w:val="20"/>
          <w:color w:val="auto"/>
        </w:rPr>
      </w:pPr>
      <w:r>
        <w:rPr>
          <w:rFonts w:ascii="Arial" w:cs="Arial" w:eastAsia="Arial" w:hAnsi="Arial"/>
          <w:sz w:val="12"/>
          <w:szCs w:val="12"/>
          <w:color w:val="auto"/>
        </w:rPr>
        <w:t>Indicate changes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64770</wp:posOffset>
            </wp:positionV>
            <wp:extent cx="281686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type w:val="continuous"/>
        </w:sectPr>
      </w:pPr>
    </w:p>
    <w:bookmarkStart w:id="9" w:name="page10"/>
    <w:bookmarkEnd w:id="9"/>
    <w:p>
      <w:pPr>
        <w:ind w:left="70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4589145</wp:posOffset>
            </wp:positionH>
            <wp:positionV relativeFrom="page">
              <wp:posOffset>249555</wp:posOffset>
            </wp:positionV>
            <wp:extent cx="281686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16860" cy="21590"/>
                    </a:xfrm>
                    <a:prstGeom prst="rect">
                      <a:avLst/>
                    </a:prstGeom>
                    <a:noFill/>
                  </pic:spPr>
                </pic:pic>
              </a:graphicData>
            </a:graphic>
          </wp:anchor>
        </w:drawing>
        <w:t>Signature(s) in Box</w:t>
      </w:r>
    </w:p>
    <w:p>
      <w:pPr>
        <w:ind w:left="7000"/>
        <w:spacing w:after="0"/>
        <w:rPr>
          <w:sz w:val="20"/>
          <w:szCs w:val="20"/>
          <w:color w:val="auto"/>
        </w:rPr>
      </w:pPr>
      <w:r>
        <w:rPr>
          <w:rFonts w:ascii="Arial" w:cs="Arial" w:eastAsia="Arial" w:hAnsi="Arial"/>
          <w:sz w:val="12"/>
          <w:szCs w:val="12"/>
          <w:color w:val="auto"/>
        </w:rPr>
        <w:t>(Please sign exactly as your name appears to the left. When shares are held by</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joint tenants, both should sign. When signing as executor, administrator, attorney,</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trustee or guardian, please give full title as such. If a corporation, please sign in</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full corporate name by president or other authorized officer. If a partnership,</w:t>
      </w:r>
    </w:p>
    <w:p>
      <w:pPr>
        <w:spacing w:after="0" w:line="10"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please sign in partnership 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HAWKINS, INC.</w:t>
      </w:r>
    </w:p>
    <w:p>
      <w:pPr>
        <w:sectPr>
          <w:pgSz w:w="11900" w:h="16838" w:orient="portrait"/>
          <w:cols w:equalWidth="0" w:num="1">
            <w:col w:w="11420"/>
          </w:cols>
          <w:pgMar w:left="240" w:top="520" w:right="239" w:bottom="1440" w:gutter="0" w:footer="0" w:header="0"/>
        </w:sectPr>
      </w:pPr>
    </w:p>
    <w:p>
      <w:pPr>
        <w:spacing w:after="0" w:line="248" w:lineRule="exact"/>
        <w:rPr>
          <w:sz w:val="20"/>
          <w:szCs w:val="20"/>
          <w:color w:val="auto"/>
        </w:rPr>
      </w:pPr>
    </w:p>
    <w:p>
      <w:pPr>
        <w:jc w:val="center"/>
        <w:ind w:left="1540"/>
        <w:spacing w:after="0"/>
        <w:rPr>
          <w:sz w:val="20"/>
          <w:szCs w:val="20"/>
          <w:color w:val="auto"/>
        </w:rPr>
      </w:pPr>
      <w:r>
        <w:rPr>
          <w:rFonts w:ascii="Arial" w:cs="Arial" w:eastAsia="Arial" w:hAnsi="Arial"/>
          <w:sz w:val="16"/>
          <w:szCs w:val="16"/>
          <w:b w:val="1"/>
          <w:bCs w:val="1"/>
          <w:color w:val="auto"/>
        </w:rPr>
        <w:t>ANNUAL MEETING OF STOCKHOLDERS</w:t>
      </w:r>
    </w:p>
    <w:p>
      <w:pPr>
        <w:spacing w:after="0" w:line="248"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Thursday, August 14, 2003</w:t>
      </w:r>
    </w:p>
    <w:p>
      <w:pPr>
        <w:spacing w:after="0" w:line="21"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3:00 P.M., Central Daylight Time</w:t>
      </w:r>
    </w:p>
    <w:p>
      <w:pPr>
        <w:spacing w:after="0" w:line="213"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Four Points Sheraton Hotel</w:t>
      </w:r>
    </w:p>
    <w:p>
      <w:pPr>
        <w:spacing w:after="0" w:line="21"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1330 Industrial Boulevard</w:t>
      </w:r>
    </w:p>
    <w:p>
      <w:pPr>
        <w:spacing w:after="0" w:line="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Minneapolis, Minnesota</w:t>
      </w:r>
    </w:p>
    <w:p>
      <w:pPr>
        <w:spacing w:after="0" w:line="213"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3100 East Hennepin Avenue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Minneapolis, Minnesota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w:t>
      </w:r>
    </w:p>
    <w:p>
      <w:pPr>
        <w:spacing w:after="0" w:line="544" w:lineRule="exact"/>
        <w:rPr>
          <w:sz w:val="20"/>
          <w:szCs w:val="20"/>
          <w:color w:val="auto"/>
        </w:rPr>
      </w:pPr>
    </w:p>
    <w:p>
      <w:pPr>
        <w:sectPr>
          <w:pgSz w:w="11900" w:h="16838" w:orient="portrait"/>
          <w:cols w:equalWidth="0" w:num="2">
            <w:col w:w="9900" w:space="720"/>
            <w:col w:w="800"/>
          </w:cols>
          <w:pgMar w:left="240" w:top="520" w:right="2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is solicited by the Board of Directors for use at the Annual Meeting of Shareholders on August 14, 2003.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all nominees in item 1.</w:t>
      </w:r>
    </w:p>
    <w:p>
      <w:pPr>
        <w:spacing w:after="0" w:line="231"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By signing the proxy, you revoke all prior proxies and appoint John R. Hawkins, Kurt R. Norman and Marvin E. Dee, and each of them, with full power of substitution, to vote your shares on the matters shown on the reverse side and any other matters that may come before the Annual Meeting and all adjournments.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SOLICITATION</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REVOCATION AND VOTING OF PROXY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OUTSTANDING SHARES AND VOTING RIGHTS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SECURITY OWNERSHIP OF MANAGEMENT AND BENEFICIAL OWNERSHIP</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PROPOSALS TO BE ACTED UPON AT THE ANNUAL MEETING ELECTION OF DIRECTORS (PROPOSAL 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INDEPENDENT PUBLIC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REPORT OF THE AUDIT COMMITTEE OF THE BOARD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COMPENSATION AND OTHER BENEFITS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 Compensation Table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COMPENSATION COMMITTEE INTERLOCKS AND INSIDER PARTICIPATION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COMPENSATION COMMITTEE REPORT ON ANNUAL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COMPARATIVE STOCK PERFORMANCE GRAPH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PROPOSALS BY SHAREHOLDERS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FORM 10-K</w:t>
        </w:r>
      </w:hyperlink>
    </w:p>
    <w:sectPr>
      <w:pgSz w:w="11900" w:h="16838" w:orient="portrait"/>
      <w:cols w:equalWidth="0" w:num="1">
        <w:col w:w="11420"/>
      </w:cols>
      <w:pgMar w:left="240" w:top="5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o"/>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o"/>
      <w:numFmt w:val="bullet"/>
      <w:start w:val="1"/>
    </w:lvl>
    <w:lvl w:ilvl="1">
      <w:lvlJc w:val="left"/>
      <w:lvlText w:val="(%2)"/>
      <w:numFmt w:val="decimal"/>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4"/>
    </w:lvl>
  </w:abstractNum>
  <w:abstractNum w:abstractNumId="10">
    <w:nsid w:val="140E0F76"/>
    <w:multiLevelType w:val="hybridMultilevel"/>
    <w:lvl w:ilvl="0">
      <w:lvlJc w:val="left"/>
      <w:lvlText w:val="(%1)"/>
      <w:numFmt w:val="lowerLetter"/>
      <w:start w:val="6"/>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2019-12-12T09:28:57Z</dcterms:created>
  <dcterms:modified xsi:type="dcterms:W3CDTF">2019-12-12T09:28:57Z</dcterms:modified>
</cp:coreProperties>
</file>