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December 17, 2025</w:t>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1" w:right="339" w:bottom="1440" w:gutter="0" w:footer="0" w:header="0"/>
        </w:sectPr>
      </w:pP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51" w:lineRule="exact"/>
        <w:rPr>
          <w:sz w:val="24"/>
          <w:szCs w:val="24"/>
          <w:color w:val="auto"/>
        </w:rPr>
      </w:pPr>
    </w:p>
    <w:p>
      <w:pPr>
        <w:sectPr>
          <w:pgSz w:w="11900" w:h="16838" w:orient="portrait"/>
          <w:cols w:equalWidth="0" w:num="3">
            <w:col w:w="4520" w:space="720"/>
            <w:col w:w="2800" w:space="720"/>
            <w:col w:w="2480"/>
          </w:cols>
          <w:pgMar w:left="320" w:top="1041"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800" w:space="720"/>
            <w:col w:w="3120"/>
          </w:cols>
          <w:pgMar w:left="320" w:top="1041"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51" w:lineRule="exact"/>
        <w:rPr>
          <w:sz w:val="24"/>
          <w:szCs w:val="24"/>
          <w:color w:val="auto"/>
        </w:rPr>
      </w:pPr>
    </w:p>
    <w:p>
      <w:pPr>
        <w:sectPr>
          <w:pgSz w:w="11900" w:h="16838" w:orient="portrait"/>
          <w:cols w:equalWidth="0" w:num="2">
            <w:col w:w="8580" w:space="720"/>
            <w:col w:w="1940"/>
          </w:cols>
          <w:pgMar w:left="320" w:top="1041"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41" w:right="339" w:bottom="1440" w:gutter="0" w:footer="0" w:header="0"/>
          <w:type w:val="continuous"/>
        </w:sect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3" w:lineRule="exact"/>
        <w:rPr>
          <w:sz w:val="24"/>
          <w:szCs w:val="24"/>
          <w:color w:val="auto"/>
        </w:rPr>
      </w:pPr>
    </w:p>
    <w:p>
      <w:pPr>
        <w:ind w:right="220" w:firstLine="445"/>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r>
      <w:tr>
        <w:trPr>
          <w:trHeight w:val="208"/>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The Nasdaq Stock Market LLC</w:t>
            </w:r>
          </w:p>
        </w:tc>
      </w:tr>
    </w:tbl>
    <w:p>
      <w:pPr>
        <w:spacing w:after="0" w:line="347"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40" w:lineRule="exact"/>
        <w:rPr>
          <w:sz w:val="24"/>
          <w:szCs w:val="24"/>
          <w:color w:val="auto"/>
        </w:rPr>
      </w:pPr>
    </w:p>
    <w:p>
      <w:pPr>
        <w:ind w:left="876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4"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1" w:name="page2"/>
    <w:bookmarkEnd w:id="1"/>
    <w:p>
      <w:pPr>
        <w:ind w:right="56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On December 17, 2025, Richard G. Erstad, Vice President, General Counsel and Secretary, informed Hawkins, Inc. (the “Company”) of his intention to retire, having served in these roles at the Company for 17 years.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one of the initial steps of a planned transition, Mr. Erstad is expected to cease to serve as an executive officer of the Company effective December 28, 2025, the end of our third fiscal quarter. To ensure a smooth transition, he is expected to remain engaged as an employee of the Company until May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1470660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0"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p>
        </w:tc>
        <w:tc>
          <w:tcPr>
            <w:tcW w:w="2620" w:type="dxa"/>
            <w:vAlign w:val="bottom"/>
            <w:gridSpan w:val="2"/>
          </w:tcPr>
          <w:p>
            <w:pPr>
              <w:ind w:left="120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20"/>
                <w:szCs w:val="20"/>
                <w:color w:val="auto"/>
              </w:rPr>
            </w:pPr>
          </w:p>
        </w:tc>
      </w:tr>
      <w:tr>
        <w:trPr>
          <w:trHeight w:val="279"/>
        </w:trPr>
        <w:tc>
          <w:tcPr>
            <w:tcW w:w="3280" w:type="dxa"/>
            <w:vAlign w:val="bottom"/>
          </w:tcPr>
          <w:p>
            <w:pPr>
              <w:spacing w:after="0"/>
              <w:rPr>
                <w:sz w:val="20"/>
                <w:szCs w:val="20"/>
                <w:color w:val="auto"/>
              </w:rPr>
            </w:pPr>
            <w:r>
              <w:rPr>
                <w:rFonts w:ascii="Arial" w:cs="Arial" w:eastAsia="Arial" w:hAnsi="Arial"/>
                <w:sz w:val="18"/>
                <w:szCs w:val="18"/>
                <w:color w:val="auto"/>
              </w:rPr>
              <w:t>Date: December 19, 2025</w:t>
            </w:r>
          </w:p>
        </w:tc>
        <w:tc>
          <w:tcPr>
            <w:tcW w:w="2620" w:type="dxa"/>
            <w:vAlign w:val="bottom"/>
            <w:gridSpan w:val="2"/>
          </w:tcPr>
          <w:p>
            <w:pPr>
              <w:ind w:left="12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18"/>
        </w:trPr>
        <w:tc>
          <w:tcPr>
            <w:tcW w:w="3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9"/>
        </w:trPr>
        <w:tc>
          <w:tcPr>
            <w:tcW w:w="3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8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2025-12-19T07:22:21Z</dcterms:created>
  <dcterms:modified xsi:type="dcterms:W3CDTF">2025-12-19T07:22:21Z</dcterms:modified>
</cp:coreProperties>
</file>