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8">
            <w:col w:w="1740" w:space="560"/>
            <w:col w:w="160" w:space="160"/>
            <w:col w:w="1660" w:space="720"/>
            <w:col w:w="160" w:space="160"/>
            <w:col w:w="1660" w:space="720"/>
            <w:col w:w="160" w:space="180"/>
            <w:col w:w="2200" w:space="720"/>
            <w:col w:w="460"/>
          </w:cols>
          <w:pgMar w:left="240" w:top="1030" w:right="239" w:bottom="1440" w:gutter="0" w:footer="0" w:header="0"/>
          <w:type w:val="continuous"/>
        </w:sectPr>
      </w:pP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240" w:space="720"/>
            <w:col w:w="460"/>
          </w:cols>
          <w:pgMar w:left="240" w:top="1030" w:right="239" w:bottom="1440" w:gutter="0" w:footer="0" w:header="0"/>
          <w:type w:val="continuous"/>
        </w:sectPr>
      </w:pPr>
    </w:p>
    <w:p>
      <w:pPr>
        <w:spacing w:after="0" w:line="75"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February 2, 2018</w:t>
            </w:r>
          </w:p>
        </w:tc>
        <w:tc>
          <w:tcPr>
            <w:tcW w:w="120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5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Common Stock, par value $.05 per share</w:t>
            </w:r>
          </w:p>
        </w:tc>
        <w:tc>
          <w:tcPr>
            <w:tcW w:w="4840" w:type="dxa"/>
            <w:vAlign w:val="bottom"/>
          </w:tcPr>
          <w:p>
            <w:pPr>
              <w:jc w:val="right"/>
              <w:ind w:right="1939"/>
              <w:spacing w:after="0"/>
              <w:rPr>
                <w:sz w:val="20"/>
                <w:szCs w:val="20"/>
                <w:color w:val="auto"/>
              </w:rPr>
            </w:pPr>
            <w:r>
              <w:rPr>
                <w:rFonts w:ascii="Arial" w:cs="Arial" w:eastAsia="Arial" w:hAnsi="Arial"/>
                <w:sz w:val="18"/>
                <w:szCs w:val="18"/>
                <w:color w:val="auto"/>
              </w:rPr>
              <w:t>10,695,184</w:t>
            </w:r>
          </w:p>
        </w:tc>
        <w:tc>
          <w:tcPr>
            <w:tcW w:w="12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22"/>
        </w:trPr>
        <w:tc>
          <w:tcPr>
            <w:tcW w:w="10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6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22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31, 2017 and April 2, 2017</w:t>
              </w:r>
            </w:hyperlink>
          </w:p>
        </w:tc>
        <w:tc>
          <w:tcPr>
            <w:tcW w:w="9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 Three and Nine Months Ended December 31,</w:t>
              </w:r>
            </w:hyperlink>
          </w:p>
        </w:tc>
        <w:tc>
          <w:tcPr>
            <w:tcW w:w="9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11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2017 and January 1, 2017</w:t>
              </w:r>
            </w:hyperlink>
          </w:p>
        </w:tc>
        <w:tc>
          <w:tcPr>
            <w:tcW w:w="5000" w:type="dxa"/>
            <w:vAlign w:val="bottom"/>
            <w:tcBorders>
              <w:top w:val="single" w:sz="8" w:color="0000EE"/>
            </w:tcBorders>
            <w:gridSpan w:val="11"/>
          </w:tcPr>
          <w:p>
            <w:pPr>
              <w:spacing w:after="0"/>
              <w:rPr>
                <w:sz w:val="17"/>
                <w:szCs w:val="17"/>
                <w:color w:val="auto"/>
              </w:rPr>
            </w:pPr>
          </w:p>
        </w:tc>
        <w:tc>
          <w:tcPr>
            <w:tcW w:w="8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Comprehensive Income – Three and Nine Months Ended</w:t>
              </w:r>
            </w:hyperlink>
          </w:p>
        </w:tc>
        <w:tc>
          <w:tcPr>
            <w:tcW w:w="9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December 31, 2017 and January 1, 2017</w:t>
              </w:r>
            </w:hyperlink>
          </w:p>
        </w:tc>
        <w:tc>
          <w:tcPr>
            <w:tcW w:w="4060" w:type="dxa"/>
            <w:vAlign w:val="bottom"/>
            <w:tcBorders>
              <w:top w:val="single" w:sz="8" w:color="0000EE"/>
            </w:tcBorders>
            <w:gridSpan w:val="8"/>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 Nine Months Ended December 31, 2017</w:t>
              </w:r>
            </w:hyperlink>
          </w:p>
        </w:tc>
        <w:tc>
          <w:tcPr>
            <w:tcW w:w="9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January 1, 2017</w:t>
              </w:r>
            </w:hyperlink>
          </w:p>
        </w:tc>
        <w:tc>
          <w:tcPr>
            <w:tcW w:w="5340" w:type="dxa"/>
            <w:vAlign w:val="bottom"/>
            <w:tcBorders>
              <w:top w:val="single" w:sz="8" w:color="0000EE"/>
            </w:tcBorders>
            <w:gridSpan w:val="12"/>
          </w:tcPr>
          <w:p>
            <w:pPr>
              <w:spacing w:after="0"/>
              <w:rPr>
                <w:sz w:val="17"/>
                <w:szCs w:val="17"/>
                <w:color w:val="auto"/>
              </w:rPr>
            </w:pPr>
          </w:p>
        </w:tc>
        <w:tc>
          <w:tcPr>
            <w:tcW w:w="8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60" w:type="dxa"/>
            <w:vAlign w:val="bottom"/>
            <w:gridSpan w:val="8"/>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2540" w:type="dxa"/>
            <w:vAlign w:val="bottom"/>
            <w:gridSpan w:val="7"/>
          </w:tcPr>
          <w:p>
            <w:pPr>
              <w:spacing w:after="0"/>
              <w:rPr>
                <w:sz w:val="24"/>
                <w:szCs w:val="24"/>
                <w:color w:val="auto"/>
              </w:rPr>
            </w:pPr>
          </w:p>
        </w:tc>
        <w:tc>
          <w:tcPr>
            <w:tcW w:w="3340" w:type="dxa"/>
            <w:vAlign w:val="bottom"/>
            <w:gridSpan w:val="7"/>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60" w:type="dxa"/>
            <w:vAlign w:val="bottom"/>
            <w:gridSpan w:val="19"/>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3"/>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4"/>
          </w:tcPr>
          <w:p>
            <w:pPr>
              <w:spacing w:after="0"/>
              <w:rPr>
                <w:sz w:val="24"/>
                <w:szCs w:val="24"/>
                <w:color w:val="auto"/>
              </w:rPr>
            </w:pPr>
          </w:p>
        </w:tc>
        <w:tc>
          <w:tcPr>
            <w:tcW w:w="5640" w:type="dxa"/>
            <w:vAlign w:val="bottom"/>
            <w:gridSpan w:val="12"/>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320" w:type="dxa"/>
            <w:vAlign w:val="bottom"/>
            <w:gridSpan w:val="1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ectPr>
          <w:pgSz w:w="11900" w:h="16838" w:orient="portrait"/>
          <w:cols w:equalWidth="0" w:num="1">
            <w:col w:w="11420"/>
          </w:cols>
          <w:pgMar w:left="240" w:top="580"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Trade receivables — less allowance for doubtful accounts: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$526 as of December 31, 2017 and $468 as of April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property, plant, and equipment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2,</w:t>
            </w:r>
          </w:p>
        </w:tc>
      </w:tr>
      <w:tr>
        <w:trPr>
          <w:trHeight w:val="210"/>
        </w:trPr>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57"/>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7,635</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6,861</w:t>
            </w:r>
          </w:p>
        </w:tc>
      </w:tr>
      <w:tr>
        <w:trPr>
          <w:trHeight w:val="540"/>
        </w:trPr>
        <w:tc>
          <w:tcPr>
            <w:tcW w:w="16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57,867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57,298</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62,736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51,249</w:t>
            </w:r>
          </w:p>
        </w:tc>
      </w:tr>
      <w:tr>
        <w:trPr>
          <w:trHeight w:val="270"/>
        </w:trPr>
        <w:tc>
          <w:tcPr>
            <w:tcW w:w="1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1,273</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4,238</w:t>
            </w:r>
          </w:p>
        </w:tc>
      </w:tr>
      <w:tr>
        <w:trPr>
          <w:trHeight w:val="33"/>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133,056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120,919</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235,742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221,518</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110,649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99,978</w:t>
            </w:r>
          </w:p>
        </w:tc>
      </w:tr>
      <w:tr>
        <w:trPr>
          <w:trHeight w:val="33"/>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121,540</w:t>
            </w:r>
          </w:p>
        </w:tc>
      </w:tr>
      <w:tr>
        <w:trPr>
          <w:trHeight w:val="540"/>
        </w:trPr>
        <w:tc>
          <w:tcPr>
            <w:tcW w:w="16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97,556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97,556</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72,603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76,883</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1,686</w:t>
            </w:r>
          </w:p>
        </w:tc>
      </w:tr>
    </w:tbl>
    <w:p>
      <w:pPr>
        <w:spacing w:after="0" w:line="13" w:lineRule="exact"/>
        <w:rPr>
          <w:sz w:val="20"/>
          <w:szCs w:val="20"/>
          <w:color w:val="auto"/>
        </w:rPr>
      </w:pPr>
    </w:p>
    <w:p>
      <w:pPr>
        <w:sectPr>
          <w:pgSz w:w="11900" w:h="16838" w:orient="portrait"/>
          <w:cols w:equalWidth="0" w:num="2">
            <w:col w:w="7860" w:space="720"/>
            <w:col w:w="28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820"/>
              <w:spacing w:after="0"/>
              <w:rPr>
                <w:sz w:val="20"/>
                <w:szCs w:val="20"/>
                <w:color w:val="auto"/>
              </w:rPr>
            </w:pPr>
            <w:r>
              <w:rPr>
                <w:rFonts w:ascii="Arial" w:cs="Arial" w:eastAsia="Arial" w:hAnsi="Arial"/>
                <w:sz w:val="16"/>
                <w:szCs w:val="16"/>
                <w:color w:val="auto"/>
              </w:rPr>
              <w:t>Total other assets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172,595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176,125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430,744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418,584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payable — trade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28,077</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29,756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payable</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Accrued payroll and employee benefits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9,979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payable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7,989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Due to sellers of acquired business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Container deposits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48,547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55,672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LESS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94,626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PENSION WITHDRAWAL LIABILITY</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5,968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42,040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187,452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200,756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4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rPr>
              <w:t>Common stock; authorized: 30,000,000 shares of $0.05 par value; 10,631,992 and 10,582,596 shares issued and</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outstanding as of December 31, 2017 and April 2, 2017, respectively</w:t>
            </w:r>
          </w:p>
        </w:tc>
        <w:tc>
          <w:tcPr>
            <w:tcW w:w="4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51,104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189,386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165,897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shareholders’ equity</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243,292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217,828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430,744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418,584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56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6"/>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2"/>
                <w:szCs w:val="12"/>
                <w:color w:val="auto"/>
              </w:rPr>
            </w:pPr>
          </w:p>
        </w:tc>
        <w:tc>
          <w:tcPr>
            <w:tcW w:w="12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100" w:type="dxa"/>
            <w:vAlign w:val="bottom"/>
          </w:tcPr>
          <w:p>
            <w:pPr>
              <w:jc w:val="right"/>
              <w:ind w:right="252"/>
              <w:spacing w:after="0" w:line="147" w:lineRule="exact"/>
              <w:rPr>
                <w:sz w:val="20"/>
                <w:szCs w:val="20"/>
                <w:color w:val="auto"/>
              </w:rPr>
            </w:pPr>
            <w:r>
              <w:rPr>
                <w:rFonts w:ascii="Arial" w:cs="Arial" w:eastAsia="Arial" w:hAnsi="Arial"/>
                <w:sz w:val="14"/>
                <w:szCs w:val="14"/>
                <w:b w:val="1"/>
                <w:bCs w:val="1"/>
                <w:color w:val="auto"/>
              </w:rPr>
              <w:t>January 1,</w:t>
            </w:r>
          </w:p>
        </w:tc>
      </w:tr>
      <w:tr>
        <w:trPr>
          <w:trHeight w:val="192"/>
        </w:trPr>
        <w:tc>
          <w:tcPr>
            <w:tcW w:w="5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364,975</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(288,815)</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76,160</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(44,913)</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31,247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(1,977)</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29,270</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(10,925)</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18,345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10,609,078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10,538,328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10,599,232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10,529,259</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10,648,232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10,595,140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10,641,578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10,592,550</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1.74</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r>
      <w:tr>
        <w:trPr>
          <w:trHeight w:val="324"/>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r>
      <w:tr>
        <w:trPr>
          <w:trHeight w:val="27"/>
        </w:trPr>
        <w:tc>
          <w:tcPr>
            <w:tcW w:w="5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240" w:top="580" w:right="7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1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47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18,345</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17,267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28,245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18,622</w:t>
            </w:r>
          </w:p>
        </w:tc>
      </w:tr>
      <w:tr>
        <w:trPr>
          <w:trHeight w:val="27"/>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580" w:right="10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4"/>
          </w:tcPr>
          <w:p>
            <w:pPr>
              <w:jc w:val="right"/>
              <w:ind w:right="838"/>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1280" w:type="dxa"/>
            <w:vAlign w:val="bottom"/>
          </w:tcPr>
          <w:p>
            <w:pPr>
              <w:jc w:val="right"/>
              <w:ind w:right="338"/>
              <w:spacing w:after="0"/>
              <w:rPr>
                <w:sz w:val="20"/>
                <w:szCs w:val="20"/>
                <w:color w:val="auto"/>
              </w:rPr>
            </w:pPr>
            <w:r>
              <w:rPr>
                <w:rFonts w:ascii="Arial" w:cs="Arial" w:eastAsia="Arial" w:hAnsi="Arial"/>
                <w:sz w:val="16"/>
                <w:szCs w:val="16"/>
                <w:b w:val="1"/>
                <w:bCs w:val="1"/>
                <w:color w:val="auto"/>
              </w:rPr>
              <w:t>January 1,</w:t>
            </w:r>
          </w:p>
        </w:tc>
      </w:t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8"/>
              <w:spacing w:after="0"/>
              <w:rPr>
                <w:sz w:val="20"/>
                <w:szCs w:val="20"/>
                <w:color w:val="auto"/>
              </w:rPr>
            </w:pPr>
            <w:r>
              <w:rPr>
                <w:rFonts w:ascii="Arial" w:cs="Arial" w:eastAsia="Arial" w:hAnsi="Arial"/>
                <w:sz w:val="16"/>
                <w:szCs w:val="16"/>
                <w:b w:val="1"/>
                <w:bCs w:val="1"/>
                <w:color w:val="auto"/>
              </w:rPr>
              <w:t>2017</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28,184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18,345</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16,759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15,453</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102</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Gain on deferred compensation assets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171</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1,650</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from property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24"/>
        </w:trPr>
        <w:tc>
          <w:tcPr>
            <w:tcW w:w="7620" w:type="dxa"/>
            <w:vAlign w:val="bottom"/>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7,275</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(2,537)</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(7,456)</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(1,928)</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848</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30,993</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(15,811)</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(2,199)</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264</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(16,704)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(17,746)</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(8,683)</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shares issued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553</w:t>
            </w:r>
          </w:p>
        </w:tc>
      </w:tr>
      <w:tr>
        <w:trPr>
          <w:trHeight w:val="243"/>
        </w:trPr>
        <w:tc>
          <w:tcPr>
            <w:tcW w:w="7620" w:type="dxa"/>
            <w:vAlign w:val="bottom"/>
          </w:tcPr>
          <w:p>
            <w:pPr>
              <w:ind w:left="380"/>
              <w:spacing w:after="0"/>
              <w:rPr>
                <w:sz w:val="20"/>
                <w:szCs w:val="20"/>
                <w:color w:val="auto"/>
              </w:rPr>
            </w:pPr>
            <w:r>
              <w:rPr>
                <w:rFonts w:ascii="Arial" w:cs="Arial" w:eastAsia="Arial" w:hAnsi="Arial"/>
                <w:sz w:val="16"/>
                <w:szCs w:val="16"/>
                <w:color w:val="auto"/>
              </w:rPr>
              <w:t>Net proceeds from (payments on) revolver borrowings</w:t>
            </w:r>
          </w:p>
        </w:tc>
        <w:tc>
          <w:tcPr>
            <w:tcW w:w="2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term loan borrowings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(24,880)</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(11,633)</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20,014</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8,381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9,064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9,976</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1,746</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1,076</w:t>
            </w:r>
          </w:p>
        </w:tc>
      </w:tr>
    </w:tbl>
    <w:p>
      <w:pPr>
        <w:spacing w:after="0" w:line="18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240" w:top="580" w:right="7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2, 2017,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accounting policies we follow are set forth in Note 1 – Nature of Business and Significant Accounting Policies to our consolidated financial statements in our Annual Report on Form 10-K for the fiscal year ended April 2, 2017, previously filed with the SEC. There has been no significant change in our accounting policies since the end of fiscal 2017.</w:t>
      </w:r>
    </w:p>
    <w:p>
      <w:pPr>
        <w:spacing w:after="0" w:line="127" w:lineRule="exact"/>
        <w:rPr>
          <w:sz w:val="20"/>
          <w:szCs w:val="20"/>
          <w:color w:val="auto"/>
        </w:rPr>
      </w:pPr>
    </w:p>
    <w:p>
      <w:pPr>
        <w:ind w:right="340"/>
        <w:spacing w:after="0" w:line="438" w:lineRule="auto"/>
        <w:rPr>
          <w:sz w:val="20"/>
          <w:szCs w:val="20"/>
          <w:color w:val="auto"/>
        </w:rPr>
      </w:pPr>
      <w:r>
        <w:rPr>
          <w:rFonts w:ascii="Arial" w:cs="Arial" w:eastAsia="Arial" w:hAnsi="Arial"/>
          <w:sz w:val="18"/>
          <w:szCs w:val="18"/>
          <w:color w:val="auto"/>
        </w:rPr>
        <w:t xml:space="preserve">The results of operations for the nine months ended December 31, 2017 are not necessarily indicative of the results that may be expected for the full year. References to fiscal 2017 refer to the fiscal year ended April 2, 2017 and references to fiscal 2018 refer to the fiscal year ending April 1, 2018. </w:t>
      </w:r>
      <w:r>
        <w:rPr>
          <w:rFonts w:ascii="Arial" w:cs="Arial" w:eastAsia="Arial" w:hAnsi="Arial"/>
          <w:sz w:val="18"/>
          <w:szCs w:val="18"/>
          <w:b w:val="1"/>
          <w:bCs w:val="1"/>
          <w:color w:val="auto"/>
        </w:rPr>
        <w:t>Recently Issued Accounting Pronouncements</w:t>
      </w:r>
    </w:p>
    <w:p>
      <w:pPr>
        <w:spacing w:after="0" w:line="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2016-02, which provides new accounting guidance requiring lessees to recognize most leases as assets and liabilities on the balance sheet. This guidance will be effective for annual periods beginning after December 15, 2018 (our fiscal year ending March 30, 2020) and interim periods within those annual periods. We are currently evaluating the impact of this accounting pronouncement on our results of operations and financial position.</w:t>
      </w:r>
    </w:p>
    <w:p>
      <w:pPr>
        <w:spacing w:after="0" w:line="3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that this guidance will have on our results of operations and financial position.</w:t>
      </w:r>
    </w:p>
    <w:p>
      <w:pPr>
        <w:spacing w:after="0" w:line="30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May 2014, the FASB issued ASU 2014-09, which provides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have performed a preliminary evaluation of the effect of adoption on our consolidated financial statements, and we do not currently expect a material impact on our results of operations, cash flows or financial position. The majority of our revenue arrangements generally consist of a single performance obligation to transfer promised goods or services. In limited circumstances, we manufacture products for customers that are unique to their specifications. We anticipate we will expand our consolidated financial statement disclosures to comply with the ASU. We plan to adopt these standards beginning with the first quarter of fiscal 2019 using the modified retrospective approach.</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March 2016, the FASB issued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We adopted this guidance in the first quarter of fiscal 2018. We will continue to estimate forfeitures as we determine compensation cost each period. The primary impact on our consolidated financial statements is the recognition of excess tax benefits in the provision for income taxes rather than additional paid-in capital, which may result in increased volatility in the reported amounts of income tax expense and net income.</w:t>
      </w:r>
    </w:p>
    <w:p>
      <w:pPr>
        <w:spacing w:after="0" w:line="2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July 2015, the FASB issued ASU 2015-11, which requires companies to change the measurement principal for inventory measured using the first-in, first-out (“FIFO”) or average cost method from the lower of cost or market to the lower of cost and net realizable value. Treatment of inventory valued under the last-in, last-out (“LIFO”) method is unchanged by this guidance.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We adopted this guidance in the first quarter of fiscal 2018 and there was no impact to our financial position or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720" w:type="dxa"/>
            <w:vAlign w:val="bottom"/>
            <w:gridSpan w:val="2"/>
          </w:tcPr>
          <w:p>
            <w:pPr>
              <w:ind w:left="360"/>
              <w:spacing w:after="0"/>
              <w:rPr>
                <w:sz w:val="20"/>
                <w:szCs w:val="20"/>
                <w:color w:val="auto"/>
              </w:rPr>
            </w:pPr>
            <w:r>
              <w:rPr>
                <w:rFonts w:ascii="Arial" w:cs="Arial" w:eastAsia="Arial" w:hAnsi="Arial"/>
                <w:sz w:val="18"/>
                <w:szCs w:val="18"/>
                <w:b w:val="1"/>
                <w:bCs w:val="1"/>
                <w:color w:val="auto"/>
              </w:rPr>
              <w:t>January 1,</w:t>
            </w:r>
          </w:p>
        </w:tc>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January 1,</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10,609,078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10,538,328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10,599,232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10,529,259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39,154</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56,812</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42,346</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63,291</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10,648,232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10,595,140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10,641,578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10,592,550</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each of the three and nine months ended December 31, 2017 and January 1, 2017, there were no shares excluded from the calculation of weighted-average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Instruments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began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each of the three and nine months ended December 31, 2017, we recorded $0.1 million in other comprehensive income related to unrealized gains (net of tax) on the cash flow hedge described above. For the three months and nine months ended January 1, 2017 we recorded $0.4 million and $0.3 million, respectively, in other comprehensive income related to unrealized gains (net of tax) on the cash flow hedge. Included in other long-term assets on our condensed consolidated balance sheet was $0.6 million as of December 31, 2017 and $0.5 million as of April 2, 2017 related to the cash flow hedge. Unrealized gains and losses will be reflected in net income when the related cash flows or hedged transactions occur and offset the related performance of the hedged item.</w:t>
      </w:r>
    </w:p>
    <w:p>
      <w:pPr>
        <w:spacing w:after="0" w:line="19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8" w:name="page9"/>
    <w:bookmarkEnd w:id="8"/>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established in fiscal 2017,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assets measured at fair value on a recurring basis as of December 31, 2017 and April 2, 2017.</w:t>
      </w:r>
    </w:p>
    <w:p>
      <w:pPr>
        <w:sectPr>
          <w:pgSz w:w="11900" w:h="16838" w:orient="portrait"/>
          <w:cols w:equalWidth="0" w:num="1">
            <w:col w:w="11420"/>
          </w:cols>
          <w:pgMar w:left="240" w:top="8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65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compensation plan assets</w:t>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65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compensation plan assets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Inventories at December 31, 2017 and April 2, 2017 consisted of the following:</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915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(FIFO basis)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LIFO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6915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inventory</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w w:val="97"/>
              </w:rPr>
              <w:t>December 31,</w:t>
            </w:r>
          </w:p>
        </w:tc>
        <w:tc>
          <w:tcPr>
            <w:tcW w:w="200" w:type="dxa"/>
            <w:vAlign w:val="bottom"/>
          </w:tcPr>
          <w:p>
            <w:pPr>
              <w:spacing w:after="0"/>
              <w:rPr>
                <w:sz w:val="17"/>
                <w:szCs w:val="17"/>
                <w:color w:val="auto"/>
              </w:rPr>
            </w:pPr>
          </w:p>
        </w:tc>
        <w:tc>
          <w:tcPr>
            <w:tcW w:w="94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7"/>
                <w:szCs w:val="17"/>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Level 2</w:t>
            </w:r>
          </w:p>
        </w:tc>
        <w:tc>
          <w:tcPr>
            <w:tcW w:w="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20"/>
                <w:szCs w:val="20"/>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1,460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April 2, 2017</w:t>
            </w:r>
          </w:p>
        </w:tc>
        <w:tc>
          <w:tcPr>
            <w:tcW w:w="200" w:type="dxa"/>
            <w:vAlign w:val="bottom"/>
          </w:tcPr>
          <w:p>
            <w:pPr>
              <w:spacing w:after="0"/>
              <w:rPr>
                <w:sz w:val="24"/>
                <w:szCs w:val="24"/>
                <w:color w:val="auto"/>
              </w:rPr>
            </w:pPr>
          </w:p>
        </w:tc>
        <w:tc>
          <w:tcPr>
            <w:tcW w:w="940" w:type="dxa"/>
            <w:vAlign w:val="bottom"/>
            <w:gridSpan w:val="4"/>
          </w:tcPr>
          <w:p>
            <w:pPr>
              <w:ind w:left="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20"/>
                <w:szCs w:val="20"/>
                <w:color w:val="auto"/>
              </w:rPr>
            </w:pPr>
          </w:p>
        </w:tc>
        <w:tc>
          <w:tcPr>
            <w:tcW w:w="9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2,</w:t>
            </w:r>
          </w:p>
        </w:tc>
      </w:tr>
      <w:tr>
        <w:trPr>
          <w:trHeight w:val="234"/>
        </w:trPr>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65,597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52,735</w:t>
            </w:r>
          </w:p>
        </w:tc>
      </w:tr>
      <w:tr>
        <w:trPr>
          <w:trHeight w:val="270"/>
        </w:trPr>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62,736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51,249</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880" w:space="720"/>
            <w:col w:w="4820"/>
          </w:cols>
          <w:pgMar w:left="240" w:top="814" w:right="239" w:bottom="1440" w:gutter="0" w:footer="0" w:header="0"/>
          <w:type w:val="continuous"/>
        </w:sectPr>
      </w:pPr>
    </w:p>
    <w:p>
      <w:pPr>
        <w:ind w:right="600"/>
        <w:spacing w:after="0" w:line="277" w:lineRule="auto"/>
        <w:rPr>
          <w:sz w:val="20"/>
          <w:szCs w:val="20"/>
          <w:color w:val="auto"/>
        </w:rPr>
      </w:pPr>
      <w:r>
        <w:rPr>
          <w:rFonts w:ascii="Arial" w:cs="Arial" w:eastAsia="Arial" w:hAnsi="Arial"/>
          <w:sz w:val="18"/>
          <w:szCs w:val="18"/>
          <w:color w:val="auto"/>
        </w:rPr>
        <w:t>The FIFO value of inventories accounted for under the LIFO method was $42.7 million at December 31, 2017 and $37.0 million at April 2, 2017. The remainder of the inventory was valued and accounted for under the FIFO method.</w:t>
      </w:r>
    </w:p>
    <w:p>
      <w:pPr>
        <w:spacing w:after="0" w:line="170"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LIFO reserve increased $0.7 million during the three months ended December 31, 2017 and decreased $0.4 million during the three months ended January 1, 2017. During the nine months ended December 31, 2017, the LIFO reserve increased $1.4 million, while it decreased $0.8 million for the nine months ended January 1, 2017. The valuation of LIFO inventory for interim periods is based on our estimates of year-end inventory levels and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1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carrying amount of goodwill was $97.6 million as of December 31, 2017 and April 2, 2017, of which $84.1 million was related to our Health and Nutrition segment. The annual goodwill impairment test we performed in fiscal 2017 indicated the excess fair value of this reporting unit was $7.4 million, or 4.8%.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December 31, 2017 and April 2,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April 2, 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1340" w:type="dxa"/>
            <w:vAlign w:val="bottom"/>
            <w:gridSpan w:val="4"/>
          </w:tcPr>
          <w:p>
            <w:pPr>
              <w:jc w:val="right"/>
              <w:ind w:right="170"/>
              <w:spacing w:after="0" w:line="15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2"/>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(11,278)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67,105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
              <w:spacing w:after="0"/>
              <w:rPr>
                <w:sz w:val="20"/>
                <w:szCs w:val="20"/>
                <w:color w:val="auto"/>
              </w:rPr>
            </w:pPr>
            <w:r>
              <w:rPr>
                <w:rFonts w:ascii="Arial" w:cs="Arial" w:eastAsia="Arial" w:hAnsi="Arial"/>
                <w:sz w:val="18"/>
                <w:szCs w:val="18"/>
                <w:color w:val="auto"/>
              </w:rPr>
              <w:t>78,383</w:t>
            </w:r>
          </w:p>
        </w:tc>
        <w:tc>
          <w:tcPr>
            <w:tcW w:w="100" w:type="dxa"/>
            <w:vAlign w:val="bottom"/>
          </w:tcPr>
          <w:p>
            <w:pPr>
              <w:spacing w:after="0"/>
              <w:rPr>
                <w:sz w:val="21"/>
                <w:szCs w:val="21"/>
                <w:color w:val="auto"/>
              </w:rPr>
            </w:pPr>
          </w:p>
        </w:tc>
        <w:tc>
          <w:tcPr>
            <w:tcW w:w="660" w:type="dxa"/>
            <w:vAlign w:val="bottom"/>
          </w:tcPr>
          <w:p>
            <w:pPr>
              <w:jc w:val="right"/>
              <w:ind w:right="454"/>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(7,854)</w:t>
            </w:r>
          </w:p>
        </w:tc>
        <w:tc>
          <w:tcPr>
            <w:tcW w:w="2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70,529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43"/>
        </w:trPr>
        <w:tc>
          <w:tcPr>
            <w:tcW w:w="3820" w:type="dxa"/>
            <w:vAlign w:val="bottom"/>
            <w:gridSpan w:val="2"/>
          </w:tcPr>
          <w:p>
            <w:pPr>
              <w:ind w:left="38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36"/>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71,376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(12,420)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75,656</w:t>
            </w: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36"/>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72,603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89,303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(12,420)</w:t>
            </w:r>
          </w:p>
        </w:tc>
        <w:tc>
          <w:tcPr>
            <w:tcW w:w="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76,883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7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8"/>
          </w:tcPr>
          <w:p>
            <w:pPr>
              <w:spacing w:after="0"/>
              <w:rPr>
                <w:sz w:val="20"/>
                <w:szCs w:val="20"/>
                <w:color w:val="auto"/>
              </w:rPr>
            </w:pPr>
            <w:r>
              <w:rPr>
                <w:rFonts w:ascii="Arial" w:cs="Arial" w:eastAsia="Arial" w:hAnsi="Arial"/>
                <w:sz w:val="18"/>
                <w:szCs w:val="18"/>
                <w:color w:val="auto"/>
              </w:rPr>
              <w:t>Debt at December 31, 2017 and April 2, 2017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114"/>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4"/>
              </w:rPr>
              <w:t>April 2,</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4"/>
          </w:tcPr>
          <w:p>
            <w:pPr>
              <w:jc w:val="right"/>
              <w:ind w:right="434"/>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3"/>
          </w:tcPr>
          <w:p>
            <w:pPr>
              <w:jc w:val="right"/>
              <w:ind w:right="351"/>
              <w:spacing w:after="0"/>
              <w:rPr>
                <w:sz w:val="20"/>
                <w:szCs w:val="20"/>
                <w:color w:val="auto"/>
              </w:rPr>
            </w:pPr>
            <w:r>
              <w:rPr>
                <w:rFonts w:ascii="Arial" w:cs="Arial" w:eastAsia="Arial" w:hAnsi="Arial"/>
                <w:sz w:val="18"/>
                <w:szCs w:val="18"/>
                <w:b w:val="1"/>
                <w:bCs w:val="1"/>
                <w:color w:val="auto"/>
                <w:w w:val="94"/>
              </w:rPr>
              <w:t>2017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Pr>
          <w:p>
            <w:pPr>
              <w:spacing w:after="0"/>
              <w:rPr>
                <w:sz w:val="22"/>
                <w:szCs w:val="22"/>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Senior secured term loan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5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87,500</w:t>
            </w:r>
          </w:p>
        </w:tc>
        <w:tc>
          <w:tcPr>
            <w:tcW w:w="68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93,125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Pr>
          <w:p>
            <w:pPr>
              <w:spacing w:after="0"/>
              <w:rPr>
                <w:sz w:val="23"/>
                <w:szCs w:val="23"/>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10,000</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114,500</w:t>
            </w: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103,125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Pr>
          <w:p>
            <w:pPr>
              <w:spacing w:after="0"/>
              <w:rPr>
                <w:sz w:val="23"/>
                <w:szCs w:val="23"/>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Less: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114,092</w:t>
            </w: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102,615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Pr>
          <w:p>
            <w:pPr>
              <w:spacing w:after="0"/>
              <w:rPr>
                <w:sz w:val="23"/>
                <w:szCs w:val="23"/>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(7,989)</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104,228</w:t>
            </w: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94,626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the Tax Cuts and Jobs Act of 2017 (the “Act”), was signed into law. The Act includes a number of provisions, including the lowering of the U.S. corporate tax rate from 35% to 21% effective January 1, 2018. Because our fiscal 2018 ends April 1, 2018, our tax provision for the current year will be calculated utilizing a blended statutory federal rate of 31.5%. In future years, we expect our statutory federal rate to be 21%. Under generally accepted accounting principles, deferred tax assets and liabilities are required to be revalued during the period in which new tax legislation is enacted. As such, during the three months ended December 31, 2017, we revalued our net deferred tax liabilities to reflect the impact of the Act and recorded a one-time benefit of $13.2 million. Pursuant to SEC Staff Accounting Bulletin 118 (regarding the application of ASC 740 associated with the enactment of the Act), the tax benefit we recorded in the current quarter is provisional. The final impact of the Act may differ due to and among other things, changes in interpretations, assumptions made by the Company and the issuance of additional guidance that may be provided. Specifically, no adjustment was recorded during the three months ended December 31, 2017 related to the impact of the Act on state taxes, as we could not reasonably estimate the impact and do not expect any such impact to be material to our financial statements.</w:t>
      </w:r>
    </w:p>
    <w:p>
      <w:pPr>
        <w:spacing w:after="0" w:line="17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Our federal tax return filed for our fiscal year ended March 29, 2015 was examined by the Internal Revenue Service with no adjustments. For state and local income tax jurisdictions, the tax years prior to our fiscal year ended March 29, 2015 are closed to examination, with few exceptions.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796" w:right="279" w:bottom="144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t>As of December 31, 2017 and April 2, 2017, our balance sheet included a long-term liability for uncertain tax positions of $0.2 million and $0.8 million, respectively, which arose from tax positions taken by Stauber on its tax returns for periods prior to our acquisition. Because the Stauber acquisition agreement provides us with indemnification by the prior owners for any tax liabilities relating to pre-acquisition tax returns, we have also recorded an offsetting, long-term receivable of $0.2 million as of December 31, 2017 and $0.8 million as of April 2, 2017. As a result, any change in the unrecognized tax benefit will not impact our effective tax rate in future periods. We expect these uncertain income tax amounts to decrease as the applicable examination periods for the relevant taxing authorities expire.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2018 and fiscal 2017.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57,855 shares in the aggregate for fiscal 2018.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31, 2017:</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35,075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54,708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compensation expense related to performance share units and restricted stock of $0.2 million and $0.7 million for the three and nine months ended December 31, 2017, respectively. We recorded compensation expense related to performance share units and restricted stock of $0.4 million and $1.1 million for the three and nine months ended January 1, 2017, respectively. Substantially all of the compensation expense was recorded in selling, general and administrative expenses in the condensed consolidated statements of income.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their retainer, each non-employee director receives an annual grant of restricted stock for their Board of Director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restricted stock awards are expensed over the requisite vesting period, which is one year from the date of issuance, based on the market value on the date of grant. As of December 31, 2017, there were 8,484 shares of restricted stock with a grant date fair value of $41.25 outstanding under this program.</w:t>
      </w:r>
    </w:p>
    <w:p>
      <w:pPr>
        <w:ind w:right="180"/>
        <w:spacing w:after="0" w:line="255" w:lineRule="auto"/>
        <w:rPr>
          <w:sz w:val="20"/>
          <w:szCs w:val="20"/>
          <w:color w:val="auto"/>
        </w:rPr>
      </w:pPr>
      <w:r>
        <w:rPr>
          <w:rFonts w:ascii="Arial" w:cs="Arial" w:eastAsia="Arial" w:hAnsi="Arial"/>
          <w:sz w:val="18"/>
          <w:szCs w:val="18"/>
          <w:color w:val="auto"/>
        </w:rPr>
        <w:t>Compensation expense for the three months ended December 31, 2017 and January 1, 2017 related to restricted stock awards to the Board was $0.1 million. Compensation expense for the nine months ended December 31, 2017 and January 1, 2017 related to restricted stock awards to the Board was $0.3 million and $0.2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 Program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in place a share repurchase program approved by our Board of up to 300,000 shares of our outstanding common stock. Under the program, we are authorized to repurchase shares for cash on the open market or in privately negotiated transactions subject to applicable securities laws and regulations. Upon repurchase of the shares, we reduce our common stock for the par value of the shares with the excess applied against additional paid-in capital.</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shares were repurchased during the nine months ended December 31, 2017 or during fiscal 2017. As of December 31, 2017, 112,546 shares remained available to be repurchased under the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2017 Annual Report on Form 10-K.</w:t>
      </w:r>
    </w:p>
    <w:p>
      <w:pPr>
        <w:spacing w:after="0" w:line="170"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2"/>
                <w:szCs w:val="2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Treatment</w:t>
            </w:r>
          </w:p>
        </w:tc>
        <w:tc>
          <w:tcPr>
            <w:tcW w:w="160" w:type="dxa"/>
            <w:vAlign w:val="bottom"/>
          </w:tcPr>
          <w:p>
            <w:pPr>
              <w:spacing w:after="0"/>
              <w:rPr>
                <w:sz w:val="22"/>
                <w:szCs w:val="2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2"/>
                <w:szCs w:val="22"/>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50"/>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December 31,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60,337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26,850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118,053</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18,840</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14,139</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4,701</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Three months ended January 1, 2017:</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112,351</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20,912</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14,916</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5,996</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183,053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107,307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86,819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377,179</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68,954</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44,733</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24,221</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Nine months ended January 1, 2017:</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364,975</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76,160</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44,913</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31,247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nine months ended December 31, 2017.</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440" w:right="279"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following is a discussion and analysis of our financial condition and results of operations for the three and nine months ended December 31, 2017 as compared to the similar periods ended January 1, 2017. This discussion should be read in conjunction with the condensed consolidated financial statements and notes to condensed consolidated financial statements included in this quarterly report on Form 10-Q and Item 8 of our Annual Report on Form 10-K for the fiscal year ended April 2, 2017 (“fiscal 2017”). References to “fiscal 2018” refer to the fiscal year ending April 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We believe that gross profit dollars is the best measure of our profitability from product sales because a significant portion of our raw material purchases are impacted by commodity pricing. When commodity prices rise or fall, the changes can cause fluctuations in gross profit as a percentage of sales.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use the last in, first out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an increase in our LIFO reserve of $0.7 million for the three months ended December 31, 2017 and $1.4 million for the nine months ended December 31, 2017, which decreased our reported gross profit for those periods. We recorded a decrease in our LIFO reserve of $0.4 million for the three months ended January 1, 2017 and $0.8 million for the nine months ended January 1, 2017, which increased our reported gross profit for those periods. Inventories in the Health and Nutrition segment are valued using the first-in, first-out (“FIFO”) method.</w:t>
      </w:r>
    </w:p>
    <w:p>
      <w:pPr>
        <w:spacing w:after="0" w:line="1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December 31, 2017</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1, 2017</w:t>
            </w: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December 31, 2017</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January 1, 2017</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58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820" w:type="dxa"/>
            <w:vAlign w:val="bottom"/>
          </w:tcPr>
          <w:p>
            <w:pPr>
              <w:spacing w:after="0"/>
              <w:rPr>
                <w:sz w:val="24"/>
                <w:szCs w:val="24"/>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ind w:right="448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December 31, 2017 Compared to Three Months Ended January 1, 2017 </w:t>
      </w:r>
      <w:r>
        <w:rPr>
          <w:rFonts w:ascii="Arial" w:cs="Arial" w:eastAsia="Arial" w:hAnsi="Arial"/>
          <w:sz w:val="18"/>
          <w:szCs w:val="18"/>
          <w:i w:val="1"/>
          <w:iCs w:val="1"/>
          <w:color w:val="auto"/>
        </w:rPr>
        <w:t>Sales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increased $5.7 million, or 5.1%, to $118.1 million for the three months ended December 31, 2017, as compared to $112.4 million reported for the same period of the prior year.</w:t>
      </w:r>
    </w:p>
    <w:p>
      <w:pPr>
        <w:spacing w:after="0" w:line="1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$60.3 million for the three months ended December 31, 2017, an increase of $3.3 million, or 5.7%, from</w:t>
      </w:r>
      <w:r>
        <w:rPr>
          <w:rFonts w:ascii="Arial" w:cs="Arial" w:eastAsia="Arial" w:hAnsi="Arial"/>
          <w:sz w:val="18"/>
          <w:szCs w:val="18"/>
          <w:i w:val="1"/>
          <w:iCs w:val="1"/>
          <w:color w:val="auto"/>
        </w:rPr>
        <w:t xml:space="preserve"> </w:t>
      </w:r>
      <w:r>
        <w:rPr>
          <w:rFonts w:ascii="Arial" w:cs="Arial" w:eastAsia="Arial" w:hAnsi="Arial"/>
          <w:sz w:val="18"/>
          <w:szCs w:val="18"/>
          <w:color w:val="auto"/>
        </w:rPr>
        <w:t>$57.1 million for the same period of the prior year. Sales of bulk commodity products in the Industrial segment were approximately 21% of sales dollars for the three months ended December 31, 2017 and 20% of sales for the same period in the prior year. Overall sales volumes decreased slightly, while sales dollars increased as a result of more sales of certain specialty products with higher per-unit selling prices, as well as higher selling prices on certain products resulting from increased costs on one of our major commodities.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$2.8 million, or 9.9%, to $30.9 million for the three months ended December 31,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$28.1 million for the same period of the prior year. Sales of bulk commodity products in the Water Treatment segment were approximately 17% of sales dollars in the both the three months ended December 31, 2017 and the same period a year ago. Sales dollars increased as a result of increased sales across many product lines.</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were $26.9 million for the three months ended December 31, 2017, a decrease of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1.2%, from $27.2 million the same period of the prior year. Increased sales of distributed products were offset by decreased sales of our manufactured products. The decline in sales of our manufactured products was due to reduced demand from certain customers and temporarily refocused efforts as we made investments to upgrade the facility to generate future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was $18.8 million, or 16.0% of sales, for the three months ended December 31, 2017, a decrease of $2.1 million from $20.9 million, or 18.6% of sales, for the same period of the prior year. As a result of raw material price increases and projected increases in year-end inventory levels, the LIFO reserve reduced gross profit by $1.1 million year over year. Gross profit was further negatively impacted by competitive pricing pressures and decreased sales of manufactured products in our Health &amp; Nutrition segment.</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decreased $1.3 million to $7.1 million, or 11.8% of sales, for the three months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as compared to $8.4 million, or 14.7% of sales, for the same period of the prior year. Raw material cost increases negatively impacted the quarter’s results with the LIFO method of valuing inventory decreasing gross profit by $0.5 million in the current year while increasing gross profit by $0.3 million for the same period of the prior year. Although we were able to address increased costs on one of our major commodities through higher selling prices, competitive pricing pressures limited our ability to pass all cost increases on to our customers, driving the lower year-over-year gross profit and gross profit percentage.</w:t>
      </w:r>
    </w:p>
    <w:p>
      <w:pPr>
        <w:spacing w:after="0" w:line="13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increased $0.2 million to $7.4 million, or 24.0% of sales,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as compared to $7.2 million, or 25.8% of sales, for the same period of the prior year. Raw material cost increases negatively impacted the quarter’s results with the LIFO method of valuing inventory decreasing gross profit by $0.1 million in the current year, while it increased gross profit by $0.1 million in the previous year. In spite of the negative year-over-year LIFO impact, gross profit increased as a result of increased sales volumes compared to a year ago. Gross profit as a percentage of sales decreased compared to a year ago due to the LIFO impact as well as a product mix shift.</w:t>
      </w:r>
    </w:p>
    <w:p>
      <w:pPr>
        <w:spacing w:after="0" w:line="11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$0.9 million to $4.4 million, or 16.2%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2017, as compared to $5.3 million, or 19.5% of sales, for the same period of the prior year. Gross profit and gross profit as a percentage of sales declined primarily as a result of lower sales of our manufactured products, which typically carry higher per-unit margins than distributed products, as compared to a year ago.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Selling, general and administrative (“SG&amp;A”) expenses were $14.1 million, or 12.0% of sales, for the three months ended December 31, 2017, a decrease of $0.8 million from $14.9 million, or 13.3% of sales, for the same period of the prior year. SG&amp;A costs were lower in all segments as a result of management efforts to control costs, including delaying or suspending the filling of open positions as well as a decline in certain other variable expenses.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income was $4.7 million for the three months ended December 31, 2017, as compared to $6.0 million for the same period of the prior year. Operating income in our Industrial segment decreased by $0.8 million driven by lower gross profits, partially offset by reduced SG&amp;A expenses. Operating income in our Water Treatment segment increased by $0.3 million due to higher gross profits and slightly lower SG&amp;A expenses. Operating income in our Health and Nutrition Segment decreased by $0.8 million driven by lower gross profits compared to the comparable period in the prior year, partially offset by lower SG&amp;A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was $0.9 million for the three months ended December 31, 2017 compared to $0.6 million for the same period of the prior year due primarily to increased outstanding borrowings in the current quarter to fund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December 22, 2017 the Tax Cuts and Jobs Act of 2017 (the “Act”), was signed into law. The Act includes a number of provisions, including the lowering of the U.S. corporate tax rate from 35% to 21% effective January 1, 2018. Because our fiscal 2018 ends April 1, 2018, our tax provision for the current year will be calculated utilizing a blended statutory federal rate of 31.5%. In future years, we expect our statutory federal rate to be 21%.</w:t>
      </w:r>
    </w:p>
    <w:p>
      <w:pPr>
        <w:spacing w:after="0" w:line="166"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Under generally accepted accounting principles, deferred tax assets and liabilities are required to be revalued during the period in which new tax legislation is enacted. As such, during the three months ended December 31, 2017, we revalued our net deferred tax liabilities to reflect the impact of the Act and recorded a one-time benefit of $13.2 million. As a result of this adjustment, our effective tax rate for the three months ended December 31, 2017 was not meaningful.</w:t>
      </w:r>
    </w:p>
    <w:p>
      <w:pPr>
        <w:ind w:right="100"/>
        <w:spacing w:after="0" w:line="261" w:lineRule="auto"/>
        <w:rPr>
          <w:sz w:val="20"/>
          <w:szCs w:val="20"/>
          <w:color w:val="auto"/>
        </w:rPr>
      </w:pPr>
      <w:r>
        <w:rPr>
          <w:rFonts w:ascii="Arial" w:cs="Arial" w:eastAsia="Arial" w:hAnsi="Arial"/>
          <w:sz w:val="18"/>
          <w:szCs w:val="18"/>
          <w:color w:val="auto"/>
        </w:rPr>
        <w:t>Our effective income tax rate was 33.8% for the three months ended January 1, 2017. The effective tax rate is impacted by projected levels of annual taxable income, permanent items, and state taxes.</w:t>
      </w:r>
    </w:p>
    <w:p>
      <w:pPr>
        <w:spacing w:after="0" w:line="184" w:lineRule="exact"/>
        <w:rPr>
          <w:sz w:val="20"/>
          <w:szCs w:val="20"/>
          <w:color w:val="auto"/>
        </w:rPr>
      </w:pPr>
    </w:p>
    <w:p>
      <w:pPr>
        <w:ind w:right="4620"/>
        <w:spacing w:after="0" w:line="438" w:lineRule="auto"/>
        <w:rPr>
          <w:sz w:val="20"/>
          <w:szCs w:val="20"/>
          <w:color w:val="auto"/>
        </w:rPr>
      </w:pPr>
      <w:r>
        <w:rPr>
          <w:rFonts w:ascii="Arial" w:cs="Arial" w:eastAsia="Arial" w:hAnsi="Arial"/>
          <w:sz w:val="18"/>
          <w:szCs w:val="18"/>
          <w:b w:val="1"/>
          <w:bCs w:val="1"/>
          <w:i w:val="1"/>
          <w:iCs w:val="1"/>
          <w:color w:val="auto"/>
        </w:rPr>
        <w:t xml:space="preserve">Nine Months Ended December 31, 2017 Compared to Nine Months Ended January 1, 2017 </w:t>
      </w:r>
      <w:r>
        <w:rPr>
          <w:rFonts w:ascii="Arial" w:cs="Arial" w:eastAsia="Arial" w:hAnsi="Arial"/>
          <w:sz w:val="18"/>
          <w:szCs w:val="18"/>
          <w:i w:val="1"/>
          <w:iCs w:val="1"/>
          <w:color w:val="auto"/>
        </w:rPr>
        <w:t>Sales</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Sales increased $12.2 million, or 3.3%, to $377.2 million for the nine months ended December 31, 2017, as compared to $365.0 million reported for the same period of the prior year.</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$183.1 million for the nine months ended December 31, 2017, an increase of $6.3 million, or 3.6%,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$176.7 million for the same period of the prior year. Sales of bulk commodity products in the Industrial segment were approximately 19% of sales dollars for the nine months ended December 31, 2017 and for the same period in the prior year. Overall sales volumes were relatively flat year over year, while sales dollars increased as a result of more sales of certain specialty products with higher per-unit selling prices, as well as higher selling prices on certain products resulting from increased costs on one of our major commodities.</w:t>
      </w:r>
    </w:p>
    <w:p>
      <w:pPr>
        <w:spacing w:after="0" w:line="13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$6.7 million, or 6.7%, to $107.3 million for the nine months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$100.6 million for the same period of the prior year. Sales of bulk commodity products in the Water Treatment segment were approximately 15% of sales dollars in both the nine months ended December 31, 2017 and the same period a year ago. Sales dollars increased as a result of increased sales across many product lines.</w:t>
      </w:r>
    </w:p>
    <w:p>
      <w:pPr>
        <w:spacing w:after="0" w:line="13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were $86.8 million for the nine months ended December 31, 2017, a decrease of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 from $87.7 million for the same period of the prior year. Increased sales of distributed products were offset by decreased sales of our manufactured products. The decline in sales of our manufactured products was due to reduced demand from certain customers and temporarily refocused efforts as we made investments to upgrade the facility to generate future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Gross profit was $69.0 million, or 18.3% of sales, for the nine months ended December 31, 2017, a decrease of $7.2 million compared to $76.2 million, or 20.9% of sales, for the same period of the prior year. As a result of raw material price increases and projected increases in year-end inventory levels, the current year increase in the LIFO reserve reduced gross profit by $2.1 million year over year. In addition, the decrease in gross profit was due to planned increases in personnel and other investments to drive future growth, including accelerated depreciation of $0.7 million, as well as a $0.5 million reclassification from SG&amp;A expenses, product mix changes and continued competitive pricing pressures.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6" w:right="259" w:bottom="1440" w:gutter="0" w:footer="0" w:header="0"/>
        </w:sectPr>
      </w:pPr>
    </w:p>
    <w:bookmarkStart w:id="15" w:name="page16"/>
    <w:bookmarkEnd w:id="15"/>
    <w:p>
      <w:pPr>
        <w:ind w:right="60"/>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decreased $4.6 million to $24.4 million, or 13.3% of sales, for the nine months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as compared to $29.0 million, or 16.4% of sales, for the same period of the prior year. Raw material cost increases negatively impacted year-to-date results with the LIFO method of valuing inventory decreasing gross profit by $1.1 million in the current year while increasing gross profit by $0.6 million for the same period of the prior year. In addition, the decrease in gross profit and gross profit as a percentage of sales was driven by increased operating costs as we invest for future growth and to comply with increased regulatory requirements as well as lower margins on certain commodity products with rising material costs, driven by competitive pricing pressures. The impact was offset somewhat by higher profits on sales of certain specialty products with higher per-unit margins.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increased $0.7 million to $29.6 million, or 27.6% of sales,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as compared to $28.9 million, or 28.8% of sales, for the same period of the prior year. Gross profit dollars increased due to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volumes. Raw material cost increases negatively impacted year-to-date results with the LIFO method of valuing inventory decreasing gross profit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in the current year while increasing gross profit by $0.2 million for the same period of the prior year. In spite of the negative year-over-year LIFO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gross profit increased as a result of increased sales volumes compared to a year ago.</w:t>
      </w:r>
    </w:p>
    <w:p>
      <w:pPr>
        <w:spacing w:after="0" w:line="1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$3.3 million to $15.0 million, or 17.2% of sales,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2017, as compared to $18.2 million, or 20.8% of sales, for the same period of the prior year. Decreased sales of our manufactured products, which carry higher per-unit margins, contributed to the decline in gross profit and gross profit as a percentage of sales. The decrease in gross profit and gross profit as a percentage of sales was also driven by planned cost increases including accelerated depreciation expense of $0.7 million related to manufacturing equipment that we removed to make upgrades to current equipment and to make room for more efficient equipment, as well as the reclassification of $0.5 million of costs that were recorded as SG&amp;A expenses in the prior year to operating overhead in the current year to conform to our presentation.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SG&amp;A expenses were $44.7 million, or 11.9% of sales, for the nine months ended December 31, 2017, a decrease of $0.2 million from $44.9 million, or</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12.3% of sales, for the same period of the prior year. Expenses decreased primarily as a result of the reclassification of $0.5 million of expenses in our Health &amp; Nutrition segment from SG&amp;A to operating overhead to conform to our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Operating income was $24.2 million for the nine months ended December 31, 2017, as compared to $31.2 million for the same period of the prior year. Operating income in our Industrial segment decreased by $4.4 million driven by lower gross profits in that segment partially offset by lower SG&amp;A expenses. Operating income in our Water Treatment segment increased by $0.6 million due to higher gross profits. Operating income in our Health and Nutrition segment decreased by $3.2 million driven by lower gross profits compared to the comparable period in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Interest expense was $2.4 million for the first nine months of fiscal 2018, compared to $2.0 million for the same period of the prior year due primarily to increased outstanding borrowings in the current year to fund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22, 2017 the Act was signed into law. The Act includes a number of provisions, including the lowering of the U.S. corporate tax rate from 35% to 21% effective January 1, 2018. Because our fiscal 2018 ends April 1, 2018, our tax provision for the current year will be calculated utilizing a blended statutory federal rate of 31.5%. In future years, we expect our statutory federal rate to be 21%.</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generally accepted accounting principles, deferred tax assets and liabilities are required to be revalued during the period in which new tax legislation is enacted. As such, during the nine months ended December 31, 2017, we revalued our net deferred tax liabilities to reflect the impact of the Act and recorded a one-time benefit of $13.2 million. As a result of this adjustment, our effective tax rate for the nine months ended December 31, 2017 was not meaningful. Without the non-recurring adjustments discussed above, our effective tax rate for the nine months ended December 31, 2017 was 32.5%.</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effective income tax rate was 37.3% for the nine months ended January 1, 2017. The effective tax rate is impacted by projected levels of annual taxable income, permanent items, and state taxes.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was $7.6 million at December 31, 2017, an increase of $0.7 million as compared with the $6.9 million available as of April 2, 2017.</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Cash provided by operating activities was $14.6 million for the nine months ended December 31, 2017, compared to cash provided by operating activities of $31.0 million for the same period of the prior year. The decrease in cash provided by operating activities was primarily driven by lower operating income and a year-over-year change in the amount of cash provided by accounts receivable, driven by high levels of collections in the first nine month of the prior year, as well as a change in the amount of cash utilized to purchase inventory during the first nine months of fiscal 2018 as compared to the same period in the prior year. The large increase in inventory in the first nine months of fiscal 2018 was primarily due to an increase in on-hand and in-transit inventory, along with an increase in the per-unit cost, of one of our major commodities. The decision to increase inventory was driven largely by expectations of future cost increases.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1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Cash used in investing activities was $16.7 million for the nine months ended December 31, 2017, compared to $17.7 million for the same period of the prior year. Capital expenditures were $17.0 million for the nine months ended December 31, 2017, compared to $15.8 million in the same period of the prior year. Included in capital expenditures for the first nine months of fiscal 2018 was $6.7 million related to business expansion, inventory storage, and process improvements, including the purchase of three of our previously leased Florida locations, and $7.4 million related to facility improvements, replacement equipment, new and replacement containers, and Water Treatment trucks. In the previous year, we paid $2.2 million of additional purchase price for Stauber as closing cash, debt and working capital balances were finalized in early 2017.</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Cash provided by financing activities was $2.9 million for the nine months ended December 31, 2017, compared to cash used in financing activities of $24.9 million in the same period of the prior year. Included in financing activities were dividend payments of $9.2 million, debt repayments of $5.6 million on our Term Loan Facility (as defined below) and net proceeds of $17.0 million resulting from borrowings on our Revolving Loan Facility (as defined below) which were made in the nine months ended December 31, 2017 to fund working capital requirements. In the first nine months of the prior year, we made dividend payments of $8.6 million, debt repayments on our Term Loan Facility of $3.8 million, and repayments of $13.0 million on our Revolving Loan Facility.</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December 23, 2015,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Term Loan facility requires mandatory quarterly repayments, with the balance due at maturity. The Revolving Loan Facility includes a letter of credit subfacility in the amount of $5.0 million and a swingline subfacility in the amount of $8.0 million. The Credit Facility is scheduled to terminate on December 23, 2020. The Credit Facility is secured by substantially all of our personal property assets and those of our subsidiaries.</w:t>
      </w:r>
    </w:p>
    <w:p>
      <w:pPr>
        <w:spacing w:after="0" w:line="16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Borrowings under the Credit Facility bear interest at a variable rate per annum equal to one of the following, plus, in both cases, an applicable margin based upon our leverage ratio: (a) LIBOR for an interest period of one, two, three or six months as selected by us, reset at the end of the selected interest period, or</w:t>
      </w:r>
    </w:p>
    <w:p>
      <w:pPr>
        <w:ind w:right="60" w:firstLine="8"/>
        <w:spacing w:after="0" w:line="277"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U.S. Bank’s prime rate, (2) the Federal Funds Effective Rate plus 0.5%, or (3) one-month LIBOR for U.S. dollars plus 1.0%. The LIBOR margin is 1.125%, 1.25% or 1.5%, depending on our leverage ratio. The base rate margin is either 0.125%, 0.25% or 0.5%, depending on our leverage ratio. At December 31, 2017, the effective interest rate on our borrowings was 2.8%.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7" w:name="page18"/>
    <w:bookmarkEnd w:id="17"/>
    <w:p>
      <w:pPr>
        <w:ind w:right="40"/>
        <w:spacing w:after="0" w:line="254" w:lineRule="auto"/>
        <w:rPr>
          <w:sz w:val="20"/>
          <w:szCs w:val="20"/>
          <w:color w:val="auto"/>
        </w:rPr>
      </w:pPr>
      <w:r>
        <w:rPr>
          <w:rFonts w:ascii="Arial" w:cs="Arial" w:eastAsia="Arial" w:hAnsi="Arial"/>
          <w:sz w:val="18"/>
          <w:szCs w:val="18"/>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began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Debt issuance costs of $0.7 million were paid to the lenders and are being amortized as interest expense over the term of the credit facility. As of December 31, 2017, the unamortized balance of these costs was $0.4 million, and is reflected as a reduction of debt on our balance sheet.</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December 31, 2017, we were in compliance with all required covenants.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April 2, 2017. The accounting policies used in preparing our condensed consolidated financial statements for the first quarter of fiscal 2017 are the same as those described in that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2, 2017.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00" w:right="259" w:bottom="1440" w:gutter="0" w:footer="0" w:header="0"/>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 basis point change in interest rates would potentially increase or decrease our annual interest expense by approximately $0.1 million. In the second quarter of fiscal 2017, we entered into an interest rate swap that converts a portion of our variable-rate debt into a fixed-rate obligation. The new swap agreement began September 1, 2017 and will end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2018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2, 2017.</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repurchase any shares of our common stock during the three months ended December 31, 2017. As of December 31, 2017, 112,546 shares remained available to be repurchased under the share repurchase program.</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580"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52"/>
              <w:spacing w:after="0"/>
              <w:rPr>
                <w:sz w:val="20"/>
                <w:szCs w:val="20"/>
                <w:color w:val="auto"/>
              </w:rPr>
            </w:pPr>
            <w:r>
              <w:rPr>
                <w:rFonts w:ascii="Arial" w:cs="Arial" w:eastAsia="Arial" w:hAnsi="Arial"/>
                <w:sz w:val="18"/>
                <w:szCs w:val="18"/>
                <w:color w:val="auto"/>
                <w:w w:val="95"/>
              </w:rPr>
              <w:t>ITEM 6.</w:t>
            </w:r>
          </w:p>
        </w:tc>
        <w:tc>
          <w:tcPr>
            <w:tcW w:w="960" w:type="dxa"/>
            <w:vAlign w:val="bottom"/>
          </w:tcPr>
          <w:p>
            <w:pPr>
              <w:ind w:left="120"/>
              <w:spacing w:after="0"/>
              <w:rPr>
                <w:sz w:val="20"/>
                <w:szCs w:val="20"/>
                <w:color w:val="auto"/>
              </w:rPr>
            </w:pPr>
            <w:r>
              <w:rPr>
                <w:rFonts w:ascii="Arial" w:cs="Arial" w:eastAsia="Arial" w:hAnsi="Arial"/>
                <w:sz w:val="18"/>
                <w:szCs w:val="18"/>
                <w:color w:val="auto"/>
                <w:w w:val="99"/>
              </w:rPr>
              <w:t>EXHIBITS</w:t>
            </w: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81"/>
        </w:trPr>
        <w:tc>
          <w:tcPr>
            <w:tcW w:w="860" w:type="dxa"/>
            <w:vAlign w:val="bottom"/>
          </w:tcPr>
          <w:p>
            <w:pPr>
              <w:jc w:val="right"/>
              <w:ind w:right="192"/>
              <w:spacing w:after="0"/>
              <w:rPr>
                <w:sz w:val="20"/>
                <w:szCs w:val="20"/>
                <w:color w:val="auto"/>
              </w:rPr>
            </w:pPr>
            <w:r>
              <w:rPr>
                <w:rFonts w:ascii="Arial" w:cs="Arial" w:eastAsia="Arial" w:hAnsi="Arial"/>
                <w:sz w:val="14"/>
                <w:szCs w:val="14"/>
                <w:color w:val="auto"/>
              </w:rPr>
              <w:t>Exhibit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Description</w:t>
            </w:r>
          </w:p>
        </w:tc>
        <w:tc>
          <w:tcPr>
            <w:tcW w:w="3800" w:type="dxa"/>
            <w:vAlign w:val="bottom"/>
            <w:gridSpan w:val="3"/>
          </w:tcPr>
          <w:p>
            <w:pPr>
              <w:spacing w:after="0"/>
              <w:rPr>
                <w:sz w:val="24"/>
                <w:szCs w:val="24"/>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4"/>
                <w:szCs w:val="14"/>
                <w:color w:val="auto"/>
                <w:w w:val="98"/>
              </w:rPr>
              <w:t>Method of Filing</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3620" w:type="dxa"/>
            <w:vAlign w:val="bottom"/>
            <w:gridSpan w:val="4"/>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Amended and Restated Articles of Incorporation.</w:t>
              </w:r>
            </w:hyperlink>
          </w:p>
        </w:tc>
        <w:tc>
          <w:tcPr>
            <w:tcW w:w="680" w:type="dxa"/>
            <w:vAlign w:val="bottom"/>
            <w:gridSpan w:val="3"/>
          </w:tcPr>
          <w:p>
            <w:pPr>
              <w:spacing w:after="0"/>
              <w:rPr>
                <w:sz w:val="19"/>
                <w:szCs w:val="19"/>
                <w:color w:val="auto"/>
              </w:rPr>
            </w:pPr>
          </w:p>
        </w:tc>
        <w:tc>
          <w:tcPr>
            <w:tcW w:w="3800" w:type="dxa"/>
            <w:vAlign w:val="bottom"/>
            <w:gridSpan w:val="3"/>
          </w:tcPr>
          <w:p>
            <w:pPr>
              <w:spacing w:after="0"/>
              <w:rPr>
                <w:sz w:val="19"/>
                <w:szCs w:val="19"/>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24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r:id="rId25">
              <w:r>
                <w:rPr>
                  <w:rFonts w:ascii="Arial" w:cs="Arial" w:eastAsia="Arial" w:hAnsi="Arial"/>
                  <w:sz w:val="18"/>
                  <w:szCs w:val="18"/>
                  <w:color w:val="0000FF"/>
                  <w:w w:val="89"/>
                </w:rPr>
                <w:t>Amended and Restated By-Laws.</w:t>
              </w:r>
            </w:hyperlink>
          </w:p>
        </w:tc>
        <w:tc>
          <w:tcPr>
            <w:tcW w:w="1120" w:type="dxa"/>
            <w:vAlign w:val="bottom"/>
            <w:tcBorders>
              <w:top w:val="single" w:sz="8" w:color="0000FF"/>
            </w:tcBorders>
          </w:tcPr>
          <w:p>
            <w:pPr>
              <w:spacing w:after="0"/>
              <w:rPr>
                <w:sz w:val="21"/>
                <w:szCs w:val="21"/>
                <w:color w:val="auto"/>
              </w:rPr>
            </w:pPr>
          </w:p>
        </w:tc>
        <w:tc>
          <w:tcPr>
            <w:tcW w:w="4560" w:type="dxa"/>
            <w:vAlign w:val="bottom"/>
            <w:gridSpan w:val="7"/>
          </w:tcPr>
          <w:p>
            <w:pPr>
              <w:spacing w:after="0"/>
              <w:rPr>
                <w:sz w:val="21"/>
                <w:szCs w:val="21"/>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8100" w:type="dxa"/>
            <w:vAlign w:val="bottom"/>
            <w:gridSpan w:val="1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Certification by Chief Executive Officer pursuant to Rule 13a-14(a) of the Exchange Act.</w:t>
              </w:r>
            </w:hyperlink>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64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Certification by Chief Financial Officer pursuant to Rule 13a-14(a) of the Exchange Act.</w:t>
              </w:r>
            </w:hyperlink>
          </w:p>
        </w:tc>
        <w:tc>
          <w:tcPr>
            <w:tcW w:w="40" w:type="dxa"/>
            <w:vAlign w:val="bottom"/>
            <w:tcBorders>
              <w:top w:val="single" w:sz="8" w:color="0000FF"/>
            </w:tcBorders>
          </w:tcPr>
          <w:p>
            <w:pPr>
              <w:spacing w:after="0"/>
              <w:rPr>
                <w:sz w:val="21"/>
                <w:szCs w:val="21"/>
                <w:color w:val="auto"/>
              </w:rPr>
            </w:pPr>
          </w:p>
        </w:tc>
        <w:tc>
          <w:tcPr>
            <w:tcW w:w="1660" w:type="dxa"/>
            <w:vAlign w:val="bottom"/>
          </w:tcPr>
          <w:p>
            <w:pPr>
              <w:spacing w:after="0"/>
              <w:rPr>
                <w:sz w:val="21"/>
                <w:szCs w:val="21"/>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Section 1350</w:t>
              </w:r>
            </w:hyperlink>
          </w:p>
        </w:tc>
        <w:tc>
          <w:tcPr>
            <w:tcW w:w="7140" w:type="dxa"/>
            <w:vAlign w:val="bottom"/>
            <w:gridSpan w:val="9"/>
          </w:tcPr>
          <w:p>
            <w:pPr>
              <w:ind w:left="20"/>
              <w:spacing w:after="0"/>
              <w:rPr>
                <w:rFonts w:ascii="Arial" w:cs="Arial" w:eastAsia="Arial" w:hAnsi="Arial"/>
                <w:sz w:val="18"/>
                <w:szCs w:val="18"/>
                <w:color w:val="0000FF"/>
              </w:rPr>
            </w:pPr>
            <w:hyperlink w:anchor="page25">
              <w:r>
                <w:rPr>
                  <w:rFonts w:ascii="Arial" w:cs="Arial" w:eastAsia="Arial" w:hAnsi="Arial"/>
                  <w:sz w:val="18"/>
                  <w:szCs w:val="18"/>
                  <w:color w:val="0000FF"/>
                </w:rPr>
                <w:t>Certification by Chief Executive Officer.</w:t>
              </w:r>
            </w:hyperlink>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Section 1350</w:t>
              </w:r>
            </w:hyperlink>
          </w:p>
        </w:tc>
        <w:tc>
          <w:tcPr>
            <w:tcW w:w="292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94"/>
              </w:rPr>
            </w:pPr>
            <w:hyperlink w:anchor="page26">
              <w:r>
                <w:rPr>
                  <w:rFonts w:ascii="Arial" w:cs="Arial" w:eastAsia="Arial" w:hAnsi="Arial"/>
                  <w:sz w:val="18"/>
                  <w:szCs w:val="18"/>
                  <w:color w:val="0000FF"/>
                  <w:w w:val="94"/>
                </w:rPr>
                <w:t>Certification by Chief Financial Officer.</w:t>
              </w:r>
            </w:hyperlink>
          </w:p>
        </w:tc>
        <w:tc>
          <w:tcPr>
            <w:tcW w:w="40" w:type="dxa"/>
            <w:vAlign w:val="bottom"/>
            <w:tcBorders>
              <w:top w:val="single" w:sz="8" w:color="0000FF"/>
            </w:tcBorders>
          </w:tcPr>
          <w:p>
            <w:pPr>
              <w:spacing w:after="0"/>
              <w:rPr>
                <w:sz w:val="21"/>
                <w:szCs w:val="21"/>
                <w:color w:val="auto"/>
              </w:rPr>
            </w:pPr>
          </w:p>
        </w:tc>
        <w:tc>
          <w:tcPr>
            <w:tcW w:w="4180" w:type="dxa"/>
            <w:vAlign w:val="bottom"/>
            <w:gridSpan w:val="4"/>
          </w:tcPr>
          <w:p>
            <w:pPr>
              <w:spacing w:after="0"/>
              <w:rPr>
                <w:sz w:val="21"/>
                <w:szCs w:val="21"/>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76"/>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8100" w:type="dxa"/>
            <w:vAlign w:val="bottom"/>
            <w:gridSpan w:val="10"/>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 ended</w:t>
            </w: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860" w:type="dxa"/>
            <w:vAlign w:val="bottom"/>
          </w:tcPr>
          <w:p>
            <w:pPr>
              <w:spacing w:after="0"/>
              <w:rPr>
                <w:sz w:val="18"/>
                <w:szCs w:val="18"/>
                <w:color w:val="auto"/>
              </w:rPr>
            </w:pPr>
          </w:p>
        </w:tc>
        <w:tc>
          <w:tcPr>
            <w:tcW w:w="8100" w:type="dxa"/>
            <w:vAlign w:val="bottom"/>
            <w:gridSpan w:val="10"/>
          </w:tcPr>
          <w:p>
            <w:pPr>
              <w:spacing w:after="0"/>
              <w:rPr>
                <w:sz w:val="20"/>
                <w:szCs w:val="20"/>
                <w:color w:val="auto"/>
              </w:rPr>
            </w:pPr>
            <w:r>
              <w:rPr>
                <w:rFonts w:ascii="Arial" w:cs="Arial" w:eastAsia="Arial" w:hAnsi="Arial"/>
                <w:sz w:val="18"/>
                <w:szCs w:val="18"/>
                <w:color w:val="auto"/>
                <w:w w:val="98"/>
              </w:rPr>
              <w:t>December 31, 2017 filed with the SEC on February 8, 2018 formatted in Extensible Business Reporting</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8100" w:type="dxa"/>
            <w:vAlign w:val="bottom"/>
            <w:gridSpan w:val="10"/>
          </w:tcPr>
          <w:p>
            <w:pPr>
              <w:spacing w:after="0"/>
              <w:rPr>
                <w:sz w:val="20"/>
                <w:szCs w:val="20"/>
                <w:color w:val="auto"/>
              </w:rPr>
            </w:pPr>
            <w:r>
              <w:rPr>
                <w:rFonts w:ascii="Arial" w:cs="Arial" w:eastAsia="Arial" w:hAnsi="Arial"/>
                <w:sz w:val="18"/>
                <w:szCs w:val="18"/>
                <w:color w:val="auto"/>
                <w:w w:val="93"/>
              </w:rPr>
              <w:t>Language (XBRL); (i) the Condensed Consolidated Balance Sheets at December 31, 2017 and April 2, 2017,</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ind w:left="860" w:right="2640" w:hanging="1"/>
        <w:spacing w:after="0" w:line="271" w:lineRule="auto"/>
        <w:tabs>
          <w:tab w:leader="none" w:pos="1125"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Condensed Consolidated Statements of Income for the three and nine months ended December 31, 2017 and January 1, 2017, (iii) the Condensed Consolidated Statements of Comprehensive Income for the three and nine months ended December 31, 2017 and January 1, 2017, (iv) the Condensed Consolidated Statements of Cash Flows for the nine months ended December 31, 2017 and January 1, 2017, and (v) Notes to Condensed Consolidated Financial Statements.</w:t>
      </w:r>
    </w:p>
    <w:p>
      <w:pPr>
        <w:spacing w:after="0" w:line="394" w:lineRule="exact"/>
        <w:rPr>
          <w:rFonts w:ascii="Arial" w:cs="Arial" w:eastAsia="Arial" w:hAnsi="Arial"/>
          <w:sz w:val="17"/>
          <w:szCs w:val="17"/>
          <w:color w:val="auto"/>
        </w:rPr>
      </w:pPr>
    </w:p>
    <w:p>
      <w:pPr>
        <w:ind w:left="540" w:hanging="316"/>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584" w:right="339" w:bottom="1440" w:gutter="0" w:footer="0" w:header="0"/>
        </w:sectPr>
      </w:pPr>
    </w:p>
    <w:bookmarkStart w:id="21" w:name="page22"/>
    <w:bookmarkEnd w:id="21"/>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and</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2018</w:t>
      </w:r>
    </w:p>
    <w:p>
      <w:pPr>
        <w:sectPr>
          <w:pgSz w:w="11900" w:h="16838" w:orient="portrait"/>
          <w:cols w:equalWidth="0" w:num="1">
            <w:col w:w="11260"/>
          </w:cols>
          <w:pgMar w:left="240" w:top="580" w:right="3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2018</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2018</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2017,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2018</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2017,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2"/>
    </w:lvl>
  </w:abstractNum>
  <w:abstractNum w:abstractNumId="1">
    <w:nsid w:val="2AE8944A"/>
    <w:multiLevelType w:val="hybridMultilevel"/>
    <w:lvl w:ilvl="0">
      <w:lvlJc w:val="left"/>
      <w:lvlText w:val="%1"/>
      <w:numFmt w:val="decimal"/>
      <w:start w:val="1"/>
    </w:lvl>
    <w:lvl w:ilvl="1">
      <w:lvlJc w:val="left"/>
      <w:lvlText w:val="(%2)"/>
      <w:numFmt w:val="lowerRoman"/>
      <w:start w:val="2"/>
    </w:lvl>
  </w:abstractNum>
  <w:abstractNum w:abstractNumId="2">
    <w:nsid w:val="625558EC"/>
    <w:multiLevelType w:val="hybridMultilevel"/>
    <w:lvl w:ilvl="0">
      <w:lvlJc w:val="left"/>
      <w:lvlText w:val="(%1)"/>
      <w:numFmt w:val="decimal"/>
      <w:start w:val="1"/>
    </w:lvl>
    <w:lvl w:ilvl="1">
      <w:lvlJc w:val="left"/>
      <w:lvlText w:val="%2"/>
      <w:numFmt w:val="lowerRoman"/>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4" Type="http://schemas.openxmlformats.org/officeDocument/2006/relationships/hyperlink" Target="http://www.sec.gov/Archives/edgar/data/46250/000089710110001532/hawkins103608_ex3-1.htm" TargetMode="External"/><Relationship Id="rId25"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2019-12-29T01:46:18Z</dcterms:created>
  <dcterms:modified xsi:type="dcterms:W3CDTF">2019-12-29T01:46:18Z</dcterms:modified>
</cp:coreProperties>
</file>