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4052023_090457.xml.htm"/>
      <w:bookmarkStart w:id="1" w:name="ksform404052023_0904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Hawkins Patrick H.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ROSEVILLE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5"/>
        <w:gridCol w:w="899"/>
        <w:gridCol w:w="771"/>
        <w:gridCol w:w="597"/>
        <w:gridCol w:w="340"/>
        <w:gridCol w:w="908"/>
        <w:gridCol w:w="432"/>
        <w:gridCol w:w="741"/>
        <w:gridCol w:w="1474"/>
        <w:gridCol w:w="968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21,330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44.13</w:t>
            </w:r>
            <w:r>
              <w:rPr/>
              <w:t xml:space="preserve"> </w:t>
            </w:r>
          </w:p>
        </w:tc>
        <w:tc>
          <w:tcPr>
            <w:tcW w:w="1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267,728.769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26,073.163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ESOP Trustee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28.9 shares acquired June 2022-March 2023 pursuant to the Issuer's dividend reinvestment plan and 649 shares acquired June-December 2022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Joshua L. Colburn,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04/05/2023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88673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553</Words>
  <CharactersWithSpaces>3522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