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MINNESOTA</w:t>
            </w:r>
          </w:p>
        </w:tc>
        <w:tc>
          <w:tcPr>
            <w:tcW w:w="5760" w:type="dxa"/>
            <w:vAlign w:val="bottom"/>
            <w:tcBorders>
              <w:bottom w:val="single" w:sz="8" w:color="auto"/>
            </w:tcBorders>
          </w:tcPr>
          <w:p>
            <w:pPr>
              <w:jc w:val="right"/>
              <w:ind w:right="2232"/>
              <w:spacing w:after="0"/>
              <w:rPr>
                <w:sz w:val="20"/>
                <w:szCs w:val="20"/>
                <w:color w:val="auto"/>
              </w:rPr>
            </w:pPr>
            <w:r>
              <w:rPr>
                <w:rFonts w:ascii="Arial" w:cs="Arial" w:eastAsia="Arial" w:hAnsi="Arial"/>
                <w:sz w:val="18"/>
                <w:szCs w:val="18"/>
                <w:b w:val="1"/>
                <w:bCs w:val="1"/>
                <w:color w:val="auto"/>
              </w:rPr>
              <w:t>41-0771293</w:t>
            </w:r>
          </w:p>
        </w:tc>
      </w:tr>
      <w:tr>
        <w:trPr>
          <w:trHeight w:val="202"/>
        </w:trPr>
        <w:tc>
          <w:tcPr>
            <w:tcW w:w="5660" w:type="dxa"/>
            <w:vAlign w:val="bottom"/>
          </w:tcPr>
          <w:p>
            <w:pPr>
              <w:jc w:val="center"/>
              <w:spacing w:after="0" w:line="202" w:lineRule="exact"/>
              <w:rPr>
                <w:sz w:val="20"/>
                <w:szCs w:val="20"/>
                <w:color w:val="auto"/>
              </w:rPr>
            </w:pPr>
            <w:r>
              <w:rPr>
                <w:rFonts w:ascii="Arial" w:cs="Arial" w:eastAsia="Arial" w:hAnsi="Arial"/>
                <w:sz w:val="18"/>
                <w:szCs w:val="18"/>
                <w:color w:val="auto"/>
                <w:w w:val="90"/>
              </w:rPr>
              <w:t>(State or other jurisdiction of</w:t>
            </w:r>
          </w:p>
        </w:tc>
        <w:tc>
          <w:tcPr>
            <w:tcW w:w="5760" w:type="dxa"/>
            <w:vAlign w:val="bottom"/>
          </w:tcPr>
          <w:p>
            <w:pPr>
              <w:jc w:val="center"/>
              <w:ind w:left="212"/>
              <w:spacing w:after="0" w:line="202" w:lineRule="exact"/>
              <w:rPr>
                <w:sz w:val="20"/>
                <w:szCs w:val="20"/>
                <w:color w:val="auto"/>
              </w:rPr>
            </w:pPr>
            <w:r>
              <w:rPr>
                <w:rFonts w:ascii="Arial" w:cs="Arial" w:eastAsia="Arial" w:hAnsi="Arial"/>
                <w:sz w:val="18"/>
                <w:szCs w:val="18"/>
                <w:color w:val="auto"/>
                <w:w w:val="91"/>
              </w:rPr>
              <w:t>(I.R.S. Employer Identification No.)</w:t>
            </w:r>
          </w:p>
        </w:tc>
      </w:tr>
      <w:tr>
        <w:trPr>
          <w:trHeight w:val="222"/>
        </w:trPr>
        <w:tc>
          <w:tcPr>
            <w:tcW w:w="566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5760" w:type="dxa"/>
            <w:vAlign w:val="bottom"/>
          </w:tcPr>
          <w:p>
            <w:pPr>
              <w:spacing w:after="0"/>
              <w:rPr>
                <w:sz w:val="19"/>
                <w:szCs w:val="19"/>
                <w:color w:val="auto"/>
              </w:rPr>
            </w:pP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99" w:lineRule="exact"/>
        <w:rPr>
          <w:sz w:val="24"/>
          <w:szCs w:val="24"/>
          <w:color w:val="auto"/>
        </w:rPr>
      </w:pPr>
    </w:p>
    <w:p>
      <w:pPr>
        <w:spacing w:after="0" w:line="207" w:lineRule="exact"/>
        <w:tabs>
          <w:tab w:leader="none" w:pos="2060" w:val="left"/>
          <w:tab w:leader="none" w:pos="3700" w:val="left"/>
          <w:tab w:leader="none" w:pos="57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620"/>
        <w:spacing w:after="0" w:line="207" w:lineRule="exact"/>
        <w:tabs>
          <w:tab w:leader="none" w:pos="13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w:t>
            </w:r>
          </w:p>
        </w:tc>
        <w:tc>
          <w:tcPr>
            <w:tcW w:w="568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91"/>
              </w:rPr>
              <w:t>OUTSTANDING AT OCTOBER 25, 2011</w:t>
            </w:r>
          </w:p>
        </w:tc>
      </w:tr>
      <w:tr>
        <w:trPr>
          <w:trHeight w:val="217"/>
        </w:trPr>
        <w:tc>
          <w:tcPr>
            <w:tcW w:w="5740" w:type="dxa"/>
            <w:vAlign w:val="bottom"/>
          </w:tcPr>
          <w:p>
            <w:pPr>
              <w:jc w:val="center"/>
              <w:spacing w:after="0"/>
              <w:rPr>
                <w:sz w:val="20"/>
                <w:szCs w:val="20"/>
                <w:color w:val="auto"/>
              </w:rPr>
            </w:pPr>
            <w:r>
              <w:rPr>
                <w:rFonts w:ascii="Arial" w:cs="Arial" w:eastAsia="Arial" w:hAnsi="Arial"/>
                <w:sz w:val="18"/>
                <w:szCs w:val="18"/>
                <w:color w:val="auto"/>
                <w:w w:val="87"/>
              </w:rPr>
              <w:t>Common Stock, par value $.05 per share</w:t>
            </w:r>
          </w:p>
        </w:tc>
        <w:tc>
          <w:tcPr>
            <w:tcW w:w="5680" w:type="dxa"/>
            <w:vAlign w:val="bottom"/>
          </w:tcPr>
          <w:p>
            <w:pPr>
              <w:jc w:val="right"/>
              <w:ind w:right="2252"/>
              <w:spacing w:after="0"/>
              <w:rPr>
                <w:sz w:val="20"/>
                <w:szCs w:val="20"/>
                <w:color w:val="auto"/>
              </w:rPr>
            </w:pPr>
            <w:r>
              <w:rPr>
                <w:rFonts w:ascii="Arial" w:cs="Arial" w:eastAsia="Arial" w:hAnsi="Arial"/>
                <w:sz w:val="18"/>
                <w:szCs w:val="18"/>
                <w:color w:val="auto"/>
              </w:rPr>
              <w:t>10,382,388</w:t>
            </w:r>
          </w:p>
        </w:tc>
      </w:tr>
      <w:tr>
        <w:trPr>
          <w:trHeight w:val="304"/>
        </w:trPr>
        <w:tc>
          <w:tcPr>
            <w:tcW w:w="57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r>
      <w:tr>
        <w:trPr>
          <w:trHeight w:val="68"/>
        </w:trPr>
        <w:tc>
          <w:tcPr>
            <w:tcW w:w="574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1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040" w:type="dxa"/>
            <w:vAlign w:val="bottom"/>
          </w:tcPr>
          <w:p>
            <w:pPr>
              <w:ind w:left="6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9140" w:type="dxa"/>
            <w:vAlign w:val="bottom"/>
            <w:gridSpan w:val="8"/>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914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October 2, 2011 and April 3, 2011</w:t>
              </w:r>
            </w:hyperlink>
          </w:p>
        </w:tc>
        <w:tc>
          <w:tcPr>
            <w:tcW w:w="1040" w:type="dxa"/>
            <w:vAlign w:val="bottom"/>
          </w:tcPr>
          <w:p>
            <w:pPr>
              <w:jc w:val="center"/>
              <w:ind w:left="59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40" w:type="dxa"/>
            <w:vAlign w:val="bottom"/>
          </w:tcPr>
          <w:p>
            <w:pPr>
              <w:spacing w:after="0"/>
              <w:rPr>
                <w:sz w:val="24"/>
                <w:szCs w:val="24"/>
                <w:color w:val="auto"/>
              </w:rPr>
            </w:pPr>
          </w:p>
        </w:tc>
        <w:tc>
          <w:tcPr>
            <w:tcW w:w="8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 – Three and Six Months Ended October 2, 2011 and September 30, 2010</w:t>
              </w:r>
            </w:hyperlink>
          </w:p>
        </w:tc>
        <w:tc>
          <w:tcPr>
            <w:tcW w:w="660" w:type="dxa"/>
            <w:vAlign w:val="bottom"/>
          </w:tcPr>
          <w:p>
            <w:pPr>
              <w:spacing w:after="0"/>
              <w:rPr>
                <w:sz w:val="24"/>
                <w:szCs w:val="24"/>
                <w:color w:val="auto"/>
              </w:rPr>
            </w:pPr>
          </w:p>
        </w:tc>
        <w:tc>
          <w:tcPr>
            <w:tcW w:w="1040" w:type="dxa"/>
            <w:vAlign w:val="bottom"/>
          </w:tcPr>
          <w:p>
            <w:pPr>
              <w:jc w:val="center"/>
              <w:ind w:left="59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4"/>
                <w:szCs w:val="24"/>
                <w:color w:val="auto"/>
              </w:rPr>
            </w:pPr>
          </w:p>
        </w:tc>
        <w:tc>
          <w:tcPr>
            <w:tcW w:w="9140" w:type="dxa"/>
            <w:vAlign w:val="bottom"/>
            <w:gridSpan w:val="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 Six Months Ended October 2, 2011 and September 30, 2010</w:t>
              </w:r>
            </w:hyperlink>
          </w:p>
        </w:tc>
        <w:tc>
          <w:tcPr>
            <w:tcW w:w="1040" w:type="dxa"/>
            <w:vAlign w:val="bottom"/>
          </w:tcPr>
          <w:p>
            <w:pPr>
              <w:jc w:val="center"/>
              <w:ind w:left="59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1120" w:type="dxa"/>
            <w:vAlign w:val="bottom"/>
            <w:gridSpan w:val="2"/>
          </w:tcPr>
          <w:p>
            <w:pPr>
              <w:spacing w:after="0"/>
              <w:rPr>
                <w:sz w:val="24"/>
                <w:szCs w:val="24"/>
                <w:color w:val="auto"/>
              </w:rPr>
            </w:pPr>
          </w:p>
        </w:tc>
        <w:tc>
          <w:tcPr>
            <w:tcW w:w="1040" w:type="dxa"/>
            <w:vAlign w:val="bottom"/>
          </w:tcPr>
          <w:p>
            <w:pPr>
              <w:jc w:val="center"/>
              <w:ind w:left="59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Management’s Discussion and Analysis of Financial Condition and Results of Operations</w:t>
              </w:r>
            </w:hyperlink>
          </w:p>
        </w:tc>
        <w:tc>
          <w:tcPr>
            <w:tcW w:w="2840" w:type="dxa"/>
            <w:vAlign w:val="bottom"/>
            <w:gridSpan w:val="3"/>
          </w:tcPr>
          <w:p>
            <w:pPr>
              <w:spacing w:after="0"/>
              <w:rPr>
                <w:sz w:val="24"/>
                <w:szCs w:val="24"/>
                <w:color w:val="auto"/>
              </w:rPr>
            </w:pP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4940" w:type="dxa"/>
            <w:vAlign w:val="bottom"/>
            <w:gridSpan w:val="5"/>
          </w:tcPr>
          <w:p>
            <w:pPr>
              <w:spacing w:after="0"/>
              <w:rPr>
                <w:sz w:val="24"/>
                <w:szCs w:val="24"/>
                <w:color w:val="auto"/>
              </w:rPr>
            </w:pPr>
          </w:p>
        </w:tc>
        <w:tc>
          <w:tcPr>
            <w:tcW w:w="1040" w:type="dxa"/>
            <w:vAlign w:val="bottom"/>
          </w:tcPr>
          <w:p>
            <w:pPr>
              <w:jc w:val="center"/>
              <w:ind w:left="57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OTHER INFORMATION</w:t>
            </w:r>
          </w:p>
        </w:tc>
        <w:tc>
          <w:tcPr>
            <w:tcW w:w="6980" w:type="dxa"/>
            <w:vAlign w:val="bottom"/>
          </w:tcPr>
          <w:p>
            <w:pPr>
              <w:spacing w:after="0"/>
              <w:rPr>
                <w:sz w:val="19"/>
                <w:szCs w:val="19"/>
                <w:color w:val="auto"/>
              </w:rPr>
            </w:pPr>
          </w:p>
        </w:tc>
      </w:tr>
      <w:tr>
        <w:trPr>
          <w:trHeight w:val="353"/>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Legal Proceedings</w:t>
              </w:r>
            </w:hyperlink>
          </w:p>
        </w:tc>
        <w:tc>
          <w:tcPr>
            <w:tcW w:w="190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372"/>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Risk Factors</w:t>
              </w:r>
            </w:hyperlink>
          </w:p>
        </w:tc>
        <w:tc>
          <w:tcPr>
            <w:tcW w:w="2320" w:type="dxa"/>
            <w:vAlign w:val="bottom"/>
            <w:gridSpan w:val="2"/>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17</w:t>
            </w:r>
          </w:p>
        </w:tc>
      </w:tr>
      <w:tr>
        <w:trPr>
          <w:trHeight w:val="372"/>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3200" w:type="dxa"/>
            <w:vAlign w:val="bottom"/>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372"/>
        </w:trPr>
        <w:tc>
          <w:tcPr>
            <w:tcW w:w="124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18</w:t>
            </w: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372"/>
        </w:trPr>
        <w:tc>
          <w:tcPr>
            <w:tcW w:w="124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80" w:type="dxa"/>
            <w:vAlign w:val="bottom"/>
          </w:tcPr>
          <w:p>
            <w:pPr>
              <w:jc w:val="right"/>
              <w:ind w:right="9"/>
              <w:spacing w:after="0"/>
              <w:rPr>
                <w:sz w:val="20"/>
                <w:szCs w:val="20"/>
                <w:color w:val="auto"/>
              </w:rPr>
            </w:pPr>
            <w:r>
              <w:rPr>
                <w:rFonts w:ascii="Arial" w:cs="Arial" w:eastAsia="Arial" w:hAnsi="Arial"/>
                <w:sz w:val="18"/>
                <w:szCs w:val="18"/>
                <w:color w:val="auto"/>
              </w:rPr>
              <w:t>19</w:t>
            </w:r>
          </w:p>
        </w:tc>
      </w:tr>
      <w:tr>
        <w:trPr>
          <w:trHeight w:val="422"/>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80" w:type="dxa"/>
            <w:vAlign w:val="bottom"/>
          </w:tcPr>
          <w:p>
            <w:pPr>
              <w:jc w:val="right"/>
              <w:ind w:right="5569"/>
              <w:spacing w:after="0"/>
              <w:rPr>
                <w:sz w:val="20"/>
                <w:szCs w:val="20"/>
                <w:color w:val="auto"/>
              </w:rPr>
            </w:pPr>
            <w:r>
              <w:rPr>
                <w:rFonts w:ascii="Arial" w:cs="Arial" w:eastAsia="Arial" w:hAnsi="Arial"/>
                <w:sz w:val="22"/>
                <w:szCs w:val="22"/>
                <w:color w:val="auto"/>
              </w:rPr>
              <w:t>2</w:t>
            </w:r>
          </w:p>
        </w:tc>
      </w:tr>
      <w:tr>
        <w:trPr>
          <w:trHeight w:val="71"/>
        </w:trPr>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6980" w:type="dxa"/>
            <w:vAlign w:val="bottom"/>
            <w:tcBorders>
              <w:bottom w:val="single" w:sz="8" w:color="auto"/>
            </w:tcBorders>
          </w:tcPr>
          <w:p>
            <w:pPr>
              <w:spacing w:after="0"/>
              <w:rPr>
                <w:sz w:val="6"/>
                <w:szCs w:val="6"/>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84"/>
              </w:rPr>
              <w:t>October 2, 2011</w:t>
            </w:r>
          </w:p>
        </w:tc>
        <w:tc>
          <w:tcPr>
            <w:tcW w:w="220" w:type="dxa"/>
            <w:vAlign w:val="bottom"/>
          </w:tcPr>
          <w:p>
            <w:pPr>
              <w:spacing w:after="0"/>
              <w:rPr>
                <w:sz w:val="15"/>
                <w:szCs w:val="15"/>
                <w:color w:val="auto"/>
              </w:rPr>
            </w:pPr>
          </w:p>
        </w:tc>
        <w:tc>
          <w:tcPr>
            <w:tcW w:w="10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April 3, 2011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89"/>
              </w:rPr>
              <w:t>(Unaudited)</w:t>
            </w:r>
          </w:p>
        </w:tc>
        <w:tc>
          <w:tcPr>
            <w:tcW w:w="220" w:type="dxa"/>
            <w:vAlign w:val="bottom"/>
          </w:tcPr>
          <w:p>
            <w:pPr>
              <w:spacing w:after="0"/>
              <w:rPr>
                <w:sz w:val="18"/>
                <w:szCs w:val="18"/>
                <w:color w:val="auto"/>
              </w:rPr>
            </w:pPr>
          </w:p>
        </w:tc>
        <w:tc>
          <w:tcPr>
            <w:tcW w:w="9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(Audited*)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 - less allowance for doubtful accounts: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$401 as of October 2, 2011 and $406 as of April 3, 2011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35,736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104,248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6,231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4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190,888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185,005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Container deposits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accruals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39,471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7,876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Common stock, par value $0.05; 10,331,280 shares issued and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w w:val="91"/>
              </w:rPr>
              <w:t>outstanding as of October 2, 2011 and 10,307,177 shares issued and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outstanding as of April 3, 2011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95,013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147,688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136,443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190,888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185,005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Derived from audited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
              <w:spacing w:after="0" w:line="197" w:lineRule="exact"/>
              <w:rPr>
                <w:sz w:val="20"/>
                <w:szCs w:val="20"/>
                <w:color w:val="auto"/>
              </w:rPr>
            </w:pPr>
            <w:r>
              <w:rPr>
                <w:rFonts w:ascii="Arial" w:cs="Arial" w:eastAsia="Arial" w:hAnsi="Arial"/>
                <w:sz w:val="18"/>
                <w:szCs w:val="18"/>
                <w:b w:val="1"/>
                <w:bCs w:val="1"/>
                <w:color w:val="auto"/>
                <w:w w:val="85"/>
              </w:rPr>
              <w:t>October 2,</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86"/>
              </w:rPr>
              <w:t>September 30,</w:t>
            </w: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
              <w:spacing w:after="0" w:line="197" w:lineRule="exact"/>
              <w:rPr>
                <w:sz w:val="20"/>
                <w:szCs w:val="20"/>
                <w:color w:val="auto"/>
              </w:rPr>
            </w:pPr>
            <w:r>
              <w:rPr>
                <w:rFonts w:ascii="Arial" w:cs="Arial" w:eastAsia="Arial" w:hAnsi="Arial"/>
                <w:sz w:val="18"/>
                <w:szCs w:val="18"/>
                <w:b w:val="1"/>
                <w:bCs w:val="1"/>
                <w:color w:val="auto"/>
                <w:w w:val="85"/>
              </w:rPr>
              <w:t>October 2,</w:t>
            </w: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86"/>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0" w:type="dxa"/>
            <w:vAlign w:val="bottom"/>
            <w:vMerge w:val="restart"/>
          </w:tcPr>
          <w:p>
            <w:pPr>
              <w:spacing w:after="0"/>
              <w:rPr>
                <w:sz w:val="7"/>
                <w:szCs w:val="7"/>
                <w:color w:val="auto"/>
              </w:rPr>
            </w:pPr>
          </w:p>
        </w:tc>
        <w:tc>
          <w:tcPr>
            <w:tcW w:w="47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87,870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70,398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176,464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(69,120)</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(52,656)</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(139,787)</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36,677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(15,701)</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21,069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6,717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6,832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13,628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outstanding-basic</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10,322,768</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8"/>
              </w:rPr>
              <w:t>10,257,175</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10,314,973</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10,255,297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10,365,372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10,332,764</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10,362,847</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10,321,355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8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0.32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40" w:type="dxa"/>
            <w:vAlign w:val="bottom"/>
          </w:tcPr>
          <w:p>
            <w:pPr>
              <w:jc w:val="right"/>
              <w:ind w:right="289"/>
              <w:spacing w:after="0"/>
              <w:rPr>
                <w:sz w:val="20"/>
                <w:szCs w:val="20"/>
                <w:color w:val="auto"/>
              </w:rPr>
            </w:pPr>
            <w:r>
              <w:rPr>
                <w:rFonts w:ascii="Arial" w:cs="Arial" w:eastAsia="Arial" w:hAnsi="Arial"/>
                <w:sz w:val="22"/>
                <w:szCs w:val="22"/>
                <w:color w:val="auto"/>
              </w:rPr>
              <w:t>4</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7"/>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94"/>
              </w:rPr>
              <w:t>October 2,</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86"/>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13,628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14,169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to cash flows: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4,099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(gain) from property disposals</w:t>
            </w:r>
          </w:p>
        </w:tc>
        <w:tc>
          <w:tcPr>
            <w:tcW w:w="2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accounts (using) providing cash:</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3,609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12,258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9,880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11,445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Vertex</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Proceeds from property disposals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9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24"/>
                <w:szCs w:val="24"/>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4,774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16,327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18,940</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79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23,714</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35,099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4,728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Capital expenditures in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459" w:right="1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April 3, 2011,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financial statements in our Annual Report on Form 10-K for the fiscal year ended April 3, 2011 (“fiscal 2011”) filed with the SEC on June 9,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the current fiscal year ending April 1, 2012 (“fiscal 2012”), we changed our quarterly reporting to a 13 week convention.</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results of operations for the period ended October 2, 2011 are not necessarily indicative of the results that may be expected for the full year. During the fourth quarter of fiscal 2011 we acquired substantially all of the assets of Vertex Chemical Corporation, Novel Wash Co. Inc. and R.H.A. Corporation, (collectively, “Vertex”). Vertex’s results are incorporated in the consolidated financial statements from the date of acquisition. See Note 11 – Business Combinations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75"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500" w:type="dxa"/>
            <w:vAlign w:val="bottom"/>
            <w:gridSpan w:val="4"/>
          </w:tcPr>
          <w:p>
            <w:pPr>
              <w:ind w:left="54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550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October 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6"/>
              </w:rPr>
              <w:t>September 30,</w:t>
            </w:r>
          </w:p>
        </w:tc>
        <w:tc>
          <w:tcPr>
            <w:tcW w:w="20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October 2,</w:t>
            </w:r>
          </w:p>
        </w:tc>
        <w:tc>
          <w:tcPr>
            <w:tcW w:w="2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September 30,</w:t>
            </w:r>
          </w:p>
        </w:tc>
      </w:tr>
      <w:tr>
        <w:trPr>
          <w:trHeight w:val="229"/>
        </w:trPr>
        <w:tc>
          <w:tcPr>
            <w:tcW w:w="550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2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3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130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1"/>
        </w:trPr>
        <w:tc>
          <w:tcPr>
            <w:tcW w:w="5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Weighted-average common shares outstanding – basic</w:t>
            </w:r>
          </w:p>
        </w:tc>
        <w:tc>
          <w:tcPr>
            <w:tcW w:w="1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10,322,768</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10,257,175</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10,314,973</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w w:val="96"/>
              </w:rPr>
              <w:t>Dilutive impact of stock options, performance units, and restricted stock</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42,604</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75,589</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47,874</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66,058</w:t>
            </w:r>
          </w:p>
        </w:tc>
        <w:tc>
          <w:tcPr>
            <w:tcW w:w="100" w:type="dxa"/>
            <w:vAlign w:val="bottom"/>
          </w:tcPr>
          <w:p>
            <w:pPr>
              <w:spacing w:after="0"/>
              <w:rPr>
                <w:sz w:val="19"/>
                <w:szCs w:val="19"/>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10,365,372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10,332,764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10,362,847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10,321,355</w:t>
            </w:r>
          </w:p>
        </w:tc>
        <w:tc>
          <w:tcPr>
            <w:tcW w:w="10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For the periods ended October 2, 2011 and September 30, 2010, there were no shares or stock options excluded from the calculation of weighted-average common shares for diluted EPS.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provides for annual payments based on a percentage of gross profit on future sales up to a maximum of approximately $3.7 million. We have no significant remaining obligations to fulfill under the agreement. To date we have received $2.2 million under this agreement and have recorded gains of approximately $0.9 million before taxes in fiscal 2012. The results of the Pharmaceutical segment have been reported as discontinued operations for all periods presented.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380" w:type="dxa"/>
            <w:vAlign w:val="bottom"/>
            <w:gridSpan w:val="3"/>
          </w:tcPr>
          <w:p>
            <w:pPr>
              <w:ind w:left="120"/>
              <w:spacing w:after="0"/>
              <w:rPr>
                <w:sz w:val="20"/>
                <w:szCs w:val="20"/>
                <w:color w:val="auto"/>
              </w:rPr>
            </w:pPr>
            <w:r>
              <w:rPr>
                <w:rFonts w:ascii="Arial" w:cs="Arial" w:eastAsia="Arial" w:hAnsi="Arial"/>
                <w:sz w:val="18"/>
                <w:szCs w:val="18"/>
                <w:b w:val="1"/>
                <w:bCs w:val="1"/>
                <w:color w:val="auto"/>
              </w:rPr>
              <w:t>October 2,</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35"/>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198"/>
        </w:trPr>
        <w:tc>
          <w:tcPr>
            <w:tcW w:w="378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23,193</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23,193</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15,369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3,</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35"/>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r>
      <w:tr>
        <w:trPr>
          <w:trHeight w:val="198"/>
        </w:trPr>
        <w:tc>
          <w:tcPr>
            <w:tcW w:w="378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18,485</w:t>
            </w:r>
          </w:p>
        </w:tc>
        <w:tc>
          <w:tcPr>
            <w:tcW w:w="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18,485</w:t>
            </w:r>
          </w:p>
        </w:tc>
        <w:tc>
          <w:tcPr>
            <w:tcW w:w="3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Consolidated Balance Sheets. As of October 2, 2011, the CD’s in current assets have a fair value of $9.3 million, and in noncurrent assets, the CD’s have a fair value of $6.1 million.</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October 2,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October 2, 2011 and April 3, 2011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October 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April 3,</w:t>
            </w:r>
          </w:p>
        </w:tc>
        <w:tc>
          <w:tcPr>
            <w:tcW w:w="0" w:type="dxa"/>
            <w:vAlign w:val="bottom"/>
          </w:tcPr>
          <w:p>
            <w:pPr>
              <w:spacing w:after="0"/>
              <w:rPr>
                <w:sz w:val="1"/>
                <w:szCs w:val="1"/>
                <w:color w:val="auto"/>
              </w:rPr>
            </w:pPr>
          </w:p>
        </w:tc>
      </w:tr>
      <w:tr>
        <w:trPr>
          <w:trHeight w:val="229"/>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2011</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40,458</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LIFO reserve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(6,257)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34,201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$34.4 million at October 2, 2011 and $28.6 million at April 3, 2011. The remainder of the inventory was valued and accounted for under the FIFO method.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LIFO reserve increased $0.1 million during the three months ended October 2, 2011 compared to a decrease of $0.1 million the three months ended September 30, 2010. During the six months ended October 2, 2011, the LIFO reserve increased $0.4 million while the reserve increased $0.7 million in the six months ended September 30, 2010 as a result of the changes in inventory costs and inventory product mix. The valuation of LIFO inventory for interim periods is based on our estimates of year-end inventory levels and costs.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October 2, 2011 was $6.5 million and at April 3, 2011 was $6.2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$0.3 million increase in goodwill relates to the finalization of the determination of the fair value of inventory acquired as part of the acquisition of Vertex.</w:t>
      </w:r>
    </w:p>
    <w:p>
      <w:pPr>
        <w:spacing w:after="0" w:line="19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October 2, 2011 and April 3, 2011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89"/>
              </w:rPr>
              <w:t>October 2, 2011</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4"/>
              </w:rPr>
              <w:t>Gross 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88"/>
              </w:rPr>
              <w:t>Accumulated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Amortization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5,508</w:t>
            </w:r>
          </w:p>
        </w:tc>
        <w:tc>
          <w:tcPr>
            <w:tcW w:w="380" w:type="dxa"/>
            <w:vAlign w:val="bottom"/>
            <w:gridSpan w:val="3"/>
          </w:tcPr>
          <w:p>
            <w:pPr>
              <w:ind w:left="2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Trade secrets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Carrier relationships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Other finite-life intangible assets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9,976</w:t>
            </w: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April 3, 2011</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2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w w:val="92"/>
              </w:rPr>
              <w:t>Gross 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Accumulated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5,508</w:t>
            </w:r>
          </w:p>
        </w:tc>
        <w:tc>
          <w:tcPr>
            <w:tcW w:w="220" w:type="dxa"/>
            <w:vAlign w:val="bottom"/>
          </w:tcPr>
          <w:p>
            <w:pPr>
              <w:spacing w:after="0"/>
              <w:rPr>
                <w:sz w:val="18"/>
                <w:szCs w:val="18"/>
                <w:color w:val="auto"/>
              </w:rPr>
            </w:pPr>
          </w:p>
        </w:tc>
        <w:tc>
          <w:tcPr>
            <w:tcW w:w="38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Trademark</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Trade secrets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Carrier relationships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420"/>
              <w:spacing w:after="0"/>
              <w:rPr>
                <w:sz w:val="20"/>
                <w:szCs w:val="20"/>
                <w:color w:val="auto"/>
              </w:rPr>
            </w:pPr>
            <w:r>
              <w:rPr>
                <w:rFonts w:ascii="Arial" w:cs="Arial" w:eastAsia="Arial" w:hAnsi="Arial"/>
                <w:sz w:val="18"/>
                <w:szCs w:val="18"/>
                <w:color w:val="auto"/>
              </w:rPr>
              <w:t>Other finite-life intangible assets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2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2"/>
              </w:rPr>
              <w:t>October 2,</w:t>
            </w:r>
          </w:p>
        </w:tc>
        <w:tc>
          <w:tcPr>
            <w:tcW w:w="460" w:type="dxa"/>
            <w:vAlign w:val="bottom"/>
          </w:tcPr>
          <w:p>
            <w:pPr>
              <w:spacing w:after="0"/>
              <w:rPr>
                <w:sz w:val="18"/>
                <w:szCs w:val="18"/>
                <w:color w:val="auto"/>
              </w:rPr>
            </w:pP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April 3,</w:t>
            </w: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9"/>
              </w:rPr>
              <w:t>2011</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8"/>
                <w:szCs w:val="18"/>
                <w:color w:val="auto"/>
              </w:rPr>
              <w:t>Available-for-sale investments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Post-retirement plan liability adjustments</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 Based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six months ended October 2, 2011: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80" w:type="dxa"/>
            <w:vAlign w:val="bottom"/>
          </w:tcPr>
          <w:p>
            <w:pPr>
              <w:spacing w:after="0"/>
              <w:rPr>
                <w:sz w:val="19"/>
                <w:szCs w:val="19"/>
                <w:color w:val="auto"/>
              </w:rPr>
            </w:pPr>
          </w:p>
        </w:tc>
        <w:tc>
          <w:tcPr>
            <w:tcW w:w="15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8"/>
              </w:rPr>
              <w:t>Outstanding</w:t>
            </w:r>
          </w:p>
        </w:tc>
        <w:tc>
          <w:tcPr>
            <w:tcW w:w="6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83"/>
              </w:rPr>
              <w:t>Exercisable</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3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gridSpan w:val="2"/>
          </w:tcPr>
          <w:p>
            <w:pPr>
              <w:jc w:val="right"/>
              <w:spacing w:after="0" w:line="197" w:lineRule="exact"/>
              <w:rPr>
                <w:sz w:val="20"/>
                <w:szCs w:val="20"/>
                <w:color w:val="auto"/>
              </w:rPr>
            </w:pPr>
            <w:r>
              <w:rPr>
                <w:rFonts w:ascii="Arial" w:cs="Arial" w:eastAsia="Arial" w:hAnsi="Arial"/>
                <w:sz w:val="18"/>
                <w:szCs w:val="18"/>
                <w:b w:val="1"/>
                <w:bCs w:val="1"/>
                <w:color w:val="auto"/>
                <w:w w:val="87"/>
              </w:rPr>
              <w:t>Weighted-</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center"/>
              <w:spacing w:after="0" w:line="197"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r>
      <w:tr>
        <w:trPr>
          <w:trHeight w:val="216"/>
        </w:trPr>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5"/>
              </w:rPr>
              <w:t>Average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Exercise</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w:t>
            </w:r>
          </w:p>
        </w:tc>
      </w:tr>
      <w:tr>
        <w:trPr>
          <w:trHeight w:val="228"/>
        </w:trPr>
        <w:tc>
          <w:tcPr>
            <w:tcW w:w="378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6"/>
              </w:rPr>
              <w:t>Price</w:t>
            </w:r>
          </w:p>
        </w:tc>
        <w:tc>
          <w:tcPr>
            <w:tcW w:w="44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Price</w:t>
            </w:r>
          </w:p>
        </w:tc>
      </w:tr>
      <w:tr>
        <w:trPr>
          <w:trHeight w:val="212"/>
        </w:trPr>
        <w:tc>
          <w:tcPr>
            <w:tcW w:w="37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9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131,997</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66,666</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27,999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(9,333)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15.43</w:t>
            </w:r>
          </w:p>
        </w:tc>
        <w:tc>
          <w:tcPr>
            <w:tcW w:w="1300" w:type="dxa"/>
            <w:vAlign w:val="bottom"/>
            <w:gridSpan w:val="2"/>
          </w:tcPr>
          <w:p>
            <w:pPr>
              <w:jc w:val="right"/>
              <w:ind w:right="12"/>
              <w:spacing w:after="0"/>
              <w:rPr>
                <w:sz w:val="20"/>
                <w:szCs w:val="20"/>
                <w:color w:val="auto"/>
              </w:rPr>
            </w:pPr>
            <w:r>
              <w:rPr>
                <w:rFonts w:ascii="Arial" w:cs="Arial" w:eastAsia="Arial" w:hAnsi="Arial"/>
                <w:sz w:val="18"/>
                <w:szCs w:val="18"/>
                <w:color w:val="auto"/>
              </w:rPr>
              <w:t>(9,333)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122,664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18.00</w:t>
            </w:r>
          </w:p>
        </w:tc>
        <w:tc>
          <w:tcPr>
            <w:tcW w:w="1300" w:type="dxa"/>
            <w:vAlign w:val="bottom"/>
            <w:gridSpan w:val="2"/>
          </w:tcPr>
          <w:p>
            <w:pPr>
              <w:jc w:val="right"/>
              <w:ind w:right="52"/>
              <w:spacing w:after="0"/>
              <w:rPr>
                <w:sz w:val="20"/>
                <w:szCs w:val="20"/>
                <w:color w:val="auto"/>
              </w:rPr>
            </w:pPr>
            <w:r>
              <w:rPr>
                <w:rFonts w:ascii="Arial" w:cs="Arial" w:eastAsia="Arial" w:hAnsi="Arial"/>
                <w:sz w:val="18"/>
                <w:szCs w:val="18"/>
                <w:color w:val="auto"/>
              </w:rPr>
              <w:t>85,332</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and six months ended October 2, 2011 and September 30, 2010 related to stock options was not material.</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approved a performance-based equity compensation arrangement for our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45,081 shares in the aggregate for fiscal 2012.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June 8, 2011 and June 2, 2010, we awarded performance-based restricted stock units to our executive officers under this arrangement. The following table represents the restricted stock activity for the six months ended October 2,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Weighted-</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Average Grant</w:t>
            </w: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640" w:type="dxa"/>
            <w:vAlign w:val="bottom"/>
          </w:tcPr>
          <w:p>
            <w:pPr>
              <w:spacing w:after="0"/>
              <w:rPr>
                <w:sz w:val="19"/>
                <w:szCs w:val="19"/>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Date Fair Value</w:t>
            </w:r>
          </w:p>
        </w:tc>
      </w:tr>
      <w:tr>
        <w:trPr>
          <w:trHeight w:val="212"/>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11,667</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33,321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Forfeited or expired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32.91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recorded compensation expense of $0.2 million and $0.4 million related to performance share units for the three and six months ended October 2, 2011, respectively. We recorded compensation expense of $0.3 million and $0.5 million related to performance share units for the three and six months ended September 30, 2010, respectively. Substantially all of the compensation expense was recorded in Selling, general and administrative expenses in the Condensed Consolidated Statements of Income.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restricted stock for their Board services. The restricted stock awards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the six months ended October 2, 2011: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Average Grant</w:t>
            </w:r>
          </w:p>
        </w:tc>
      </w:tr>
      <w:tr>
        <w:trPr>
          <w:trHeight w:val="228"/>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19"/>
                <w:szCs w:val="19"/>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Date Fair Value</w:t>
            </w:r>
          </w:p>
        </w:tc>
      </w:tr>
      <w:tr>
        <w:trPr>
          <w:trHeight w:val="212"/>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at beginning of period</w:t>
            </w:r>
          </w:p>
        </w:tc>
        <w:tc>
          <w:tcPr>
            <w:tcW w:w="8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6,996</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6,120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6,120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Compensation expense for the quarter ended October 2, 2011 and September 30, 2010 related to restricted stock awards to the Board was 0.1 million. We recorded $0.3 million in compensation expense related to restricted stock awards to the Board for the six month period ended October 2, 2011 and $0.1 million for the six month period ended September 30,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Litigation</w:t>
      </w:r>
      <w:r>
        <w:rPr>
          <w:rFonts w:ascii="Arial" w:cs="Arial" w:eastAsia="Arial" w:hAnsi="Arial"/>
          <w:sz w:val="16"/>
          <w:szCs w:val="16"/>
          <w:b w:val="1"/>
          <w:bCs w:val="1"/>
          <w:color w:val="auto"/>
        </w:rPr>
        <w:t>—</w:t>
      </w:r>
      <w:r>
        <w:rPr>
          <w:rFonts w:ascii="Arial" w:cs="Arial" w:eastAsia="Arial" w:hAnsi="Arial"/>
          <w:sz w:val="16"/>
          <w:szCs w:val="16"/>
          <w:color w:val="auto"/>
        </w:rPr>
        <w:t>On November 3, 2009, ICL Performance Products, LP (“ICL”), a chemical supplier to us, filed a lawsuit in the United States District Court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No trial date has been set. We are not able to predict the ultimate outcome of this litigation, but it may be costly and disruptive. Lawsuits such as this can result in substantial costs and divert our management’s attention and resources, which may have a material adverse effect on our business and results of operations, including cash flows.</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Business Combinations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2011, we completed the acquisition of the assets of Vertex for $27.2 million, $25.5 million paid at closing and the remaining $1.7 million paid during the first quarter of fiscal 2012. We acquired substantially all of the assets used in Vertex’s business, which is primarily the manufacture and distribution of sodium hypochlorite and the distribution of caustic soda, hydrochloric acid and related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Vertex operating results are included in our Condensed Consolidated Statements of Income in our Industrial segment from the date of acquisition.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unaudited pro forma condensed consolidated financial results of operations are presented as if the Vertex acquisition had been completed at the beginning of the each period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60" w:type="dxa"/>
            <w:vAlign w:val="bottom"/>
            <w:tcBorders>
              <w:top w:val="single" w:sz="8" w:color="auto"/>
            </w:tcBorders>
            <w:gridSpan w:val="3"/>
          </w:tcPr>
          <w:p>
            <w:pPr>
              <w:ind w:left="100"/>
              <w:spacing w:after="0" w:line="197" w:lineRule="exact"/>
              <w:rPr>
                <w:sz w:val="20"/>
                <w:szCs w:val="20"/>
                <w:color w:val="auto"/>
              </w:rPr>
            </w:pPr>
            <w:r>
              <w:rPr>
                <w:rFonts w:ascii="Arial" w:cs="Arial" w:eastAsia="Arial" w:hAnsi="Arial"/>
                <w:sz w:val="18"/>
                <w:szCs w:val="18"/>
                <w:b w:val="1"/>
                <w:bCs w:val="1"/>
                <w:color w:val="auto"/>
              </w:rPr>
              <w:t>October 2,</w:t>
            </w:r>
          </w:p>
        </w:tc>
        <w:tc>
          <w:tcPr>
            <w:tcW w:w="108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84"/>
              </w:rPr>
              <w:t>September 30,</w:t>
            </w:r>
          </w:p>
        </w:tc>
        <w:tc>
          <w:tcPr>
            <w:tcW w:w="240" w:type="dxa"/>
            <w:vAlign w:val="bottom"/>
          </w:tcPr>
          <w:p>
            <w:pPr>
              <w:spacing w:after="0"/>
              <w:rPr>
                <w:sz w:val="17"/>
                <w:szCs w:val="17"/>
                <w:color w:val="auto"/>
              </w:rPr>
            </w:pPr>
          </w:p>
        </w:tc>
        <w:tc>
          <w:tcPr>
            <w:tcW w:w="1260" w:type="dxa"/>
            <w:vAlign w:val="bottom"/>
            <w:tcBorders>
              <w:top w:val="single" w:sz="8" w:color="auto"/>
            </w:tcBorders>
            <w:gridSpan w:val="3"/>
          </w:tcPr>
          <w:p>
            <w:pPr>
              <w:ind w:left="100"/>
              <w:spacing w:after="0" w:line="197" w:lineRule="exact"/>
              <w:rPr>
                <w:sz w:val="20"/>
                <w:szCs w:val="20"/>
                <w:color w:val="auto"/>
              </w:rPr>
            </w:pPr>
            <w:r>
              <w:rPr>
                <w:rFonts w:ascii="Arial" w:cs="Arial" w:eastAsia="Arial" w:hAnsi="Arial"/>
                <w:sz w:val="18"/>
                <w:szCs w:val="18"/>
                <w:b w:val="1"/>
                <w:bCs w:val="1"/>
                <w:color w:val="auto"/>
              </w:rPr>
              <w:t>October 2,</w:t>
            </w:r>
          </w:p>
        </w:tc>
        <w:tc>
          <w:tcPr>
            <w:tcW w:w="1100" w:type="dxa"/>
            <w:vAlign w:val="bottom"/>
            <w:tcBorders>
              <w:top w:val="single" w:sz="8" w:color="auto"/>
            </w:tcBorders>
            <w:gridSpan w:val="2"/>
          </w:tcPr>
          <w:p>
            <w:pPr>
              <w:jc w:val="right"/>
              <w:spacing w:after="0" w:line="197" w:lineRule="exact"/>
              <w:rPr>
                <w:sz w:val="20"/>
                <w:szCs w:val="20"/>
                <w:color w:val="auto"/>
              </w:rPr>
            </w:pPr>
            <w:r>
              <w:rPr>
                <w:rFonts w:ascii="Arial" w:cs="Arial" w:eastAsia="Arial" w:hAnsi="Arial"/>
                <w:sz w:val="18"/>
                <w:szCs w:val="18"/>
                <w:b w:val="1"/>
                <w:bCs w:val="1"/>
                <w:color w:val="auto"/>
                <w:w w:val="86"/>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and per-share data)</w:t>
            </w:r>
          </w:p>
        </w:tc>
        <w:tc>
          <w:tcPr>
            <w:tcW w:w="12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Pro forma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87,870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81,412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164,591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 forma net earnings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7,335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2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10,322,768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10,257,175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10,314,973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10,255,297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10,365,372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10,332,764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10,362,847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w w:val="88"/>
              </w:rPr>
              <w:t>10,321,355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results for the three and six months ended October 2, 2011 shown in this table reflect actual condensed consolidated financial results for the period, while the results for the three and six months ended September 30, 2010 reflect pro forma condensed consolidated financial results. These unaudited financial results have been prepared for illustrative purposes only and do not purport to be indicative of the results of operations that actually would have resulted had the acquisition occurred on the first day of each fiscal period presented, or of future results of the consolidated entities. The unaudited pro forma condensed consolidated financial information does not reflect any operating efficiencies and cost savings that may be realized from the integration of the acquisition.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177"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2011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represents 10 percent or more of our revenue. Sales are primarily within the United States and all assets are located within the United States.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Water</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Reportable Segments</w:t>
            </w:r>
          </w:p>
        </w:tc>
        <w:tc>
          <w:tcPr>
            <w:tcW w:w="16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Industrial</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Treatment</w:t>
            </w:r>
          </w:p>
        </w:tc>
        <w:tc>
          <w:tcPr>
            <w:tcW w:w="20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52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October 2, 2011: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61,338</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26,532</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44,928</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25,470</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October 2, 2011: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124,905</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51,559</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176,464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9,549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September 30, 2010: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94,734</w:t>
            </w:r>
          </w:p>
        </w:tc>
        <w:tc>
          <w:tcPr>
            <w:tcW w:w="4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50,330</w:t>
            </w:r>
          </w:p>
        </w:tc>
        <w:tc>
          <w:tcPr>
            <w:tcW w:w="4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145,064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11,764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10,951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the three and six months ended October 2, 2011 as compared to September 30, 2010. This discussion should be read in conjunction with the Condensed Financial Statements and Notes to Condensed Financial Statements included in this Form 10-Q and Item 8 of our Annual Report on Form 10-K for the fiscal year ended April 3, 2011 (“fiscal 2011”). References to fiscal 2012 refer to the fiscal year ending April 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fourth quarter of fiscal 2011, we completed the acquisition of substantially all of the assets of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use the last in, first out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recorded a $0.1 million and $0.4 million increase in our LIFO reserve, which reduced our reported gross profit by those amounts, for the three and six months ended October 2, 2011, respectively. We have experienced rising commodity chemical costs and anticipate these higher material costs to continue for the remainder of fiscal 2012. We recorded a $0.1 million reduction in our LIFO reserve, which increased our gross profit by that amount, for the three months ended September 30, 2010 and recorded a $0.7 million increase in the LIFO reserve, which decreased our gross profit by that amount, for the six months ended September 30, 2010.</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8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6"/>
              </w:rPr>
              <w:t>Three months ended</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gridSpan w:val="3"/>
          </w:tcPr>
          <w:p>
            <w:pPr>
              <w:jc w:val="right"/>
              <w:ind w:right="192"/>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Oct 2</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3"/>
              </w:rPr>
              <w:t>Sept 30</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Oct 2</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3"/>
              </w:rPr>
              <w:t>Sept 30</w:t>
            </w:r>
          </w:p>
        </w:tc>
        <w:tc>
          <w:tcPr>
            <w:tcW w:w="2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9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4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9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Sales</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sales</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(78.7)</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Investment income</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Incoming from continuing operations</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7.6</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5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5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October 2, 2011 Compared to the Three Months Ended September 30, 2010 </w:t>
      </w:r>
      <w:r>
        <w:rPr>
          <w:rFonts w:ascii="Arial" w:cs="Arial" w:eastAsia="Arial" w:hAnsi="Arial"/>
          <w:sz w:val="18"/>
          <w:szCs w:val="18"/>
          <w:i w:val="1"/>
          <w:iCs w:val="1"/>
          <w:color w:val="auto"/>
        </w:rPr>
        <w:t>Sales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increased $17.5 million, or 24.9%, to $87.9 million in the three months ended October 2, 2011 as compared to $70.4 million in the three months ended September 30, 2010. Sales of bulk chemicals, including caustic soda, were approximately 21% of sales during the three months ended October 2, 2011 and September 30, 2010. Vertex, which we acquired during the fourth quarter of fiscal 2011, contributed $10.5 million of the increase in sales during the second quarter of fiscal 2012. We experienced increased sales across the majority of our product lines in the second quarter of fiscal 2012 as compared to the same period in fiscal 2011.</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$16.4 million, or 36.5%, to $61.3 million for the three months ended October 2, 2011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the prior year. Vertex contributed $10.5 million of the increase in sales during the second quarter of fiscal 2012. The remaining increase in sales was the result of higher selling prices across the majority of our product lines due to increased commodity chemical prices as well as higher manufactured and specialty chemical product sales volumes, partially offset by lower bulk chemical sales volumes.</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$1.0 million, or 3.9%, to $26.5 million for the three months ended October 2,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sales increase was primarily due to increased sales of manufactured and specialty chemical products partially offset by lower bulk chemical sales volumes. Unfavorable weather conditions negatively impacted the segment’s sales performance this quarter.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Gross profit was $18.8 million, or 21.3% of sales, for the three months ended October 2, 2011, as compared to $17.7 million, or 25.2% of sales, for the three months ended September 30, 2010. The LIFO method of valuing inventory decreased gross profit by $0.1 million for the three months ended October 2, 2011 whereas it increased gross profit by $0.1 million for the three months ended September 30, 2010.</w:t>
      </w:r>
    </w:p>
    <w:p>
      <w:pPr>
        <w:spacing w:after="0" w:line="140"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$10.9 million, or 17.7% of sales, for the three months ended October 2, 2011, as compared to $9.6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21.3% of sales, for the three months ended September 30, 2010. The increase in gross profit dollars resulted from the addition of the Vertex business to this segment, offset by pricing pressure. The LIFO method of valuing inventory decreased gross profit in this segment by $0.1 million for the three months ended October 2, 2011, while it had a minimal impact on gross profit for the three months ended September 30, 2010.</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$7.9 million, or 29.8% of sales, for the three months ended October 2,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$8.2 million, or 32.0% of sales, for the three months ended September 30, 2010. The decrease in gross profit was primarily due to competitive pricing pressures and unfavorable weather conditions. The LIFO method of valuing inventory had a minimal impact on gross profit in this segment for the three months ended October 2, 2011 while it increased gross profit by $0.1 million for the three months ended September 30,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Selling, general and administrative expenses were $7.8 million, or 8.9% of sales, for the three months ended October 2, 2011 as compared to $6.8 million, or 9.7% of sales, for the three months ended September 30, 2010. The increase was primarily due to the addition of expenses related to the Vertex business, which we acquired during the fourth quarter of fiscal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Operating income was $10.9 million for the three months ended both October 2, 2011 and September 30, 2010. The Industrial segment increased $0.4 million while the Water Treatment segment decreased $0.4 million.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not material during the three months ended October 2, 2011 and $0.1 million for the three months ended September 30,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effective income tax rate was 38.6% for the three months ended October 2, 2011, compared to 38.0% for the three months ended September 30, 2010. The effective tax rate is impacted by projected levels of taxable income, permanent items, and state taxes.</w:t>
      </w:r>
    </w:p>
    <w:p>
      <w:pPr>
        <w:spacing w:after="0" w:line="132" w:lineRule="exact"/>
        <w:rPr>
          <w:sz w:val="20"/>
          <w:szCs w:val="20"/>
          <w:color w:val="auto"/>
        </w:rPr>
      </w:pPr>
    </w:p>
    <w:p>
      <w:pPr>
        <w:ind w:right="470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October 2, 2011 Compared to the Six Months Ended September 30, 2010 </w:t>
      </w:r>
      <w:r>
        <w:rPr>
          <w:rFonts w:ascii="Arial" w:cs="Arial" w:eastAsia="Arial" w:hAnsi="Arial"/>
          <w:sz w:val="18"/>
          <w:szCs w:val="18"/>
          <w:i w:val="1"/>
          <w:iCs w:val="1"/>
          <w:color w:val="auto"/>
        </w:rPr>
        <w:t>Sales</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Sales increased $31.4 million, or 21.6%, to $176.5 million in the six months ended October 2, 2011 as compared to $145.1 million in the same period a year ago. Sales of bulk chemicals, including caustic soda, were approximately 21% of sales during the six months ended October 2, 2011 and 20% during the six months ended September 30, 2010. Vertex, which we acquired during the fourth quarter of fiscal 2011, contributed $21.6 million of the increase in sales during the six months ended October 2, 2011. We experienced increased sales across the majority of our product lines, which was partially offset by lower bulk chemical sales volumes in the six months ended October 2, 2011 as compared to the six months ended September 30, 2010.</w:t>
      </w:r>
    </w:p>
    <w:p>
      <w:pPr>
        <w:spacing w:after="0" w:line="1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$30.2 million, or 31.9%, to $124.9 million for the six months ended October 2, 2011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of the prior year. Vertex contributed $21.6 million of the increase in sales during the six months ended October 2, 2011. The remaining increase in sales was the result of higher selling prices across the majority of our product lines due to increased commodity chemical prices as well as higher manufactured and specialty chemical product sales volumes, partially offset by lower bulk chemical sales volumes.</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$1.3 million, or 2.6%, to $51.6 million for the six months ended October 2,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of the prior year. The sales increase was primarily due to increased sales of manufactured and specialty chemical products partially offset by lower bulk chemical sales volumes, with overall sales volumes negatively impacted by unfavorable weather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profit was $36.7 million, or 20.8% of sales, for the six months ended October 2, 2011, as compared to $36.2 million, or 24.9% of sales, for the six months ended September 30, 2010. The LIFO method of valuing inventory decreased gross profit by $0.4 million for the six months ended October 2, 2011, and decreased gross profit by $0.7 million for the six months ended September 30, 2010 due to projected increases in raw material costs in both fiscal years 2012 and 2011.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$21.6 million, or 17.3% of sales, for the six months ended October 2, 2011, as compared to $19.9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21.0% of sales, for the six months ended September 30, 2010. The increase in gross profit dollars resulted from the addition of the Vertex business to this segment, offset by pricing pressure. The LIFO method of valuing inventory decreased gross profit in this segment by $0.3 million for the six months ended October 2, 2011 and by $0.6 million for the six months ended September 30, 2010.</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$15.1 million, or 29.3% of sales, for the six months ended October 2, 2011,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$16.3 million, or 32.3% of sales, for the six months ended September 30, 2010. The decrease in gross profit was primarily due to competitive pricing pressures and lowered sales volumes because of unfavorable weather conditions. The LIFO method of valuing inventory decreased gross profit in this segment by $0.1 million for the six months ended October 2, 2011 and the six months ended September 30,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Selling, general and administrative expenses were $15.7 million, or 8.9% of sales, for the six months ended October 2, 2011 as compared to $13.5 million, or 9.3% of sales, for the three months ended September 30, 2010. The increase was primarily due to the addition of expenses related to the Vertex business, which we acquired during the fourth quarter of fiscal 2011.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Operating income was $21.0 million for the six months ended October 2, 2011, a decrease of $1.7 million from the same period in the prior year. The Industrial segment decreased $0.3 million and the Water Treatment segment decreased $1.4 million. The decrease in operating income was primarily driven by competitive pricing pressures in both segments and unfavorable weather conditions in the Water Treatment segment.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$0.1 million for the six months ended October 2, 2011 compared to $0.2 million for the six months ended September 30,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effective income tax rate was 38.0% for the six months ended October 2, 2011, compared to 38.2% for the six months ended September 30, 2010. The effective tax rate is impacted by projected levels of taxable income, permanent items, and state taxes.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Cash provided by operating activities for the six months ended October 2, 2011 was $12.3 million compared to $17.3 million for the six months ended September 30, 2010. The decrease in cash provided by operating activities was due primarily to an increase in working capital balances, including the timing of inventory purchases and the related vendor payments, an increase in trade receivables associated with the timing of customer payments, and the timing of income tax payments.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and investments available-for-sale of $39.1 million at October 2, 2011 increased by $1.7 million as compared with the $37.4 million available as of April 3, 2011, primarily due to cash flows generated from operations, offset by capital expenditures, dividends paid and $1.7 million disbursed for the acquisition of Vertex.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Capital expenditures were $6.2 million for the six months ended October 2, 2011 compared to $5.1 million in the same period in the prior fiscal year. Significant capital expenditures during the six months ended October 2, 2011 consisted of approximately $2.9 million for business expansion and process improvement projects, $1.1 million for other facility, regulatory and safety improvements and $0.5 million for new and replacement route sales trucks for the Water Treatment segment. We expect cash balances and our cash flows from operations will be sufficient to fund our planned capital expenditures for the remainder of fiscal 2012.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significant accounting policies are set forth in Note 1 to our financial statements in our Annual Report on Form 10-K for the fiscal year ended April 3,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used in preparing our interim fiscal 2011 financial statements are the same as those described in our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3, 2011.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At October 2, 2011, our investment portfolio included $15.4 million of certificates of deposit classified as fixed income securities and cash and cash equivalents of $23.7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Consequently, we would not expect to recognize an adverse impact on net income or cash flows during the holding period. We adjust the carrying value of our investments if impairment occurs that is other than temporary.</w:t>
      </w:r>
    </w:p>
    <w:p>
      <w:pPr>
        <w:spacing w:after="0" w:line="13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2012 that has materially affected, or is reasonably likely to materially affect, our internal control over financial reporting.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3, 2009, ICL Performance Products, LP (“ICL”), a chemical supplier to us, filed a lawsuit in the United States District Court for the Eastern District of Missouri, asserting breach of a contract for the sale of phosphoric acid in 2009 (the “2009 Contract”). ICL seeks to recover $7.3 million in damages and pre-judgment interest, and additionally seeks to recover its costs and attorneys’ fees. ICL also claimed that we breached a contract for the sale of phosphoric acid in 2008 (the “2008 Contract”). ICL has since dropped its claim for breach of the 2008 Contract. We have counterclaimed against ICL alleging that ICL falsely claimed to have a shortage of raw materials that prevented it from supplying us with the contracted quantity of phosphoric acid for 2008. We claim that ICL used this alleged shortage and the threat of discontinued shipments of phosphoric acid to force us to pay increased prices for the remainder of 2008, and to sign the 2009 Contract. Based on this alleged conduct, we have brought four alternate causes of action including: (1) breach of contract, (2) breach of the implied covenant of good faith and fair dealing, (3) negligent misrepresentation, and (4) intentional misrepresentation. We seek to recover $1.5 million in damages, and additionally seek to recover punitive damages, pre- and post-judgment interest, and our costs and attorneys’ fees. The discovery phase in this action is complete, and both parties have moved for summary judgment in their favor. We do not know how or when the Court might rule on the parties’ summary judgment motions. No trial date has been set. We are not able to predict the ultimate outcome of this litigation, but legal proceedings such as this can result in substantial costs and divert our management’s attention and resources, which may have a material adverse effect on our business and results of operations, including cash flows.</w:t>
      </w:r>
    </w:p>
    <w:p>
      <w:pPr>
        <w:spacing w:after="0" w:line="3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3, 2011.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6"/>
          </w:tcPr>
          <w:p>
            <w:pPr>
              <w:spacing w:after="0"/>
              <w:rPr>
                <w:sz w:val="20"/>
                <w:szCs w:val="20"/>
                <w:color w:val="auto"/>
              </w:rPr>
            </w:pPr>
            <w:r>
              <w:rPr>
                <w:rFonts w:ascii="Arial" w:cs="Arial" w:eastAsia="Arial" w:hAnsi="Arial"/>
                <w:sz w:val="18"/>
                <w:szCs w:val="18"/>
                <w:color w:val="auto"/>
              </w:rPr>
              <w:t>ITEM 6. EXHIBITS</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Exhibit Index</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620" w:type="dxa"/>
            <w:vAlign w:val="bottom"/>
          </w:tcPr>
          <w:p>
            <w:pPr>
              <w:spacing w:after="0"/>
              <w:rPr>
                <w:sz w:val="24"/>
                <w:szCs w:val="24"/>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c>
          <w:tcPr>
            <w:tcW w:w="70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Method of Filing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20" w:type="dxa"/>
            <w:vAlign w:val="bottom"/>
            <w:vMerge w:val="restart"/>
          </w:tcPr>
          <w:p>
            <w:pPr>
              <w:ind w:left="160"/>
              <w:spacing w:after="0"/>
              <w:rPr>
                <w:sz w:val="20"/>
                <w:szCs w:val="20"/>
                <w:color w:val="auto"/>
              </w:rPr>
            </w:pPr>
            <w:r>
              <w:rPr>
                <w:rFonts w:ascii="Arial" w:cs="Arial" w:eastAsia="Arial" w:hAnsi="Arial"/>
                <w:sz w:val="18"/>
                <w:szCs w:val="18"/>
                <w:color w:val="auto"/>
                <w:w w:val="88"/>
              </w:rPr>
              <w:t>Amended and Restated Articles of Incorporation.</w:t>
            </w:r>
          </w:p>
        </w:tc>
        <w:tc>
          <w:tcPr>
            <w:tcW w:w="840" w:type="dxa"/>
            <w:vAlign w:val="bottom"/>
            <w:shd w:val="clear" w:color="auto" w:fill="000000"/>
          </w:tcPr>
          <w:p>
            <w:pPr>
              <w:spacing w:after="0" w:line="20" w:lineRule="exact"/>
              <w:rPr>
                <w:sz w:val="1"/>
                <w:szCs w:val="1"/>
                <w:color w:val="auto"/>
              </w:rPr>
            </w:pPr>
          </w:p>
        </w:tc>
        <w:tc>
          <w:tcPr>
            <w:tcW w:w="368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14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840" w:type="dxa"/>
            <w:vAlign w:val="bottom"/>
          </w:tcPr>
          <w:p>
            <w:pPr>
              <w:jc w:val="right"/>
              <w:ind w:right="512"/>
              <w:spacing w:after="0" w:line="203" w:lineRule="exact"/>
              <w:rPr>
                <w:sz w:val="20"/>
                <w:szCs w:val="20"/>
                <w:color w:val="auto"/>
              </w:rPr>
            </w:pPr>
            <w:r>
              <w:rPr>
                <w:rFonts w:ascii="Arial" w:cs="Arial" w:eastAsia="Arial" w:hAnsi="Arial"/>
                <w:sz w:val="18"/>
                <w:szCs w:val="18"/>
                <w:color w:val="auto"/>
                <w:w w:val="99"/>
              </w:rPr>
              <w:t>(1)</w:t>
            </w:r>
          </w:p>
        </w:tc>
        <w:tc>
          <w:tcPr>
            <w:tcW w:w="3680" w:type="dxa"/>
            <w:vAlign w:val="bottom"/>
            <w:vMerge w:val="continue"/>
          </w:tcPr>
          <w:p>
            <w:pPr>
              <w:spacing w:after="0"/>
              <w:rPr>
                <w:sz w:val="17"/>
                <w:szCs w:val="17"/>
                <w:color w:val="auto"/>
              </w:rPr>
            </w:pPr>
          </w:p>
        </w:tc>
        <w:tc>
          <w:tcPr>
            <w:tcW w:w="2240" w:type="dxa"/>
            <w:vAlign w:val="bottom"/>
            <w:gridSpan w:val="3"/>
          </w:tcPr>
          <w:p>
            <w:pPr>
              <w:jc w:val="center"/>
              <w:ind w:left="272"/>
              <w:spacing w:after="0" w:line="203" w:lineRule="exact"/>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(2)</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Executive Severance Plan (3)*</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Incorporated by Reference</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31.2</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32.1</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Section 1350 Certification by Chief Executive Officer.</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32.2</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rPr>
              <w:t>Section 1350 Certification by Chief Financial Officer.</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July 3,</w:t>
            </w:r>
          </w:p>
        </w:tc>
        <w:tc>
          <w:tcPr>
            <w:tcW w:w="22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140" w:type="dxa"/>
            <w:vAlign w:val="bottom"/>
            <w:gridSpan w:val="3"/>
          </w:tcPr>
          <w:p>
            <w:pPr>
              <w:ind w:left="160"/>
              <w:spacing w:after="0"/>
              <w:rPr>
                <w:sz w:val="20"/>
                <w:szCs w:val="20"/>
                <w:color w:val="auto"/>
              </w:rPr>
            </w:pPr>
            <w:r>
              <w:rPr>
                <w:rFonts w:ascii="Arial" w:cs="Arial" w:eastAsia="Arial" w:hAnsi="Arial"/>
                <w:sz w:val="18"/>
                <w:szCs w:val="18"/>
                <w:color w:val="auto"/>
                <w:w w:val="93"/>
              </w:rPr>
              <w:t>2011, filed with the SEC on August 4, 2011, formatted in Extensible Business Reporting Language (XBRL);</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840" w:right="2860" w:hanging="8"/>
        <w:spacing w:after="0" w:line="295" w:lineRule="auto"/>
        <w:tabs>
          <w:tab w:leader="none" w:pos="105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Condensed Consolidated Balance Sheets at July 3, 2011 and April 3, 2011, (ii) 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15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 required to be filed as an exhibit to this Form 10-Q.</w:t>
      </w:r>
    </w:p>
    <w:p>
      <w:pPr>
        <w:spacing w:after="0" w:line="2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period ended July 3, 2011, filed on August 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HAWKINS, INC.</w:t>
      </w:r>
    </w:p>
    <w:p>
      <w:pPr>
        <w:spacing w:after="0" w:line="239" w:lineRule="exact"/>
        <w:rPr>
          <w:sz w:val="20"/>
          <w:szCs w:val="20"/>
          <w:color w:val="auto"/>
        </w:rPr>
      </w:pPr>
    </w:p>
    <w:p>
      <w:pPr>
        <w:ind w:left="67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10795</wp:posOffset>
            </wp:positionV>
            <wp:extent cx="2769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24"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Kathleen P. Pepski</w:t>
      </w:r>
    </w:p>
    <w:p>
      <w:pPr>
        <w:spacing w:after="0" w:line="117"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Vice President, Chief Financial Officer, and Treasurer</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2011</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6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3"/>
        </w:trPr>
        <w:tc>
          <w:tcPr>
            <w:tcW w:w="20" w:type="dxa"/>
            <w:vAlign w:val="bottom"/>
          </w:tcPr>
          <w:p>
            <w:pPr>
              <w:spacing w:after="0"/>
              <w:rPr>
                <w:sz w:val="17"/>
                <w:szCs w:val="17"/>
                <w:color w:val="auto"/>
              </w:rPr>
            </w:pPr>
          </w:p>
        </w:tc>
        <w:tc>
          <w:tcPr>
            <w:tcW w:w="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3620" w:type="dxa"/>
            <w:vAlign w:val="bottom"/>
            <w:gridSpan w:val="2"/>
          </w:tcPr>
          <w:p>
            <w:pPr>
              <w:ind w:left="160"/>
              <w:spacing w:after="0" w:line="203" w:lineRule="exact"/>
              <w:rPr>
                <w:sz w:val="20"/>
                <w:szCs w:val="20"/>
                <w:color w:val="auto"/>
              </w:rPr>
            </w:pPr>
            <w:r>
              <w:rPr>
                <w:rFonts w:ascii="Arial" w:cs="Arial" w:eastAsia="Arial" w:hAnsi="Arial"/>
                <w:sz w:val="18"/>
                <w:szCs w:val="18"/>
                <w:color w:val="auto"/>
                <w:w w:val="88"/>
              </w:rPr>
              <w:t>Amended and Restated Articles of Incorporation.</w:t>
            </w:r>
          </w:p>
        </w:tc>
        <w:tc>
          <w:tcPr>
            <w:tcW w:w="820" w:type="dxa"/>
            <w:vAlign w:val="bottom"/>
            <w:tcBorders>
              <w:top w:val="single" w:sz="8" w:color="auto"/>
            </w:tcBorders>
          </w:tcPr>
          <w:p>
            <w:pPr>
              <w:spacing w:after="0"/>
              <w:rPr>
                <w:sz w:val="17"/>
                <w:szCs w:val="17"/>
                <w:color w:val="auto"/>
              </w:rPr>
            </w:pPr>
          </w:p>
        </w:tc>
        <w:tc>
          <w:tcPr>
            <w:tcW w:w="2000" w:type="dxa"/>
            <w:vAlign w:val="bottom"/>
          </w:tcPr>
          <w:p>
            <w:pPr>
              <w:spacing w:after="0"/>
              <w:rPr>
                <w:sz w:val="17"/>
                <w:szCs w:val="17"/>
                <w:color w:val="auto"/>
              </w:rPr>
            </w:pP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w:t>
            </w:r>
          </w:p>
        </w:tc>
        <w:tc>
          <w:tcPr>
            <w:tcW w:w="6440" w:type="dxa"/>
            <w:vAlign w:val="bottom"/>
            <w:gridSpan w:val="4"/>
          </w:tcPr>
          <w:p>
            <w:pPr>
              <w:ind w:left="160"/>
              <w:spacing w:after="0"/>
              <w:rPr>
                <w:sz w:val="20"/>
                <w:szCs w:val="20"/>
                <w:color w:val="auto"/>
              </w:rPr>
            </w:pPr>
            <w:r>
              <w:rPr>
                <w:rFonts w:ascii="Arial" w:cs="Arial" w:eastAsia="Arial" w:hAnsi="Arial"/>
                <w:sz w:val="18"/>
                <w:szCs w:val="18"/>
                <w:color w:val="auto"/>
              </w:rPr>
              <w:t>Amended and Restated By-Laws.</w:t>
            </w: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6440" w:type="dxa"/>
            <w:vAlign w:val="bottom"/>
            <w:gridSpan w:val="4"/>
          </w:tcPr>
          <w:p>
            <w:pPr>
              <w:ind w:left="160"/>
              <w:spacing w:after="0"/>
              <w:rPr>
                <w:sz w:val="20"/>
                <w:szCs w:val="20"/>
                <w:color w:val="auto"/>
              </w:rPr>
            </w:pPr>
            <w:r>
              <w:rPr>
                <w:rFonts w:ascii="Arial" w:cs="Arial" w:eastAsia="Arial" w:hAnsi="Arial"/>
                <w:sz w:val="18"/>
                <w:szCs w:val="18"/>
                <w:color w:val="auto"/>
              </w:rPr>
              <w:t>Executive Severance Plan</w:t>
            </w: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31.1</w:t>
            </w:r>
          </w:p>
        </w:tc>
        <w:tc>
          <w:tcPr>
            <w:tcW w:w="6440" w:type="dxa"/>
            <w:vAlign w:val="bottom"/>
            <w:gridSpan w:val="4"/>
          </w:tcPr>
          <w:p>
            <w:pPr>
              <w:ind w:left="160"/>
              <w:spacing w:after="0"/>
              <w:rPr>
                <w:sz w:val="20"/>
                <w:szCs w:val="20"/>
                <w:color w:val="auto"/>
              </w:rPr>
            </w:pPr>
            <w:r>
              <w:rPr>
                <w:rFonts w:ascii="Arial" w:cs="Arial" w:eastAsia="Arial" w:hAnsi="Arial"/>
                <w:sz w:val="18"/>
                <w:szCs w:val="18"/>
                <w:color w:val="auto"/>
                <w:w w:val="89"/>
              </w:rPr>
              <w:t>Certification by Chief Executive Officer pursuant to Rule 13a-14(a) of the Exchange Act.</w:t>
            </w: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31.2</w:t>
            </w:r>
          </w:p>
        </w:tc>
        <w:tc>
          <w:tcPr>
            <w:tcW w:w="6440" w:type="dxa"/>
            <w:vAlign w:val="bottom"/>
            <w:gridSpan w:val="4"/>
          </w:tcPr>
          <w:p>
            <w:pPr>
              <w:ind w:left="160"/>
              <w:spacing w:after="0"/>
              <w:rPr>
                <w:sz w:val="20"/>
                <w:szCs w:val="20"/>
                <w:color w:val="auto"/>
              </w:rPr>
            </w:pPr>
            <w:r>
              <w:rPr>
                <w:rFonts w:ascii="Arial" w:cs="Arial" w:eastAsia="Arial" w:hAnsi="Arial"/>
                <w:sz w:val="18"/>
                <w:szCs w:val="18"/>
                <w:color w:val="auto"/>
                <w:w w:val="90"/>
              </w:rPr>
              <w:t>Certification by Chief Financial Officer pursuant to Rule 13a-14(a) of the Exchange Act.</w:t>
            </w:r>
          </w:p>
        </w:tc>
      </w:tr>
      <w:tr>
        <w:trPr>
          <w:trHeight w:val="216"/>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32.1</w:t>
            </w:r>
          </w:p>
        </w:tc>
        <w:tc>
          <w:tcPr>
            <w:tcW w:w="1100" w:type="dxa"/>
            <w:vAlign w:val="bottom"/>
          </w:tcPr>
          <w:p>
            <w:pPr>
              <w:ind w:left="160"/>
              <w:spacing w:after="0"/>
              <w:rPr>
                <w:sz w:val="20"/>
                <w:szCs w:val="20"/>
                <w:color w:val="auto"/>
              </w:rPr>
            </w:pPr>
            <w:r>
              <w:rPr>
                <w:rFonts w:ascii="Arial" w:cs="Arial" w:eastAsia="Arial" w:hAnsi="Arial"/>
                <w:sz w:val="18"/>
                <w:szCs w:val="18"/>
                <w:color w:val="auto"/>
                <w:w w:val="87"/>
              </w:rPr>
              <w:t>Section 1350</w:t>
            </w: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Executive Officer.</w:t>
            </w:r>
          </w:p>
        </w:tc>
      </w:tr>
      <w:tr>
        <w:trPr>
          <w:trHeight w:val="222"/>
        </w:trPr>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32.2</w:t>
            </w:r>
          </w:p>
        </w:tc>
        <w:tc>
          <w:tcPr>
            <w:tcW w:w="1100" w:type="dxa"/>
            <w:vAlign w:val="bottom"/>
          </w:tcPr>
          <w:p>
            <w:pPr>
              <w:ind w:left="160"/>
              <w:spacing w:after="0"/>
              <w:rPr>
                <w:sz w:val="20"/>
                <w:szCs w:val="20"/>
                <w:color w:val="auto"/>
              </w:rPr>
            </w:pPr>
            <w:r>
              <w:rPr>
                <w:rFonts w:ascii="Arial" w:cs="Arial" w:eastAsia="Arial" w:hAnsi="Arial"/>
                <w:sz w:val="18"/>
                <w:szCs w:val="18"/>
                <w:color w:val="auto"/>
                <w:w w:val="87"/>
              </w:rPr>
              <w:t>Section 1350</w:t>
            </w:r>
          </w:p>
        </w:tc>
        <w:tc>
          <w:tcPr>
            <w:tcW w:w="5340" w:type="dxa"/>
            <w:vAlign w:val="bottom"/>
            <w:gridSpan w:val="3"/>
          </w:tcPr>
          <w:p>
            <w:pPr>
              <w:ind w:left="20"/>
              <w:spacing w:after="0"/>
              <w:rPr>
                <w:sz w:val="20"/>
                <w:szCs w:val="20"/>
                <w:color w:val="auto"/>
              </w:rPr>
            </w:pPr>
            <w:r>
              <w:rPr>
                <w:rFonts w:ascii="Arial" w:cs="Arial" w:eastAsia="Arial" w:hAnsi="Arial"/>
                <w:sz w:val="18"/>
                <w:szCs w:val="18"/>
                <w:color w:val="auto"/>
              </w:rPr>
              <w:t>Certification by Chief Financial Officer.</w:t>
            </w:r>
          </w:p>
        </w:tc>
      </w:tr>
    </w:tbl>
    <w:p>
      <w:pPr>
        <w:ind w:left="840" w:right="100" w:hanging="569"/>
        <w:spacing w:after="0" w:line="281"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July 3, 2011, filed with the SEC on August 4, 2011, formatted in Extensible Business Reporting Language (XBRL);</w:t>
      </w:r>
    </w:p>
    <w:p>
      <w:pPr>
        <w:spacing w:after="0" w:line="1" w:lineRule="exact"/>
        <w:rPr>
          <w:rFonts w:ascii="Arial" w:cs="Arial" w:eastAsia="Arial" w:hAnsi="Arial"/>
          <w:sz w:val="16"/>
          <w:szCs w:val="16"/>
          <w:color w:val="auto"/>
        </w:rPr>
      </w:pPr>
    </w:p>
    <w:p>
      <w:pPr>
        <w:ind w:left="840"/>
        <w:spacing w:after="0" w:line="295" w:lineRule="auto"/>
        <w:rPr>
          <w:rFonts w:ascii="Arial" w:cs="Arial" w:eastAsia="Arial" w:hAnsi="Arial"/>
          <w:sz w:val="16"/>
          <w:szCs w:val="16"/>
          <w:color w:val="auto"/>
        </w:rPr>
      </w:pPr>
      <w:r>
        <w:rPr>
          <w:rFonts w:ascii="Arial" w:cs="Arial" w:eastAsia="Arial" w:hAnsi="Arial"/>
          <w:sz w:val="16"/>
          <w:szCs w:val="16"/>
          <w:color w:val="auto"/>
        </w:rPr>
        <w:t>(i) the Condensed Consolidated Balance Sheets at July 3, 2011 and April 3, 2011, (ii) 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89"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Method of Filing</w:t>
      </w:r>
    </w:p>
    <w:p>
      <w:pPr>
        <w:spacing w:after="0" w:line="23" w:lineRule="exact"/>
        <w:rPr>
          <w:sz w:val="20"/>
          <w:szCs w:val="20"/>
          <w:color w:val="auto"/>
        </w:rPr>
      </w:pPr>
    </w:p>
    <w:p>
      <w:pPr>
        <w:jc w:val="center"/>
        <w:spacing w:after="0" w:line="310" w:lineRule="auto"/>
        <w:rPr>
          <w:sz w:val="20"/>
          <w:szCs w:val="20"/>
          <w:color w:val="auto"/>
        </w:rPr>
      </w:pPr>
      <w:r>
        <w:rPr>
          <w:rFonts w:ascii="Arial" w:cs="Arial" w:eastAsia="Arial" w:hAnsi="Arial"/>
          <w:sz w:val="15"/>
          <w:szCs w:val="15"/>
          <w:color w:val="auto"/>
        </w:rPr>
        <w:t>Incorporated by Reference Incorporated by Reference Incorporated by Reference Filed Electronically Filed Electronically Filed Electronically Filed Electronically Filed Electronically</w:t>
      </w:r>
    </w:p>
    <w:p>
      <w:pPr>
        <w:sectPr>
          <w:pgSz w:w="11900" w:h="16838" w:orient="portrait"/>
          <w:cols w:equalWidth="0" w:num="2">
            <w:col w:w="8560" w:space="620"/>
            <w:col w:w="1880"/>
          </w:cols>
          <w:pgMar w:left="240" w:top="459" w:right="599" w:bottom="1440" w:gutter="0" w:footer="0" w:header="0"/>
        </w:sectPr>
      </w:pPr>
    </w:p>
    <w:bookmarkStart w:id="19" w:name="page20"/>
    <w:bookmarkEnd w:id="19"/>
    <w:p>
      <w:pPr>
        <w:ind w:left="1032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212" w:lineRule="exact"/>
        <w:rPr>
          <w:sz w:val="20"/>
          <w:szCs w:val="20"/>
          <w:color w:val="auto"/>
        </w:rPr>
      </w:pPr>
    </w:p>
    <w:p>
      <w:pPr>
        <w:ind w:left="1020" w:hanging="337"/>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jc w:val="both"/>
        <w:ind w:left="1020" w:right="180" w:hanging="337"/>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1020" w:right="140" w:hanging="337"/>
        <w:spacing w:after="0" w:line="33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1020" w:right="60" w:hanging="337"/>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0" w:lineRule="exact"/>
        <w:rPr>
          <w:rFonts w:ascii="Arial" w:cs="Arial" w:eastAsia="Arial" w:hAnsi="Arial"/>
          <w:sz w:val="18"/>
          <w:szCs w:val="18"/>
          <w:color w:val="auto"/>
        </w:rPr>
      </w:pPr>
    </w:p>
    <w:p>
      <w:pPr>
        <w:jc w:val="both"/>
        <w:ind w:left="1380" w:hanging="346"/>
        <w:spacing w:after="0" w:line="259"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380" w:hanging="346"/>
        <w:spacing w:after="0" w:line="259"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380" w:hanging="346"/>
        <w:spacing w:after="0" w:line="332" w:lineRule="auto"/>
        <w:tabs>
          <w:tab w:leader="none" w:pos="13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1380" w:hanging="346"/>
        <w:spacing w:after="0" w:line="259"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1020" w:right="80" w:hanging="337"/>
        <w:spacing w:after="0" w:line="33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380" w:right="20" w:hanging="346"/>
        <w:spacing w:after="0" w:line="332" w:lineRule="auto"/>
        <w:tabs>
          <w:tab w:leader="none" w:pos="13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80" w:hanging="346"/>
        <w:spacing w:after="0" w:line="268"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Patrick H. Hawkins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left="1032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212" w:lineRule="exact"/>
        <w:rPr>
          <w:sz w:val="20"/>
          <w:szCs w:val="20"/>
          <w:color w:val="auto"/>
        </w:rPr>
      </w:pPr>
    </w:p>
    <w:p>
      <w:pPr>
        <w:ind w:left="1020" w:hanging="337"/>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11" w:lineRule="exact"/>
        <w:rPr>
          <w:rFonts w:ascii="Arial" w:cs="Arial" w:eastAsia="Arial" w:hAnsi="Arial"/>
          <w:sz w:val="18"/>
          <w:szCs w:val="18"/>
          <w:color w:val="auto"/>
        </w:rPr>
      </w:pPr>
    </w:p>
    <w:p>
      <w:pPr>
        <w:jc w:val="both"/>
        <w:ind w:left="1020" w:hanging="337"/>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8"/>
          <w:szCs w:val="18"/>
          <w:color w:val="auto"/>
        </w:rPr>
      </w:pPr>
    </w:p>
    <w:p>
      <w:pPr>
        <w:ind w:left="1020" w:hanging="337"/>
        <w:spacing w:after="0" w:line="33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Arial" w:cs="Arial" w:eastAsia="Arial" w:hAnsi="Arial"/>
          <w:sz w:val="16"/>
          <w:szCs w:val="16"/>
          <w:color w:val="auto"/>
        </w:rPr>
      </w:pPr>
    </w:p>
    <w:p>
      <w:pPr>
        <w:ind w:left="1020" w:right="60" w:hanging="337"/>
        <w:spacing w:after="0" w:line="25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80" w:lineRule="exact"/>
        <w:rPr>
          <w:rFonts w:ascii="Arial" w:cs="Arial" w:eastAsia="Arial" w:hAnsi="Arial"/>
          <w:sz w:val="18"/>
          <w:szCs w:val="18"/>
          <w:color w:val="auto"/>
        </w:rPr>
      </w:pPr>
    </w:p>
    <w:p>
      <w:pPr>
        <w:jc w:val="both"/>
        <w:ind w:left="1380" w:hanging="346"/>
        <w:spacing w:after="0" w:line="259"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jc w:val="both"/>
        <w:ind w:left="1380" w:hanging="346"/>
        <w:spacing w:after="0" w:line="259"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ind w:left="1380" w:hanging="346"/>
        <w:spacing w:after="0" w:line="332" w:lineRule="auto"/>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jc w:val="both"/>
        <w:ind w:left="1380" w:hanging="346"/>
        <w:spacing w:after="0" w:line="259"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0" w:lineRule="exact"/>
        <w:rPr>
          <w:rFonts w:ascii="Arial" w:cs="Arial" w:eastAsia="Arial" w:hAnsi="Arial"/>
          <w:sz w:val="18"/>
          <w:szCs w:val="18"/>
          <w:color w:val="auto"/>
        </w:rPr>
      </w:pPr>
    </w:p>
    <w:p>
      <w:pPr>
        <w:ind w:left="1020" w:hanging="337"/>
        <w:spacing w:after="0" w:line="33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1380" w:right="20" w:hanging="346"/>
        <w:spacing w:after="0" w:line="332" w:lineRule="auto"/>
        <w:tabs>
          <w:tab w:leader="none" w:pos="13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1380" w:hanging="346"/>
        <w:spacing w:after="0" w:line="268" w:lineRule="auto"/>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2011</w:t>
      </w:r>
    </w:p>
    <w:p>
      <w:pPr>
        <w:spacing w:after="0" w:line="293"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Kathleen P. Pepski</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Chief Financial Officer,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2011,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Patrick H. Hawkins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October 2, 2011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Kathleen P. Pepski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lowerRoman"/>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2019-12-10T01:38:56Z</dcterms:created>
  <dcterms:modified xsi:type="dcterms:W3CDTF">2019-12-10T01:38:56Z</dcterms:modified>
</cp:coreProperties>
</file>