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5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left="5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left="520"/>
        <w:spacing w:after="0"/>
        <w:rPr>
          <w:sz w:val="20"/>
          <w:szCs w:val="20"/>
          <w:color w:val="auto"/>
        </w:rPr>
      </w:pPr>
      <w:r>
        <w:rPr>
          <w:rFonts w:ascii="Arial" w:cs="Arial" w:eastAsia="Arial" w:hAnsi="Arial"/>
          <w:sz w:val="18"/>
          <w:szCs w:val="18"/>
          <w:color w:val="auto"/>
        </w:rPr>
        <w:t>Washington, D.C. 20549</w:t>
      </w:r>
    </w:p>
    <w:p>
      <w:pPr>
        <w:spacing w:after="0" w:line="182" w:lineRule="exact"/>
        <w:rPr>
          <w:sz w:val="24"/>
          <w:szCs w:val="24"/>
          <w:color w:val="auto"/>
        </w:rPr>
      </w:pPr>
    </w:p>
    <w:p>
      <w:pPr>
        <w:ind w:left="4760"/>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10)*</w:t>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Hawkins, Inc., formerly Hawkins Chemical,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$.05 per share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420261 10 9 formerly 420200 10 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394" w:lineRule="exact"/>
        <w:rPr>
          <w:sz w:val="24"/>
          <w:szCs w:val="24"/>
          <w:color w:val="auto"/>
        </w:rPr>
      </w:pPr>
    </w:p>
    <w:p>
      <w:pPr>
        <w:ind w:right="360"/>
        <w:spacing w:after="0" w:line="232" w:lineRule="exact"/>
        <w:rPr>
          <w:sz w:val="20"/>
          <w:szCs w:val="20"/>
          <w:color w:val="auto"/>
        </w:rPr>
      </w:pPr>
      <w:r>
        <w:rPr>
          <w:rFonts w:ascii="Arial" w:cs="Arial" w:eastAsia="Arial" w:hAnsi="Arial"/>
          <w:sz w:val="18"/>
          <w:szCs w:val="18"/>
          <w:color w:val="auto"/>
        </w:rPr>
        <w:t xml:space="preserve">Check the following box if a fee is being paid with this statement </w:t>
      </w:r>
      <w:r>
        <w:rPr>
          <w:rFonts w:ascii="MS PGothic" w:cs="MS PGothic" w:eastAsia="MS PGothic" w:hAnsi="MS PGothic"/>
          <w:sz w:val="18"/>
          <w:szCs w:val="18"/>
          <w:color w:val="auto"/>
        </w:rPr>
        <w:t>☐</w:t>
      </w:r>
      <w:r>
        <w:rPr>
          <w:rFonts w:ascii="Arial" w:cs="Arial" w:eastAsia="Arial" w:hAnsi="Arial"/>
          <w:sz w:val="18"/>
          <w:szCs w:val="18"/>
          <w:color w:val="auto"/>
        </w:rPr>
        <w: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4"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CUSIP No. 420261 10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1060" w:right="3760" w:hanging="620"/>
        <w:spacing w:after="0" w:line="261" w:lineRule="auto"/>
        <w:tabs>
          <w:tab w:leader="none" w:pos="10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I.R.S. Identification Nos. of above persons (entities only) </w:t>
      </w:r>
      <w:r>
        <w:rPr>
          <w:rFonts w:ascii="Arial" w:cs="Arial" w:eastAsia="Arial" w:hAnsi="Arial"/>
          <w:sz w:val="18"/>
          <w:szCs w:val="18"/>
          <w:color w:val="auto"/>
        </w:rPr>
        <w:t>Hawkins, Inc. Employee Stock Ownership Plan and Trust</w:t>
      </w:r>
    </w:p>
    <w:p>
      <w:pPr>
        <w:ind w:left="1760" w:hanging="294"/>
        <w:spacing w:after="0"/>
        <w:tabs>
          <w:tab w:leader="none" w:pos="1760" w:val="left"/>
        </w:tabs>
        <w:numPr>
          <w:ilvl w:val="2"/>
          <w:numId w:val="1"/>
        </w:numPr>
        <w:rPr>
          <w:rFonts w:ascii="Arial" w:cs="Arial" w:eastAsia="Arial" w:hAnsi="Arial"/>
          <w:sz w:val="18"/>
          <w:szCs w:val="18"/>
          <w:color w:val="auto"/>
        </w:rPr>
      </w:pPr>
      <w:r>
        <w:rPr>
          <w:rFonts w:ascii="Arial" w:cs="Arial" w:eastAsia="Arial" w:hAnsi="Arial"/>
          <w:sz w:val="18"/>
          <w:szCs w:val="18"/>
          <w:color w:val="auto"/>
        </w:rPr>
        <w:t>41-0771293</w:t>
      </w:r>
    </w:p>
    <w:p>
      <w:pPr>
        <w:spacing w:after="0" w:line="200" w:lineRule="exact"/>
        <w:rPr>
          <w:rFonts w:ascii="Arial" w:cs="Arial" w:eastAsia="Arial" w:hAnsi="Arial"/>
          <w:sz w:val="18"/>
          <w:szCs w:val="18"/>
          <w:color w:val="auto"/>
        </w:rPr>
      </w:pPr>
    </w:p>
    <w:p>
      <w:pPr>
        <w:spacing w:after="0" w:line="263" w:lineRule="exact"/>
        <w:rPr>
          <w:rFonts w:ascii="Arial" w:cs="Arial" w:eastAsia="Arial" w:hAnsi="Arial"/>
          <w:sz w:val="18"/>
          <w:szCs w:val="18"/>
          <w:color w:val="auto"/>
        </w:rPr>
      </w:pPr>
    </w:p>
    <w:p>
      <w:pPr>
        <w:ind w:left="1060" w:hanging="620"/>
        <w:spacing w:after="0"/>
        <w:tabs>
          <w:tab w:leader="none" w:pos="10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121" w:lineRule="exact"/>
        <w:rPr>
          <w:rFonts w:ascii="Arial" w:cs="Arial" w:eastAsia="Arial" w:hAnsi="Arial"/>
          <w:sz w:val="18"/>
          <w:szCs w:val="18"/>
          <w:b w:val="1"/>
          <w:bCs w:val="1"/>
          <w:color w:val="auto"/>
        </w:rPr>
      </w:pPr>
    </w:p>
    <w:p>
      <w:pPr>
        <w:ind w:left="2160" w:hanging="1099"/>
        <w:spacing w:after="0"/>
        <w:tabs>
          <w:tab w:leader="none" w:pos="2160" w:val="left"/>
        </w:tabs>
        <w:numPr>
          <w:ilvl w:val="1"/>
          <w:numId w:val="1"/>
        </w:numPr>
        <w:rPr>
          <w:rFonts w:ascii="Arial" w:cs="Arial" w:eastAsia="Arial" w:hAnsi="Arial"/>
          <w:sz w:val="18"/>
          <w:szCs w:val="18"/>
          <w:b w:val="1"/>
          <w:bCs w:val="1"/>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b w:val="1"/>
          <w:bCs w:val="1"/>
          <w:color w:val="auto"/>
        </w:rPr>
      </w:pPr>
    </w:p>
    <w:p>
      <w:pPr>
        <w:ind w:left="2160" w:hanging="1099"/>
        <w:spacing w:after="0"/>
        <w:tabs>
          <w:tab w:leader="none" w:pos="2160" w:val="left"/>
        </w:tabs>
        <w:numPr>
          <w:ilvl w:val="1"/>
          <w:numId w:val="1"/>
        </w:numPr>
        <w:rPr>
          <w:rFonts w:ascii="Arial" w:cs="Arial" w:eastAsia="Arial" w:hAnsi="Arial"/>
          <w:sz w:val="18"/>
          <w:szCs w:val="18"/>
          <w:b w:val="1"/>
          <w:bCs w:val="1"/>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b w:val="1"/>
          <w:bCs w:val="1"/>
          <w:color w:val="auto"/>
        </w:rPr>
      </w:pPr>
    </w:p>
    <w:p>
      <w:pPr>
        <w:spacing w:after="0" w:line="277" w:lineRule="exact"/>
        <w:rPr>
          <w:rFonts w:ascii="Arial" w:cs="Arial" w:eastAsia="Arial" w:hAnsi="Arial"/>
          <w:sz w:val="18"/>
          <w:szCs w:val="18"/>
          <w:b w:val="1"/>
          <w:bCs w:val="1"/>
          <w:color w:val="auto"/>
        </w:rPr>
      </w:pPr>
    </w:p>
    <w:p>
      <w:pPr>
        <w:ind w:left="1060" w:hanging="620"/>
        <w:spacing w:after="0"/>
        <w:tabs>
          <w:tab w:leader="none" w:pos="10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81" w:lineRule="exact"/>
        <w:rPr>
          <w:rFonts w:ascii="Arial" w:cs="Arial" w:eastAsia="Arial" w:hAnsi="Arial"/>
          <w:sz w:val="18"/>
          <w:szCs w:val="18"/>
          <w:b w:val="1"/>
          <w:bCs w:val="1"/>
          <w:color w:val="auto"/>
        </w:rPr>
      </w:pPr>
    </w:p>
    <w:p>
      <w:pPr>
        <w:ind w:left="1060" w:right="7560" w:hanging="620"/>
        <w:spacing w:after="0" w:line="282" w:lineRule="auto"/>
        <w:tabs>
          <w:tab w:leader="none" w:pos="10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Minnesota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-1857375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-1214120</wp:posOffset>
            </wp:positionV>
            <wp:extent cx="59086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8675"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-1000125</wp:posOffset>
            </wp:positionV>
            <wp:extent cx="59086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0867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-562610</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11430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98" w:lineRule="exact"/>
        <w:rPr>
          <w:sz w:val="24"/>
          <w:szCs w:val="24"/>
          <w:color w:val="auto"/>
        </w:rPr>
      </w:pPr>
    </w:p>
    <w:tbl>
      <w:tblPr>
        <w:tblLayout w:type="fixed"/>
        <w:tblInd w:w="60" w:type="dxa"/>
        <w:tblCellMar>
          <w:top w:w="0" w:type="dxa"/>
          <w:left w:w="0" w:type="dxa"/>
          <w:bottom w:w="0" w:type="dxa"/>
          <w:right w:w="0" w:type="dxa"/>
        </w:tblCellMar>
      </w:tblPr>
      <w:tr>
        <w:trPr>
          <w:trHeight w:val="220"/>
        </w:trPr>
        <w:tc>
          <w:tcPr>
            <w:tcW w:w="1280" w:type="dxa"/>
            <w:vAlign w:val="bottom"/>
          </w:tcPr>
          <w:p>
            <w:pPr>
              <w:spacing w:after="0"/>
              <w:rPr>
                <w:sz w:val="19"/>
                <w:szCs w:val="19"/>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b w:val="1"/>
                <w:bCs w:val="1"/>
                <w:color w:val="auto"/>
              </w:rPr>
              <w:t>5.</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1060" w:type="dxa"/>
            <w:vAlign w:val="bottom"/>
          </w:tcPr>
          <w:p>
            <w:pPr>
              <w:spacing w:after="0"/>
              <w:rPr>
                <w:sz w:val="4"/>
                <w:szCs w:val="4"/>
                <w:color w:val="auto"/>
              </w:rPr>
            </w:pPr>
          </w:p>
        </w:tc>
        <w:tc>
          <w:tcPr>
            <w:tcW w:w="9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15"/>
        </w:trPr>
        <w:tc>
          <w:tcPr>
            <w:tcW w:w="1280" w:type="dxa"/>
            <w:vAlign w:val="bottom"/>
            <w:vMerge w:val="continue"/>
          </w:tcPr>
          <w:p>
            <w:pPr>
              <w:spacing w:after="0"/>
              <w:rPr>
                <w:sz w:val="24"/>
                <w:szCs w:val="24"/>
                <w:color w:val="auto"/>
              </w:rPr>
            </w:pPr>
          </w:p>
        </w:tc>
        <w:tc>
          <w:tcPr>
            <w:tcW w:w="10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6.</w:t>
            </w:r>
          </w:p>
        </w:tc>
        <w:tc>
          <w:tcPr>
            <w:tcW w:w="90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85"/>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Shares</w:t>
            </w:r>
          </w:p>
        </w:tc>
        <w:tc>
          <w:tcPr>
            <w:tcW w:w="1060" w:type="dxa"/>
            <w:vAlign w:val="bottom"/>
            <w:vMerge w:val="continue"/>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28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9020" w:type="dxa"/>
            <w:vAlign w:val="bottom"/>
            <w:vMerge w:val="restart"/>
          </w:tcPr>
          <w:p>
            <w:pPr>
              <w:ind w:left="60"/>
              <w:spacing w:after="0"/>
              <w:rPr>
                <w:sz w:val="20"/>
                <w:szCs w:val="20"/>
                <w:color w:val="auto"/>
              </w:rPr>
            </w:pPr>
            <w:r>
              <w:rPr>
                <w:rFonts w:ascii="Arial" w:cs="Arial" w:eastAsia="Arial" w:hAnsi="Arial"/>
                <w:sz w:val="18"/>
                <w:szCs w:val="18"/>
                <w:color w:val="auto"/>
              </w:rPr>
              <w:t>2,312,625 (b)</w:t>
            </w:r>
          </w:p>
        </w:tc>
        <w:tc>
          <w:tcPr>
            <w:tcW w:w="0" w:type="dxa"/>
            <w:vAlign w:val="bottom"/>
          </w:tcPr>
          <w:p>
            <w:pPr>
              <w:spacing w:after="0"/>
              <w:rPr>
                <w:sz w:val="1"/>
                <w:szCs w:val="1"/>
                <w:color w:val="auto"/>
              </w:rPr>
            </w:pPr>
          </w:p>
        </w:tc>
      </w:tr>
      <w:tr>
        <w:trPr>
          <w:trHeight w:val="99"/>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1060" w:type="dxa"/>
            <w:vAlign w:val="bottom"/>
          </w:tcPr>
          <w:p>
            <w:pPr>
              <w:spacing w:after="0"/>
              <w:rPr>
                <w:sz w:val="8"/>
                <w:szCs w:val="8"/>
                <w:color w:val="auto"/>
              </w:rPr>
            </w:pPr>
          </w:p>
        </w:tc>
        <w:tc>
          <w:tcPr>
            <w:tcW w:w="9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9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128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9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0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10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7.</w:t>
            </w:r>
          </w:p>
        </w:tc>
        <w:tc>
          <w:tcPr>
            <w:tcW w:w="90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26"/>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Reporting</w:t>
            </w:r>
          </w:p>
        </w:tc>
        <w:tc>
          <w:tcPr>
            <w:tcW w:w="1060" w:type="dxa"/>
            <w:vAlign w:val="bottom"/>
            <w:vMerge w:val="continue"/>
          </w:tcPr>
          <w:p>
            <w:pPr>
              <w:spacing w:after="0"/>
              <w:rPr>
                <w:sz w:val="10"/>
                <w:szCs w:val="10"/>
                <w:color w:val="auto"/>
              </w:rPr>
            </w:pPr>
          </w:p>
        </w:tc>
        <w:tc>
          <w:tcPr>
            <w:tcW w:w="9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28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90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0"/>
        </w:trPr>
        <w:tc>
          <w:tcPr>
            <w:tcW w:w="1280" w:type="dxa"/>
            <w:vAlign w:val="bottom"/>
            <w:vMerge w:val="restart"/>
          </w:tcPr>
          <w:p>
            <w:pPr>
              <w:spacing w:after="0" w:line="194" w:lineRule="exact"/>
              <w:rPr>
                <w:sz w:val="20"/>
                <w:szCs w:val="20"/>
                <w:color w:val="auto"/>
              </w:rPr>
            </w:pPr>
            <w:r>
              <w:rPr>
                <w:rFonts w:ascii="Arial" w:cs="Arial" w:eastAsia="Arial" w:hAnsi="Arial"/>
                <w:sz w:val="18"/>
                <w:szCs w:val="18"/>
                <w:b w:val="1"/>
                <w:bCs w:val="1"/>
                <w:color w:val="auto"/>
              </w:rPr>
              <w:t>Person With</w:t>
            </w:r>
          </w:p>
        </w:tc>
        <w:tc>
          <w:tcPr>
            <w:tcW w:w="1060" w:type="dxa"/>
            <w:vAlign w:val="bottom"/>
          </w:tcPr>
          <w:p>
            <w:pPr>
              <w:spacing w:after="0"/>
              <w:rPr>
                <w:sz w:val="12"/>
                <w:szCs w:val="12"/>
                <w:color w:val="auto"/>
              </w:rPr>
            </w:pPr>
          </w:p>
        </w:tc>
        <w:tc>
          <w:tcPr>
            <w:tcW w:w="9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9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00"/>
        </w:trPr>
        <w:tc>
          <w:tcPr>
            <w:tcW w:w="1280" w:type="dxa"/>
            <w:vAlign w:val="bottom"/>
          </w:tcPr>
          <w:p>
            <w:pPr>
              <w:spacing w:after="0"/>
              <w:rPr>
                <w:sz w:val="24"/>
                <w:szCs w:val="24"/>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b w:val="1"/>
                <w:bCs w:val="1"/>
                <w:color w:val="auto"/>
              </w:rPr>
              <w:t>8.</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20" w:type="dxa"/>
            <w:vAlign w:val="bottom"/>
          </w:tcPr>
          <w:p>
            <w:pPr>
              <w:ind w:left="60"/>
              <w:spacing w:after="0"/>
              <w:rPr>
                <w:sz w:val="20"/>
                <w:szCs w:val="20"/>
                <w:color w:val="auto"/>
              </w:rPr>
            </w:pPr>
            <w:r>
              <w:rPr>
                <w:rFonts w:ascii="Arial" w:cs="Arial" w:eastAsia="Arial" w:hAnsi="Arial"/>
                <w:sz w:val="18"/>
                <w:szCs w:val="18"/>
                <w:color w:val="auto"/>
              </w:rPr>
              <w:t>2,312,625 (b)</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0" w:gutter="0" w:footer="0" w:header="0"/>
        </w:sectPr>
      </w:pPr>
    </w:p>
    <w:bookmarkStart w:id="1" w:name="page2"/>
    <w:bookmarkEnd w:id="1"/>
    <w:p>
      <w:pPr>
        <w:ind w:left="1052" w:right="5260" w:hanging="620"/>
        <w:spacing w:after="0" w:line="282" w:lineRule="auto"/>
        <w:tabs>
          <w:tab w:leader="none" w:pos="105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2,312,625 (b)</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52" w:right="3720" w:hanging="620"/>
        <w:spacing w:after="0" w:line="282" w:lineRule="auto"/>
        <w:tabs>
          <w:tab w:leader="none" w:pos="105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Arial" w:cs="Arial" w:eastAsia="Arial" w:hAnsi="Arial"/>
          <w:sz w:val="18"/>
          <w:szCs w:val="18"/>
          <w:color w:val="auto"/>
        </w:rPr>
        <w:t>o</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52" w:right="6340" w:hanging="620"/>
        <w:spacing w:after="0" w:line="282" w:lineRule="auto"/>
        <w:tabs>
          <w:tab w:leader="none" w:pos="105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23%</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52" w:hanging="620"/>
        <w:spacing w:after="0"/>
        <w:tabs>
          <w:tab w:leader="none" w:pos="105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1052"/>
        <w:spacing w:after="0"/>
        <w:rPr>
          <w:rFonts w:ascii="Arial" w:cs="Arial" w:eastAsia="Arial" w:hAnsi="Arial"/>
          <w:sz w:val="18"/>
          <w:szCs w:val="18"/>
          <w:b w:val="1"/>
          <w:bCs w:val="1"/>
          <w:color w:val="auto"/>
        </w:rPr>
      </w:pPr>
      <w:r>
        <w:rPr>
          <w:rFonts w:ascii="Arial" w:cs="Arial" w:eastAsia="Arial" w:hAnsi="Arial"/>
          <w:sz w:val="18"/>
          <w:szCs w:val="18"/>
          <w:color w:val="auto"/>
        </w:rPr>
        <w:t>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-1682750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-1108710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-534035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40005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NOTES</w:t>
      </w:r>
    </w:p>
    <w:p>
      <w:pPr>
        <w:spacing w:after="0" w:line="229" w:lineRule="exact"/>
        <w:rPr>
          <w:sz w:val="20"/>
          <w:szCs w:val="20"/>
          <w:color w:val="auto"/>
        </w:rPr>
      </w:pPr>
    </w:p>
    <w:p>
      <w:pPr>
        <w:ind w:left="-8" w:firstLine="656"/>
        <w:spacing w:after="0" w:line="257" w:lineRule="auto"/>
        <w:tabs>
          <w:tab w:leader="none" w:pos="11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Trustees of the Hawkins, Inc. Employee Stock Ownership Plan and Trust are Messrs. John R. Hawkins, Kurt R. Norman and Marvin E. Dee. Messrs. Hawkins and Norman are both directors and officers of the Issuer and Mr. Dee is an officer but not a director. Apart from the plan holdings in this plan and the individual interests of each trustee under such plan as of December 31, 2001, these individuals had personal holdings of the Issuer’s common stock as set forth below. Unless otherwise noted, all shares shown are held by individuals possessing sole voting and dispositive power with respect to such shares.</w:t>
      </w:r>
    </w:p>
    <w:p>
      <w:pPr>
        <w:spacing w:after="0" w:line="167" w:lineRule="exact"/>
        <w:rPr>
          <w:sz w:val="20"/>
          <w:szCs w:val="20"/>
          <w:color w:val="auto"/>
        </w:rPr>
      </w:pPr>
    </w:p>
    <w:tbl>
      <w:tblPr>
        <w:tblLayout w:type="fixed"/>
        <w:tblInd w:w="652" w:type="dxa"/>
        <w:tblCellMar>
          <w:top w:w="0" w:type="dxa"/>
          <w:left w:w="0" w:type="dxa"/>
          <w:bottom w:w="0" w:type="dxa"/>
          <w:right w:w="0" w:type="dxa"/>
        </w:tblCellMar>
      </w:tblPr>
      <w:tr>
        <w:trPr>
          <w:trHeight w:val="161"/>
        </w:trPr>
        <w:tc>
          <w:tcPr>
            <w:tcW w:w="404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Name</w:t>
            </w:r>
          </w:p>
        </w:tc>
        <w:tc>
          <w:tcPr>
            <w:tcW w:w="1300" w:type="dxa"/>
            <w:vAlign w:val="bottom"/>
          </w:tcPr>
          <w:p>
            <w:pPr>
              <w:jc w:val="center"/>
              <w:ind w:left="528"/>
              <w:spacing w:after="0"/>
              <w:rPr>
                <w:sz w:val="20"/>
                <w:szCs w:val="20"/>
                <w:color w:val="auto"/>
              </w:rPr>
            </w:pPr>
            <w:r>
              <w:rPr>
                <w:rFonts w:ascii="Arial" w:cs="Arial" w:eastAsia="Arial" w:hAnsi="Arial"/>
                <w:sz w:val="14"/>
                <w:szCs w:val="14"/>
                <w:b w:val="1"/>
                <w:bCs w:val="1"/>
                <w:color w:val="auto"/>
                <w:w w:val="94"/>
              </w:rPr>
              <w:t>Number of</w:t>
            </w: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4040" w:type="dxa"/>
            <w:vAlign w:val="bottom"/>
            <w:gridSpan w:val="2"/>
            <w:vMerge w:val="continue"/>
          </w:tcPr>
          <w:p>
            <w:pPr>
              <w:spacing w:after="0"/>
              <w:rPr>
                <w:sz w:val="14"/>
                <w:szCs w:val="14"/>
                <w:color w:val="auto"/>
              </w:rPr>
            </w:pPr>
          </w:p>
        </w:tc>
        <w:tc>
          <w:tcPr>
            <w:tcW w:w="1300" w:type="dxa"/>
            <w:vAlign w:val="bottom"/>
          </w:tcPr>
          <w:p>
            <w:pPr>
              <w:jc w:val="center"/>
              <w:ind w:left="528"/>
              <w:spacing w:after="0"/>
              <w:rPr>
                <w:sz w:val="20"/>
                <w:szCs w:val="20"/>
                <w:color w:val="auto"/>
              </w:rPr>
            </w:pPr>
            <w:r>
              <w:rPr>
                <w:rFonts w:ascii="Arial" w:cs="Arial" w:eastAsia="Arial" w:hAnsi="Arial"/>
                <w:sz w:val="14"/>
                <w:szCs w:val="14"/>
                <w:b w:val="1"/>
                <w:bCs w:val="1"/>
                <w:color w:val="auto"/>
                <w:w w:val="89"/>
              </w:rPr>
              <w:t>Shares</w:t>
            </w: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237"/>
        </w:trPr>
        <w:tc>
          <w:tcPr>
            <w:tcW w:w="2020" w:type="dxa"/>
            <w:vAlign w:val="bottom"/>
            <w:tcBorders>
              <w:top w:val="single" w:sz="8" w:color="auto"/>
            </w:tcBorders>
          </w:tcPr>
          <w:p>
            <w:pPr>
              <w:spacing w:after="0"/>
              <w:rPr>
                <w:sz w:val="20"/>
                <w:szCs w:val="20"/>
                <w:color w:val="auto"/>
              </w:rPr>
            </w:pPr>
          </w:p>
        </w:tc>
        <w:tc>
          <w:tcPr>
            <w:tcW w:w="202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13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line="297" w:lineRule="exact"/>
              <w:rPr>
                <w:sz w:val="20"/>
                <w:szCs w:val="20"/>
                <w:color w:val="auto"/>
              </w:rPr>
            </w:pPr>
            <w:r>
              <w:rPr>
                <w:rFonts w:ascii="Arial" w:cs="Arial" w:eastAsia="Arial" w:hAnsi="Arial"/>
                <w:sz w:val="17"/>
                <w:szCs w:val="17"/>
                <w:color w:val="auto"/>
                <w:w w:val="86"/>
              </w:rPr>
              <w:t>43,210</w:t>
            </w:r>
            <w:r>
              <w:rPr>
                <w:rFonts w:ascii="Arial" w:cs="Arial" w:eastAsia="Arial" w:hAnsi="Arial"/>
                <w:sz w:val="34"/>
                <w:szCs w:val="34"/>
                <w:color w:val="auto"/>
                <w:w w:val="86"/>
                <w:vertAlign w:val="superscript"/>
              </w:rPr>
              <w:t>1</w:t>
            </w:r>
          </w:p>
        </w:tc>
        <w:tc>
          <w:tcPr>
            <w:tcW w:w="15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0.004 %</w:t>
            </w:r>
          </w:p>
        </w:tc>
        <w:tc>
          <w:tcPr>
            <w:tcW w:w="0" w:type="dxa"/>
            <w:vAlign w:val="bottom"/>
          </w:tcPr>
          <w:p>
            <w:pPr>
              <w:spacing w:after="0"/>
              <w:rPr>
                <w:sz w:val="1"/>
                <w:szCs w:val="1"/>
                <w:color w:val="auto"/>
              </w:rPr>
            </w:pPr>
          </w:p>
        </w:tc>
      </w:tr>
      <w:tr>
        <w:trPr>
          <w:trHeight w:val="297"/>
        </w:trPr>
        <w:tc>
          <w:tcPr>
            <w:tcW w:w="4040" w:type="dxa"/>
            <w:vAlign w:val="bottom"/>
            <w:gridSpan w:val="2"/>
          </w:tcPr>
          <w:p>
            <w:pPr>
              <w:spacing w:after="0"/>
              <w:rPr>
                <w:sz w:val="20"/>
                <w:szCs w:val="20"/>
                <w:color w:val="auto"/>
              </w:rPr>
            </w:pPr>
            <w:r>
              <w:rPr>
                <w:rFonts w:ascii="Arial" w:cs="Arial" w:eastAsia="Arial" w:hAnsi="Arial"/>
                <w:sz w:val="18"/>
                <w:szCs w:val="18"/>
                <w:color w:val="auto"/>
              </w:rPr>
              <w:t>Kurt R. Norman</w:t>
            </w:r>
          </w:p>
        </w:tc>
        <w:tc>
          <w:tcPr>
            <w:tcW w:w="1300" w:type="dxa"/>
            <w:vAlign w:val="bottom"/>
          </w:tcPr>
          <w:p>
            <w:pPr>
              <w:spacing w:after="0"/>
              <w:rPr>
                <w:sz w:val="24"/>
                <w:szCs w:val="24"/>
                <w:color w:val="auto"/>
              </w:rPr>
            </w:pPr>
          </w:p>
        </w:tc>
        <w:tc>
          <w:tcPr>
            <w:tcW w:w="600" w:type="dxa"/>
            <w:vAlign w:val="bottom"/>
          </w:tcPr>
          <w:p>
            <w:pPr>
              <w:jc w:val="right"/>
              <w:spacing w:after="0" w:line="297" w:lineRule="exact"/>
              <w:rPr>
                <w:sz w:val="20"/>
                <w:szCs w:val="20"/>
                <w:color w:val="auto"/>
              </w:rPr>
            </w:pPr>
            <w:r>
              <w:rPr>
                <w:rFonts w:ascii="Arial" w:cs="Arial" w:eastAsia="Arial" w:hAnsi="Arial"/>
                <w:sz w:val="17"/>
                <w:szCs w:val="17"/>
                <w:color w:val="auto"/>
                <w:w w:val="86"/>
              </w:rPr>
              <w:t>15,310</w:t>
            </w:r>
            <w:r>
              <w:rPr>
                <w:rFonts w:ascii="Arial" w:cs="Arial" w:eastAsia="Arial" w:hAnsi="Arial"/>
                <w:sz w:val="34"/>
                <w:szCs w:val="34"/>
                <w:color w:val="auto"/>
                <w:w w:val="86"/>
                <w:vertAlign w:val="superscript"/>
              </w:rPr>
              <w:t>2</w:t>
            </w:r>
          </w:p>
        </w:tc>
        <w:tc>
          <w:tcPr>
            <w:tcW w:w="1500" w:type="dxa"/>
            <w:vAlign w:val="bottom"/>
          </w:tcPr>
          <w:p>
            <w:pPr>
              <w:spacing w:after="0"/>
              <w:rPr>
                <w:sz w:val="24"/>
                <w:szCs w:val="24"/>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0.001 %</w:t>
            </w:r>
          </w:p>
        </w:tc>
        <w:tc>
          <w:tcPr>
            <w:tcW w:w="0" w:type="dxa"/>
            <w:vAlign w:val="bottom"/>
          </w:tcPr>
          <w:p>
            <w:pPr>
              <w:spacing w:after="0"/>
              <w:rPr>
                <w:sz w:val="1"/>
                <w:szCs w:val="1"/>
                <w:color w:val="auto"/>
              </w:rPr>
            </w:pPr>
          </w:p>
        </w:tc>
      </w:tr>
      <w:tr>
        <w:trPr>
          <w:trHeight w:val="297"/>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Marvin E. Dee</w:t>
            </w:r>
          </w:p>
        </w:tc>
        <w:tc>
          <w:tcPr>
            <w:tcW w:w="13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line="297" w:lineRule="exact"/>
              <w:rPr>
                <w:sz w:val="20"/>
                <w:szCs w:val="20"/>
                <w:color w:val="auto"/>
              </w:rPr>
            </w:pPr>
            <w:r>
              <w:rPr>
                <w:rFonts w:ascii="Arial" w:cs="Arial" w:eastAsia="Arial" w:hAnsi="Arial"/>
                <w:sz w:val="17"/>
                <w:szCs w:val="17"/>
                <w:color w:val="auto"/>
              </w:rPr>
              <w:t>370</w:t>
            </w:r>
            <w:r>
              <w:rPr>
                <w:rFonts w:ascii="Arial" w:cs="Arial" w:eastAsia="Arial" w:hAnsi="Arial"/>
                <w:sz w:val="34"/>
                <w:szCs w:val="34"/>
                <w:color w:val="FFFFFF"/>
                <w:vertAlign w:val="superscript"/>
              </w:rPr>
              <w:t>0</w:t>
            </w:r>
          </w:p>
        </w:tc>
        <w:tc>
          <w:tcPr>
            <w:tcW w:w="15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0.00004 %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 w:firstLine="656"/>
        <w:spacing w:after="0" w:line="291" w:lineRule="auto"/>
        <w:tabs>
          <w:tab w:leader="none" w:pos="134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Hawkins, Inc. Employee Stock Ownership Plan and Trust (the “ESOP”) currently holds 2,312,625 shares of the Issuer’s common stock, representing 23% of the total outstanding shares. The ESOP allows participants to direct the voting of shares allocated to their accounts, but since the Trustees may vote shares with respect to which no directions are received, the Trustees may be deemed to share voting power as to all of these shares. In addition, certain Trustees, as individual participants in the ESOP, have the power to direct the voting of the following number of shares allocated to their personal accounts as of December 31, 2001: John R. Hawkins, 128,424 shares, Kurt R. Norman, 29,594 shares, and Marvin E. Dee, 456 shares. The Trustees also have dispositive power with respect to all 2,312,625 shares, provided that this power is limited by a requirement that the assets of the ESOP Trust must consist primarily of shares of the Issuer’s stock. Each Trustee disclaims beneficial ownership of the shares attributed to him solely as a Trustee of the ESOP.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6" w:lineRule="exact"/>
        <w:rPr>
          <w:sz w:val="20"/>
          <w:szCs w:val="20"/>
          <w:color w:val="auto"/>
        </w:rPr>
      </w:pPr>
    </w:p>
    <w:p>
      <w:pPr>
        <w:ind w:left="-8" w:right="280" w:firstLine="8"/>
        <w:spacing w:after="0" w:line="258" w:lineRule="auto"/>
        <w:tabs>
          <w:tab w:leader="none" w:pos="712"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Hawkins has sole voting and dispositive power over all of these 43,210 shares, except 33,170 shares that Mr. Hawkins holds jointly with his wife as to which he shares voting and dispositive power.</w:t>
      </w:r>
    </w:p>
    <w:p>
      <w:pPr>
        <w:spacing w:after="0" w:line="1" w:lineRule="exact"/>
        <w:rPr>
          <w:sz w:val="20"/>
          <w:szCs w:val="20"/>
          <w:color w:val="auto"/>
        </w:rPr>
      </w:pPr>
    </w:p>
    <w:p>
      <w:pPr>
        <w:ind w:left="-8" w:right="800" w:firstLine="8"/>
        <w:spacing w:after="0" w:line="261" w:lineRule="auto"/>
        <w:tabs>
          <w:tab w:leader="none" w:pos="71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15,310 shares include 1,428 shares held by Mr. Norman's wife as custodian for their children, and to which he disclaims beneficial ownership.</w:t>
      </w: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
        <w:spacing w:after="0"/>
        <w:rPr>
          <w:sz w:val="20"/>
          <w:szCs w:val="20"/>
          <w:color w:val="auto"/>
        </w:rPr>
      </w:pPr>
      <w:r>
        <w:rPr>
          <w:rFonts w:ascii="Arial" w:cs="Arial" w:eastAsia="Arial" w:hAnsi="Arial"/>
          <w:sz w:val="18"/>
          <w:szCs w:val="18"/>
          <w:b w:val="1"/>
          <w:bCs w:val="1"/>
          <w:color w:val="auto"/>
        </w:rPr>
        <w:t>Item 1.</w:t>
      </w:r>
    </w:p>
    <w:p>
      <w:pPr>
        <w:spacing w:after="0" w:line="117" w:lineRule="exact"/>
        <w:rPr>
          <w:sz w:val="20"/>
          <w:szCs w:val="20"/>
          <w:color w:val="auto"/>
        </w:rPr>
      </w:pPr>
    </w:p>
    <w:p>
      <w:pPr>
        <w:ind w:left="1512" w:right="8720" w:hanging="499"/>
        <w:spacing w:after="0" w:line="347" w:lineRule="auto"/>
        <w:tabs>
          <w:tab w:leader="none" w:pos="1512"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Hawkins, Inc.</w:t>
      </w:r>
    </w:p>
    <w:p>
      <w:pPr>
        <w:spacing w:after="0" w:line="8" w:lineRule="exact"/>
        <w:rPr>
          <w:rFonts w:ascii="Arial" w:cs="Arial" w:eastAsia="Arial" w:hAnsi="Arial"/>
          <w:sz w:val="16"/>
          <w:szCs w:val="16"/>
          <w:b w:val="1"/>
          <w:bCs w:val="1"/>
          <w:color w:val="auto"/>
        </w:rPr>
      </w:pPr>
    </w:p>
    <w:p>
      <w:pPr>
        <w:ind w:left="1512" w:right="6280" w:hanging="499"/>
        <w:spacing w:after="0" w:line="261" w:lineRule="auto"/>
        <w:tabs>
          <w:tab w:leader="none" w:pos="151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3100 East Hennepin Avenue</w:t>
      </w:r>
    </w:p>
    <w:p>
      <w:pPr>
        <w:ind w:left="1512"/>
        <w:spacing w:after="0"/>
        <w:rPr>
          <w:rFonts w:ascii="Arial" w:cs="Arial" w:eastAsia="Arial" w:hAnsi="Arial"/>
          <w:sz w:val="18"/>
          <w:szCs w:val="18"/>
          <w:b w:val="1"/>
          <w:bCs w:val="1"/>
          <w:color w:val="auto"/>
        </w:rPr>
      </w:pPr>
      <w:r>
        <w:rPr>
          <w:rFonts w:ascii="Arial" w:cs="Arial" w:eastAsia="Arial" w:hAnsi="Arial"/>
          <w:sz w:val="18"/>
          <w:szCs w:val="18"/>
          <w:color w:val="auto"/>
        </w:rPr>
        <w:t>Minneapolis, Minnesota 55413</w:t>
      </w:r>
    </w:p>
    <w:p>
      <w:pPr>
        <w:spacing w:after="0" w:line="200" w:lineRule="exact"/>
        <w:rPr>
          <w:sz w:val="20"/>
          <w:szCs w:val="20"/>
          <w:color w:val="auto"/>
        </w:rPr>
      </w:pPr>
    </w:p>
    <w:p>
      <w:pPr>
        <w:spacing w:after="0" w:line="250" w:lineRule="exact"/>
        <w:rPr>
          <w:sz w:val="20"/>
          <w:szCs w:val="20"/>
          <w:color w:val="auto"/>
        </w:rPr>
      </w:pPr>
    </w:p>
    <w:p>
      <w:pPr>
        <w:ind w:left="52"/>
        <w:spacing w:after="0"/>
        <w:rPr>
          <w:sz w:val="20"/>
          <w:szCs w:val="20"/>
          <w:color w:val="auto"/>
        </w:rPr>
      </w:pPr>
      <w:r>
        <w:rPr>
          <w:rFonts w:ascii="Arial" w:cs="Arial" w:eastAsia="Arial" w:hAnsi="Arial"/>
          <w:sz w:val="18"/>
          <w:szCs w:val="18"/>
          <w:b w:val="1"/>
          <w:bCs w:val="1"/>
          <w:color w:val="auto"/>
        </w:rPr>
        <w:t>Item 2.</w:t>
      </w:r>
    </w:p>
    <w:p>
      <w:pPr>
        <w:spacing w:after="0" w:line="117" w:lineRule="exact"/>
        <w:rPr>
          <w:sz w:val="20"/>
          <w:szCs w:val="20"/>
          <w:color w:val="auto"/>
        </w:rPr>
      </w:pPr>
    </w:p>
    <w:p>
      <w:pPr>
        <w:ind w:left="1512" w:hanging="499"/>
        <w:spacing w:after="0"/>
        <w:tabs>
          <w:tab w:leader="none" w:pos="151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27" w:lineRule="exact"/>
        <w:rPr>
          <w:rFonts w:ascii="Arial" w:cs="Arial" w:eastAsia="Arial" w:hAnsi="Arial"/>
          <w:sz w:val="18"/>
          <w:szCs w:val="18"/>
          <w:b w:val="1"/>
          <w:bCs w:val="1"/>
          <w:color w:val="auto"/>
        </w:rPr>
      </w:pPr>
    </w:p>
    <w:p>
      <w:pPr>
        <w:ind w:left="1512"/>
        <w:spacing w:after="0"/>
        <w:rPr>
          <w:rFonts w:ascii="Arial" w:cs="Arial" w:eastAsia="Arial" w:hAnsi="Arial"/>
          <w:sz w:val="18"/>
          <w:szCs w:val="18"/>
          <w:b w:val="1"/>
          <w:bCs w:val="1"/>
          <w:color w:val="auto"/>
        </w:rPr>
      </w:pPr>
      <w:r>
        <w:rPr>
          <w:rFonts w:ascii="Arial" w:cs="Arial" w:eastAsia="Arial" w:hAnsi="Arial"/>
          <w:sz w:val="18"/>
          <w:szCs w:val="18"/>
          <w:color w:val="auto"/>
        </w:rPr>
        <w:t>Hawkins, Inc. Employee Stock Ownership Plan and Trust</w:t>
      </w:r>
    </w:p>
    <w:p>
      <w:pPr>
        <w:spacing w:after="0" w:line="98" w:lineRule="exact"/>
        <w:rPr>
          <w:rFonts w:ascii="Arial" w:cs="Arial" w:eastAsia="Arial" w:hAnsi="Arial"/>
          <w:sz w:val="18"/>
          <w:szCs w:val="18"/>
          <w:b w:val="1"/>
          <w:bCs w:val="1"/>
          <w:color w:val="auto"/>
        </w:rPr>
      </w:pPr>
    </w:p>
    <w:p>
      <w:pPr>
        <w:ind w:left="1512" w:right="5400" w:hanging="499"/>
        <w:spacing w:after="0" w:line="261" w:lineRule="auto"/>
        <w:tabs>
          <w:tab w:leader="none" w:pos="151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Principal Business Office or, if none, Residence </w:t>
      </w:r>
      <w:r>
        <w:rPr>
          <w:rFonts w:ascii="Arial" w:cs="Arial" w:eastAsia="Arial" w:hAnsi="Arial"/>
          <w:sz w:val="18"/>
          <w:szCs w:val="18"/>
          <w:color w:val="auto"/>
        </w:rPr>
        <w:t>Residence</w:t>
      </w:r>
    </w:p>
    <w:p>
      <w:pPr>
        <w:ind w:left="1512"/>
        <w:spacing w:after="0"/>
        <w:rPr>
          <w:rFonts w:ascii="Arial" w:cs="Arial" w:eastAsia="Arial" w:hAnsi="Arial"/>
          <w:sz w:val="18"/>
          <w:szCs w:val="18"/>
          <w:b w:val="1"/>
          <w:bCs w:val="1"/>
          <w:color w:val="auto"/>
        </w:rPr>
      </w:pPr>
      <w:r>
        <w:rPr>
          <w:rFonts w:ascii="Arial" w:cs="Arial" w:eastAsia="Arial" w:hAnsi="Arial"/>
          <w:sz w:val="18"/>
          <w:szCs w:val="18"/>
          <w:color w:val="auto"/>
        </w:rPr>
        <w:t>c/o Hawkins, Inc.</w:t>
      </w:r>
    </w:p>
    <w:p>
      <w:pPr>
        <w:spacing w:after="0" w:line="22" w:lineRule="exact"/>
        <w:rPr>
          <w:rFonts w:ascii="Arial" w:cs="Arial" w:eastAsia="Arial" w:hAnsi="Arial"/>
          <w:sz w:val="18"/>
          <w:szCs w:val="18"/>
          <w:b w:val="1"/>
          <w:bCs w:val="1"/>
          <w:color w:val="auto"/>
        </w:rPr>
      </w:pPr>
    </w:p>
    <w:p>
      <w:pPr>
        <w:ind w:left="1512" w:right="764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3100 East Hennepin Avenue Minneapolis, Minnesota 55413</w:t>
      </w:r>
    </w:p>
    <w:p>
      <w:pPr>
        <w:spacing w:after="0" w:line="26" w:lineRule="exact"/>
        <w:rPr>
          <w:rFonts w:ascii="Arial" w:cs="Arial" w:eastAsia="Arial" w:hAnsi="Arial"/>
          <w:sz w:val="18"/>
          <w:szCs w:val="18"/>
          <w:b w:val="1"/>
          <w:bCs w:val="1"/>
          <w:color w:val="auto"/>
        </w:rPr>
      </w:pPr>
    </w:p>
    <w:p>
      <w:pPr>
        <w:ind w:left="1512" w:hanging="499"/>
        <w:spacing w:after="0"/>
        <w:tabs>
          <w:tab w:leader="none" w:pos="151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ectPr>
          <w:pgSz w:w="11900" w:h="16838" w:orient="portrait"/>
          <w:cols w:equalWidth="0" w:num="1">
            <w:col w:w="11392"/>
          </w:cols>
          <w:pgMar w:left="248" w:top="472" w:right="259" w:bottom="0" w:gutter="0" w:footer="0" w:header="0"/>
        </w:sectPr>
      </w:pPr>
    </w:p>
    <w:bookmarkStart w:id="2" w:name="page3"/>
    <w:bookmarkEnd w:id="2"/>
    <w:p>
      <w:pPr>
        <w:ind w:left="1460"/>
        <w:spacing w:after="0"/>
        <w:rPr>
          <w:sz w:val="20"/>
          <w:szCs w:val="20"/>
          <w:color w:val="auto"/>
        </w:rPr>
      </w:pPr>
      <w:r>
        <w:rPr>
          <w:rFonts w:ascii="Arial" w:cs="Arial" w:eastAsia="Arial" w:hAnsi="Arial"/>
          <w:sz w:val="18"/>
          <w:szCs w:val="18"/>
          <w:color w:val="auto"/>
        </w:rPr>
        <w:t>Minnesota</w:t>
      </w:r>
    </w:p>
    <w:p>
      <w:pPr>
        <w:spacing w:after="0" w:line="113" w:lineRule="exact"/>
        <w:rPr>
          <w:sz w:val="20"/>
          <w:szCs w:val="20"/>
          <w:color w:val="auto"/>
        </w:rPr>
      </w:pPr>
    </w:p>
    <w:p>
      <w:pPr>
        <w:ind w:left="1460" w:hanging="499"/>
        <w:spacing w:after="0"/>
        <w:tabs>
          <w:tab w:leader="none" w:pos="1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7" w:lineRule="exact"/>
        <w:rPr>
          <w:rFonts w:ascii="Arial" w:cs="Arial" w:eastAsia="Arial" w:hAnsi="Arial"/>
          <w:sz w:val="18"/>
          <w:szCs w:val="18"/>
          <w:b w:val="1"/>
          <w:bCs w:val="1"/>
          <w:color w:val="auto"/>
        </w:rPr>
      </w:pPr>
    </w:p>
    <w:p>
      <w:pPr>
        <w:ind w:left="1460"/>
        <w:spacing w:after="0"/>
        <w:rPr>
          <w:rFonts w:ascii="Arial" w:cs="Arial" w:eastAsia="Arial" w:hAnsi="Arial"/>
          <w:sz w:val="18"/>
          <w:szCs w:val="18"/>
          <w:b w:val="1"/>
          <w:bCs w:val="1"/>
          <w:color w:val="auto"/>
        </w:rPr>
      </w:pPr>
      <w:r>
        <w:rPr>
          <w:rFonts w:ascii="Arial" w:cs="Arial" w:eastAsia="Arial" w:hAnsi="Arial"/>
          <w:sz w:val="18"/>
          <w:szCs w:val="18"/>
          <w:color w:val="auto"/>
        </w:rPr>
        <w:t>Common Stock, Par Value $.05 per share</w:t>
      </w:r>
    </w:p>
    <w:p>
      <w:pPr>
        <w:spacing w:after="0" w:line="98" w:lineRule="exact"/>
        <w:rPr>
          <w:rFonts w:ascii="Arial" w:cs="Arial" w:eastAsia="Arial" w:hAnsi="Arial"/>
          <w:sz w:val="18"/>
          <w:szCs w:val="18"/>
          <w:b w:val="1"/>
          <w:bCs w:val="1"/>
          <w:color w:val="auto"/>
        </w:rPr>
      </w:pPr>
    </w:p>
    <w:p>
      <w:pPr>
        <w:ind w:left="1460" w:right="8560" w:hanging="499"/>
        <w:spacing w:after="0" w:line="313" w:lineRule="auto"/>
        <w:tabs>
          <w:tab w:leader="none" w:pos="146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420261 10 9</w:t>
      </w:r>
    </w:p>
    <w:p>
      <w:pPr>
        <w:spacing w:after="0" w:line="38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13d-1(b) or 13d-2(b) or (c), check whether the person filing is a:</w:t>
      </w:r>
    </w:p>
    <w:p>
      <w:pPr>
        <w:spacing w:after="0" w:line="121" w:lineRule="exact"/>
        <w:rPr>
          <w:sz w:val="20"/>
          <w:szCs w:val="20"/>
          <w:color w:val="auto"/>
        </w:rPr>
      </w:pPr>
    </w:p>
    <w:p>
      <w:pPr>
        <w:ind w:left="1120" w:hanging="467"/>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w:t>
      </w:r>
    </w:p>
    <w:p>
      <w:pPr>
        <w:spacing w:after="0" w:line="117" w:lineRule="exact"/>
        <w:rPr>
          <w:rFonts w:ascii="Arial" w:cs="Arial" w:eastAsia="Arial" w:hAnsi="Arial"/>
          <w:sz w:val="18"/>
          <w:szCs w:val="18"/>
          <w:color w:val="auto"/>
        </w:rPr>
      </w:pPr>
    </w:p>
    <w:p>
      <w:pPr>
        <w:ind w:left="1120" w:hanging="477"/>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   Bank as defined in section 3(a)(6) of the Act</w:t>
      </w:r>
    </w:p>
    <w:p>
      <w:pPr>
        <w:spacing w:after="0" w:line="117" w:lineRule="exact"/>
        <w:rPr>
          <w:rFonts w:ascii="Arial" w:cs="Arial" w:eastAsia="Arial" w:hAnsi="Arial"/>
          <w:sz w:val="18"/>
          <w:szCs w:val="18"/>
          <w:color w:val="auto"/>
        </w:rPr>
      </w:pPr>
    </w:p>
    <w:p>
      <w:pPr>
        <w:ind w:left="1120" w:hanging="467"/>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w:t>
      </w:r>
    </w:p>
    <w:p>
      <w:pPr>
        <w:spacing w:after="0" w:line="117" w:lineRule="exact"/>
        <w:rPr>
          <w:rFonts w:ascii="Arial" w:cs="Arial" w:eastAsia="Arial" w:hAnsi="Arial"/>
          <w:sz w:val="18"/>
          <w:szCs w:val="18"/>
          <w:color w:val="auto"/>
        </w:rPr>
      </w:pPr>
    </w:p>
    <w:p>
      <w:pPr>
        <w:ind w:left="1120" w:hanging="477"/>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w:t>
      </w:r>
    </w:p>
    <w:p>
      <w:pPr>
        <w:spacing w:after="0" w:line="117" w:lineRule="exact"/>
        <w:rPr>
          <w:rFonts w:ascii="Arial" w:cs="Arial" w:eastAsia="Arial" w:hAnsi="Arial"/>
          <w:sz w:val="18"/>
          <w:szCs w:val="18"/>
          <w:color w:val="auto"/>
        </w:rPr>
      </w:pPr>
    </w:p>
    <w:p>
      <w:pPr>
        <w:ind w:left="1120" w:hanging="467"/>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   Investment Adviser registered under section 203 of the Investment Advisers Act of 1940</w:t>
      </w:r>
    </w:p>
    <w:p>
      <w:pPr>
        <w:spacing w:after="0" w:line="84" w:lineRule="exact"/>
        <w:rPr>
          <w:rFonts w:ascii="Arial" w:cs="Arial" w:eastAsia="Arial" w:hAnsi="Arial"/>
          <w:sz w:val="18"/>
          <w:szCs w:val="18"/>
          <w:color w:val="auto"/>
        </w:rPr>
      </w:pPr>
    </w:p>
    <w:p>
      <w:pPr>
        <w:ind w:left="1460" w:right="180" w:hanging="787"/>
        <w:spacing w:after="0" w:line="240" w:lineRule="exact"/>
        <w:tabs>
          <w:tab w:leader="none" w:pos="1075" w:val="left"/>
        </w:tabs>
        <w:numPr>
          <w:ilvl w:val="0"/>
          <w:numId w:val="10"/>
        </w:numPr>
        <w:rPr>
          <w:rFonts w:ascii="Arial" w:cs="Arial" w:eastAsia="Arial" w:hAnsi="Arial"/>
          <w:sz w:val="36"/>
          <w:szCs w:val="36"/>
          <w:color w:val="auto"/>
          <w:vertAlign w:val="subscript"/>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Employee Benefit Plan, Pension Fund which is subject to the provisions of the Employee Retirement Income Security Act of 1974 or Endowment Fund; see Rule 13d–1(b)(1)(ii)(F)</w:t>
      </w:r>
    </w:p>
    <w:p>
      <w:pPr>
        <w:spacing w:after="0" w:line="94" w:lineRule="exact"/>
        <w:rPr>
          <w:rFonts w:ascii="Arial" w:cs="Arial" w:eastAsia="Arial" w:hAnsi="Arial"/>
          <w:sz w:val="36"/>
          <w:szCs w:val="36"/>
          <w:color w:val="auto"/>
          <w:vertAlign w:val="subscript"/>
        </w:rPr>
      </w:pPr>
    </w:p>
    <w:p>
      <w:pPr>
        <w:ind w:left="1120" w:hanging="477"/>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   Parent Holding Company, in accordance with Rule 13d–1(b)(1)(ii)(G) (Note: See Item 7)</w:t>
      </w:r>
    </w:p>
    <w:p>
      <w:pPr>
        <w:spacing w:after="0" w:line="117" w:lineRule="exact"/>
        <w:rPr>
          <w:rFonts w:ascii="Arial" w:cs="Arial" w:eastAsia="Arial" w:hAnsi="Arial"/>
          <w:sz w:val="18"/>
          <w:szCs w:val="18"/>
          <w:color w:val="auto"/>
        </w:rPr>
      </w:pPr>
    </w:p>
    <w:p>
      <w:pPr>
        <w:ind w:left="1120" w:hanging="477"/>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   Group, in accordance with Rule 13d–1(b)(1)(ii)(H)</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If the percent of the class owned, as of December 31 of the year covered by the statement, or as of the last day of any month described in Rule 13d– 1(b)(2), if applicable, exceeds five percent, provide the following information as of that date and identify those shares which there is a right to acquire.</w:t>
      </w:r>
    </w:p>
    <w:p>
      <w:pPr>
        <w:spacing w:after="0" w:line="68" w:lineRule="exact"/>
        <w:rPr>
          <w:sz w:val="20"/>
          <w:szCs w:val="20"/>
          <w:color w:val="auto"/>
        </w:rPr>
      </w:pPr>
    </w:p>
    <w:p>
      <w:pPr>
        <w:ind w:left="1480" w:hanging="519"/>
        <w:spacing w:after="0"/>
        <w:tabs>
          <w:tab w:leader="none" w:pos="1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color w:val="auto"/>
        </w:rPr>
        <w:t>2,312,625 (See Note b)</w:t>
      </w:r>
    </w:p>
    <w:p>
      <w:pPr>
        <w:spacing w:after="0" w:line="117" w:lineRule="exact"/>
        <w:rPr>
          <w:rFonts w:ascii="Arial" w:cs="Arial" w:eastAsia="Arial" w:hAnsi="Arial"/>
          <w:sz w:val="18"/>
          <w:szCs w:val="18"/>
          <w:b w:val="1"/>
          <w:bCs w:val="1"/>
          <w:color w:val="auto"/>
        </w:rPr>
      </w:pPr>
    </w:p>
    <w:p>
      <w:pPr>
        <w:ind w:left="1480" w:hanging="519"/>
        <w:spacing w:after="0"/>
        <w:tabs>
          <w:tab w:leader="none" w:pos="1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w:t>
      </w:r>
      <w:r>
        <w:rPr>
          <w:rFonts w:ascii="Arial" w:cs="Arial" w:eastAsia="Arial" w:hAnsi="Arial"/>
          <w:sz w:val="18"/>
          <w:szCs w:val="18"/>
          <w:color w:val="auto"/>
        </w:rPr>
        <w:t>23%</w:t>
      </w:r>
    </w:p>
    <w:p>
      <w:pPr>
        <w:spacing w:after="0" w:line="117" w:lineRule="exact"/>
        <w:rPr>
          <w:rFonts w:ascii="Arial" w:cs="Arial" w:eastAsia="Arial" w:hAnsi="Arial"/>
          <w:sz w:val="18"/>
          <w:szCs w:val="18"/>
          <w:b w:val="1"/>
          <w:bCs w:val="1"/>
          <w:color w:val="auto"/>
        </w:rPr>
      </w:pPr>
    </w:p>
    <w:p>
      <w:pPr>
        <w:ind w:left="1480" w:hanging="519"/>
        <w:spacing w:after="0"/>
        <w:tabs>
          <w:tab w:leader="none" w:pos="1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ectPr>
          <w:pgSz w:w="11900" w:h="16838" w:orient="portrait"/>
          <w:cols w:equalWidth="0" w:num="1">
            <w:col w:w="11240"/>
          </w:cols>
          <w:pgMar w:left="300" w:top="125" w:right="359" w:bottom="231" w:gutter="0" w:footer="0" w:header="0"/>
        </w:sectPr>
      </w:pP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(i)</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Sole power to vote or to direct the vote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0</w:t>
      </w:r>
    </w:p>
    <w:p>
      <w:pPr>
        <w:spacing w:after="0" w:line="158" w:lineRule="exact"/>
        <w:rPr>
          <w:sz w:val="20"/>
          <w:szCs w:val="20"/>
          <w:color w:val="auto"/>
        </w:rPr>
      </w:pPr>
    </w:p>
    <w:p>
      <w:pPr>
        <w:sectPr>
          <w:pgSz w:w="11900" w:h="16838" w:orient="portrait"/>
          <w:cols w:equalWidth="0" w:num="3">
            <w:col w:w="1640" w:space="580"/>
            <w:col w:w="2960" w:space="180"/>
            <w:col w:w="5880"/>
          </w:cols>
          <w:pgMar w:left="300" w:top="125" w:right="359" w:bottom="231" w:gutter="0" w:footer="0" w:header="0"/>
          <w:type w:val="continuous"/>
        </w:sectPr>
      </w:pPr>
    </w:p>
    <w:p>
      <w:pPr>
        <w:ind w:left="1480"/>
        <w:spacing w:after="0"/>
        <w:tabs>
          <w:tab w:leader="none" w:pos="2200" w:val="left"/>
        </w:tabs>
        <w:rPr>
          <w:sz w:val="20"/>
          <w:szCs w:val="20"/>
          <w:color w:val="auto"/>
        </w:rPr>
      </w:pPr>
      <w:r>
        <w:rPr>
          <w:rFonts w:ascii="Arial" w:cs="Arial" w:eastAsia="Arial" w:hAnsi="Arial"/>
          <w:sz w:val="16"/>
          <w:szCs w:val="16"/>
          <w:b w:val="1"/>
          <w:bCs w:val="1"/>
          <w:color w:val="auto"/>
        </w:rPr>
        <w:t>(ii)</w:t>
      </w:r>
      <w:r>
        <w:rPr>
          <w:sz w:val="20"/>
          <w:szCs w:val="20"/>
          <w:color w:val="auto"/>
        </w:rPr>
        <w:tab/>
      </w:r>
      <w:r>
        <w:rPr>
          <w:rFonts w:ascii="Arial" w:cs="Arial" w:eastAsia="Arial" w:hAnsi="Arial"/>
          <w:sz w:val="16"/>
          <w:szCs w:val="16"/>
          <w:b w:val="1"/>
          <w:bCs w:val="1"/>
          <w:color w:val="auto"/>
        </w:rPr>
        <w:t>Shared power to vote or to direct the 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2,312,625 (See Note b)</w:t>
      </w:r>
    </w:p>
    <w:p>
      <w:pPr>
        <w:spacing w:after="0" w:line="136" w:lineRule="exact"/>
        <w:rPr>
          <w:sz w:val="20"/>
          <w:szCs w:val="20"/>
          <w:color w:val="auto"/>
        </w:rPr>
      </w:pPr>
    </w:p>
    <w:p>
      <w:pPr>
        <w:sectPr>
          <w:pgSz w:w="11900" w:h="16838" w:orient="portrait"/>
          <w:cols w:equalWidth="0" w:num="2">
            <w:col w:w="5400" w:space="180"/>
            <w:col w:w="5660"/>
          </w:cols>
          <w:pgMar w:left="300" w:top="125" w:right="359" w:bottom="231" w:gutter="0" w:footer="0" w:header="0"/>
          <w:type w:val="continuous"/>
        </w:sectPr>
      </w:pPr>
    </w:p>
    <w:p>
      <w:pPr>
        <w:ind w:left="1480"/>
        <w:spacing w:after="0"/>
        <w:tabs>
          <w:tab w:leader="none" w:pos="2200" w:val="left"/>
        </w:tabs>
        <w:rPr>
          <w:sz w:val="20"/>
          <w:szCs w:val="20"/>
          <w:color w:val="auto"/>
        </w:rPr>
      </w:pPr>
      <w:r>
        <w:rPr>
          <w:rFonts w:ascii="Arial" w:cs="Arial" w:eastAsia="Arial" w:hAnsi="Arial"/>
          <w:sz w:val="15"/>
          <w:szCs w:val="15"/>
          <w:b w:val="1"/>
          <w:bCs w:val="1"/>
          <w:color w:val="auto"/>
        </w:rPr>
        <w:t>(iii)</w:t>
      </w:r>
      <w:r>
        <w:rPr>
          <w:sz w:val="20"/>
          <w:szCs w:val="20"/>
          <w:color w:val="auto"/>
        </w:rPr>
        <w:tab/>
      </w:r>
      <w:r>
        <w:rPr>
          <w:rFonts w:ascii="Arial" w:cs="Arial" w:eastAsia="Arial" w:hAnsi="Arial"/>
          <w:sz w:val="15"/>
          <w:szCs w:val="15"/>
          <w:b w:val="1"/>
          <w:bCs w:val="1"/>
          <w:color w:val="auto"/>
        </w:rPr>
        <w:t>Sole power to dispose or to direct the disposition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0</w:t>
      </w:r>
    </w:p>
    <w:p>
      <w:pPr>
        <w:spacing w:after="0" w:line="159" w:lineRule="exact"/>
        <w:rPr>
          <w:sz w:val="20"/>
          <w:szCs w:val="20"/>
          <w:color w:val="auto"/>
        </w:rPr>
      </w:pPr>
    </w:p>
    <w:p>
      <w:pPr>
        <w:sectPr>
          <w:pgSz w:w="11900" w:h="16838" w:orient="portrait"/>
          <w:cols w:equalWidth="0" w:num="2">
            <w:col w:w="6120" w:space="180"/>
            <w:col w:w="4940"/>
          </w:cols>
          <w:pgMar w:left="300" w:top="125" w:right="359" w:bottom="231" w:gutter="0" w:footer="0" w:header="0"/>
          <w:type w:val="continuous"/>
        </w:sectPr>
      </w:pPr>
    </w:p>
    <w:p>
      <w:pPr>
        <w:ind w:left="1480"/>
        <w:spacing w:after="0"/>
        <w:tabs>
          <w:tab w:leader="none" w:pos="2200" w:val="left"/>
        </w:tabs>
        <w:rPr>
          <w:sz w:val="20"/>
          <w:szCs w:val="20"/>
          <w:color w:val="auto"/>
        </w:rPr>
      </w:pPr>
      <w:r>
        <w:rPr>
          <w:rFonts w:ascii="Arial" w:cs="Arial" w:eastAsia="Arial" w:hAnsi="Arial"/>
          <w:sz w:val="15"/>
          <w:szCs w:val="15"/>
          <w:b w:val="1"/>
          <w:bCs w:val="1"/>
          <w:color w:val="auto"/>
        </w:rPr>
        <w:t>(iv)</w:t>
      </w:r>
      <w:r>
        <w:rPr>
          <w:sz w:val="20"/>
          <w:szCs w:val="20"/>
          <w:color w:val="auto"/>
        </w:rPr>
        <w:tab/>
      </w:r>
      <w:r>
        <w:rPr>
          <w:rFonts w:ascii="Arial" w:cs="Arial" w:eastAsia="Arial" w:hAnsi="Arial"/>
          <w:sz w:val="15"/>
          <w:szCs w:val="15"/>
          <w:b w:val="1"/>
          <w:bCs w:val="1"/>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2,312,625 (See Note b)</w:t>
      </w:r>
    </w:p>
    <w:p>
      <w:pPr>
        <w:spacing w:after="0" w:line="200" w:lineRule="exact"/>
        <w:rPr>
          <w:sz w:val="20"/>
          <w:szCs w:val="20"/>
          <w:color w:val="auto"/>
        </w:rPr>
      </w:pPr>
    </w:p>
    <w:p>
      <w:pPr>
        <w:sectPr>
          <w:pgSz w:w="11900" w:h="16838" w:orient="portrait"/>
          <w:cols w:equalWidth="0" w:num="2">
            <w:col w:w="6340" w:space="180"/>
            <w:col w:w="4720"/>
          </w:cols>
          <w:pgMar w:left="300" w:top="125" w:right="359" w:bottom="231" w:gutter="0" w:footer="0" w:header="0"/>
          <w:type w:val="continuous"/>
        </w:sectPr>
      </w:pPr>
    </w:p>
    <w:p>
      <w:pPr>
        <w:spacing w:after="0" w:line="28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1240"/>
          </w:cols>
          <w:pgMar w:left="300" w:top="125" w:right="359" w:bottom="231" w:gutter="0" w:footer="0" w:header="0"/>
          <w:type w:val="continuous"/>
        </w:sectPr>
      </w:pPr>
    </w:p>
    <w:bookmarkStart w:id="3" w:name="page4"/>
    <w:bookmarkEnd w:id="3"/>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Signatures</w:t>
      </w:r>
    </w:p>
    <w:p>
      <w:pPr>
        <w:spacing w:after="0" w:line="272" w:lineRule="exact"/>
        <w:rPr>
          <w:sz w:val="20"/>
          <w:szCs w:val="20"/>
          <w:color w:val="auto"/>
        </w:rPr>
      </w:pPr>
    </w:p>
    <w:p>
      <w:pPr>
        <w:ind w:right="640" w:firstLine="594"/>
        <w:spacing w:after="0" w:line="260" w:lineRule="auto"/>
        <w:rPr>
          <w:sz w:val="20"/>
          <w:szCs w:val="20"/>
          <w:color w:val="auto"/>
        </w:rPr>
      </w:pPr>
      <w:r>
        <w:rPr>
          <w:rFonts w:ascii="Arial" w:cs="Arial" w:eastAsia="Arial" w:hAnsi="Arial"/>
          <w:sz w:val="20"/>
          <w:szCs w:val="20"/>
          <w:color w:val="auto"/>
        </w:rPr>
        <w:t>After reasonable inquiry and to the best of our knowledge and belief, the undersigned Trustees of Hawkins, Inc. Employee Stock Ownership Trust certify that the information set forth in this statement is true, complete and correct.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7040" w:type="dxa"/>
            <w:vAlign w:val="bottom"/>
            <w:gridSpan w:val="2"/>
          </w:tcPr>
          <w:p>
            <w:pPr>
              <w:ind w:left="2400"/>
              <w:spacing w:after="0"/>
              <w:rPr>
                <w:sz w:val="20"/>
                <w:szCs w:val="20"/>
                <w:color w:val="auto"/>
              </w:rPr>
            </w:pPr>
            <w:r>
              <w:rPr>
                <w:rFonts w:ascii="Arial" w:cs="Arial" w:eastAsia="Arial" w:hAnsi="Arial"/>
                <w:sz w:val="18"/>
                <w:szCs w:val="18"/>
                <w:b w:val="1"/>
                <w:bCs w:val="1"/>
                <w:color w:val="auto"/>
              </w:rPr>
              <w:t>HAWKINS, INC.</w:t>
            </w:r>
          </w:p>
        </w:tc>
        <w:tc>
          <w:tcPr>
            <w:tcW w:w="66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7040" w:type="dxa"/>
            <w:vAlign w:val="bottom"/>
            <w:gridSpan w:val="2"/>
          </w:tcPr>
          <w:p>
            <w:pPr>
              <w:ind w:left="2400"/>
              <w:spacing w:after="0"/>
              <w:rPr>
                <w:sz w:val="20"/>
                <w:szCs w:val="20"/>
                <w:color w:val="auto"/>
              </w:rPr>
            </w:pPr>
            <w:r>
              <w:rPr>
                <w:rFonts w:ascii="Arial" w:cs="Arial" w:eastAsia="Arial" w:hAnsi="Arial"/>
                <w:sz w:val="18"/>
                <w:szCs w:val="18"/>
                <w:b w:val="1"/>
                <w:bCs w:val="1"/>
                <w:color w:val="auto"/>
              </w:rPr>
              <w:t>EMPLOYEE STOCK OWNERSHIP TRUST</w:t>
            </w:r>
          </w:p>
        </w:tc>
        <w:tc>
          <w:tcPr>
            <w:tcW w:w="660" w:type="dxa"/>
            <w:vAlign w:val="bottom"/>
          </w:tcPr>
          <w:p>
            <w:pPr>
              <w:spacing w:after="0"/>
              <w:rPr>
                <w:sz w:val="20"/>
                <w:szCs w:val="20"/>
                <w:color w:val="auto"/>
              </w:rPr>
            </w:pPr>
          </w:p>
        </w:tc>
      </w:tr>
      <w:tr>
        <w:trPr>
          <w:trHeight w:val="702"/>
        </w:trPr>
        <w:tc>
          <w:tcPr>
            <w:tcW w:w="3740" w:type="dxa"/>
            <w:vAlign w:val="bottom"/>
          </w:tcPr>
          <w:p>
            <w:pPr>
              <w:ind w:left="20"/>
              <w:spacing w:after="0"/>
              <w:rPr>
                <w:sz w:val="20"/>
                <w:szCs w:val="20"/>
                <w:color w:val="auto"/>
              </w:rPr>
            </w:pPr>
            <w:r>
              <w:rPr>
                <w:rFonts w:ascii="Arial" w:cs="Arial" w:eastAsia="Arial" w:hAnsi="Arial"/>
                <w:sz w:val="18"/>
                <w:szCs w:val="18"/>
                <w:color w:val="auto"/>
              </w:rPr>
              <w:t>Dated: February 6, 2002</w:t>
            </w:r>
          </w:p>
        </w:tc>
        <w:tc>
          <w:tcPr>
            <w:tcW w:w="3120" w:type="dxa"/>
            <w:vAlign w:val="bottom"/>
          </w:tcPr>
          <w:p>
            <w:pPr>
              <w:ind w:left="240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R. Hawkins</w:t>
            </w:r>
          </w:p>
        </w:tc>
        <w:tc>
          <w:tcPr>
            <w:tcW w:w="660" w:type="dxa"/>
            <w:vAlign w:val="bottom"/>
          </w:tcPr>
          <w:p>
            <w:pPr>
              <w:spacing w:after="0"/>
              <w:rPr>
                <w:sz w:val="24"/>
                <w:szCs w:val="24"/>
                <w:color w:val="auto"/>
              </w:rPr>
            </w:pPr>
          </w:p>
        </w:tc>
      </w:tr>
      <w:tr>
        <w:trPr>
          <w:trHeight w:val="224"/>
        </w:trPr>
        <w:tc>
          <w:tcPr>
            <w:tcW w:w="37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John R. Hawkins, Trustee</w:t>
            </w:r>
          </w:p>
        </w:tc>
        <w:tc>
          <w:tcPr>
            <w:tcW w:w="660" w:type="dxa"/>
            <w:vAlign w:val="bottom"/>
          </w:tcPr>
          <w:p>
            <w:pPr>
              <w:spacing w:after="0"/>
              <w:rPr>
                <w:sz w:val="19"/>
                <w:szCs w:val="19"/>
                <w:color w:val="auto"/>
              </w:rPr>
            </w:pPr>
          </w:p>
        </w:tc>
      </w:tr>
      <w:tr>
        <w:trPr>
          <w:trHeight w:val="445"/>
        </w:trPr>
        <w:tc>
          <w:tcPr>
            <w:tcW w:w="3740" w:type="dxa"/>
            <w:vAlign w:val="bottom"/>
          </w:tcPr>
          <w:p>
            <w:pPr>
              <w:spacing w:after="0"/>
              <w:rPr>
                <w:sz w:val="24"/>
                <w:szCs w:val="24"/>
                <w:color w:val="auto"/>
              </w:rPr>
            </w:pPr>
          </w:p>
        </w:tc>
        <w:tc>
          <w:tcPr>
            <w:tcW w:w="3120" w:type="dxa"/>
            <w:vAlign w:val="bottom"/>
          </w:tcPr>
          <w:p>
            <w:pPr>
              <w:ind w:left="240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Kurt R. Norman</w:t>
            </w:r>
          </w:p>
        </w:tc>
        <w:tc>
          <w:tcPr>
            <w:tcW w:w="660" w:type="dxa"/>
            <w:vAlign w:val="bottom"/>
          </w:tcPr>
          <w:p>
            <w:pPr>
              <w:spacing w:after="0"/>
              <w:rPr>
                <w:sz w:val="24"/>
                <w:szCs w:val="24"/>
                <w:color w:val="auto"/>
              </w:rPr>
            </w:pPr>
          </w:p>
        </w:tc>
      </w:tr>
      <w:tr>
        <w:trPr>
          <w:trHeight w:val="224"/>
        </w:trPr>
        <w:tc>
          <w:tcPr>
            <w:tcW w:w="37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Kurt R. Norman, Trustee</w:t>
            </w:r>
          </w:p>
        </w:tc>
        <w:tc>
          <w:tcPr>
            <w:tcW w:w="660" w:type="dxa"/>
            <w:vAlign w:val="bottom"/>
          </w:tcPr>
          <w:p>
            <w:pPr>
              <w:spacing w:after="0"/>
              <w:rPr>
                <w:sz w:val="19"/>
                <w:szCs w:val="19"/>
                <w:color w:val="auto"/>
              </w:rPr>
            </w:pPr>
          </w:p>
        </w:tc>
      </w:tr>
      <w:tr>
        <w:trPr>
          <w:trHeight w:val="445"/>
        </w:trPr>
        <w:tc>
          <w:tcPr>
            <w:tcW w:w="3740" w:type="dxa"/>
            <w:vAlign w:val="bottom"/>
          </w:tcPr>
          <w:p>
            <w:pPr>
              <w:spacing w:after="0"/>
              <w:rPr>
                <w:sz w:val="24"/>
                <w:szCs w:val="24"/>
                <w:color w:val="auto"/>
              </w:rPr>
            </w:pPr>
          </w:p>
        </w:tc>
        <w:tc>
          <w:tcPr>
            <w:tcW w:w="3120" w:type="dxa"/>
            <w:vAlign w:val="bottom"/>
          </w:tcPr>
          <w:p>
            <w:pPr>
              <w:ind w:left="240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Marvin E. Dee</w:t>
            </w:r>
          </w:p>
        </w:tc>
        <w:tc>
          <w:tcPr>
            <w:tcW w:w="660" w:type="dxa"/>
            <w:vAlign w:val="bottom"/>
          </w:tcPr>
          <w:p>
            <w:pPr>
              <w:spacing w:after="0"/>
              <w:rPr>
                <w:sz w:val="24"/>
                <w:szCs w:val="24"/>
                <w:color w:val="auto"/>
              </w:rPr>
            </w:pPr>
          </w:p>
        </w:tc>
      </w:tr>
      <w:tr>
        <w:trPr>
          <w:trHeight w:val="224"/>
        </w:trPr>
        <w:tc>
          <w:tcPr>
            <w:tcW w:w="37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Marvin E. Dee, Trustee</w:t>
            </w:r>
          </w:p>
        </w:tc>
        <w:tc>
          <w:tcPr>
            <w:tcW w:w="660" w:type="dxa"/>
            <w:vAlign w:val="bottom"/>
          </w:tcPr>
          <w:p>
            <w:pPr>
              <w:spacing w:after="0"/>
              <w:rPr>
                <w:sz w:val="19"/>
                <w:szCs w:val="19"/>
                <w:color w:val="auto"/>
              </w:rPr>
            </w:pPr>
          </w:p>
        </w:tc>
      </w:tr>
      <w:tr>
        <w:trPr>
          <w:trHeight w:val="634"/>
        </w:trPr>
        <w:tc>
          <w:tcPr>
            <w:tcW w:w="3740" w:type="dxa"/>
            <w:vAlign w:val="bottom"/>
          </w:tcPr>
          <w:p>
            <w:pPr>
              <w:spacing w:after="0"/>
              <w:rPr>
                <w:sz w:val="24"/>
                <w:szCs w:val="24"/>
                <w:color w:val="auto"/>
              </w:rPr>
            </w:pPr>
          </w:p>
        </w:tc>
        <w:tc>
          <w:tcPr>
            <w:tcW w:w="3120" w:type="dxa"/>
            <w:vAlign w:val="bottom"/>
          </w:tcPr>
          <w:p>
            <w:pPr>
              <w:ind w:left="1920"/>
              <w:spacing w:after="0"/>
              <w:rPr>
                <w:sz w:val="20"/>
                <w:szCs w:val="20"/>
                <w:color w:val="auto"/>
              </w:rPr>
            </w:pPr>
            <w:r>
              <w:rPr>
                <w:rFonts w:ascii="Arial" w:cs="Arial" w:eastAsia="Arial" w:hAnsi="Arial"/>
                <w:sz w:val="18"/>
                <w:szCs w:val="18"/>
                <w:color w:val="auto"/>
              </w:rPr>
              <w:t>6</w:t>
            </w:r>
          </w:p>
        </w:tc>
        <w:tc>
          <w:tcPr>
            <w:tcW w:w="39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91"/>
        </w:trPr>
        <w:tc>
          <w:tcPr>
            <w:tcW w:w="3740" w:type="dxa"/>
            <w:vAlign w:val="bottom"/>
            <w:tcBorders>
              <w:bottom w:val="single" w:sz="8" w:color="808080"/>
            </w:tcBorders>
          </w:tcPr>
          <w:p>
            <w:pPr>
              <w:spacing w:after="0"/>
              <w:rPr>
                <w:sz w:val="7"/>
                <w:szCs w:val="7"/>
                <w:color w:val="auto"/>
              </w:rPr>
            </w:pPr>
          </w:p>
        </w:tc>
        <w:tc>
          <w:tcPr>
            <w:tcW w:w="3120" w:type="dxa"/>
            <w:vAlign w:val="bottom"/>
            <w:tcBorders>
              <w:bottom w:val="single" w:sz="8" w:color="808080"/>
            </w:tcBorders>
          </w:tcPr>
          <w:p>
            <w:pPr>
              <w:spacing w:after="0"/>
              <w:rPr>
                <w:sz w:val="7"/>
                <w:szCs w:val="7"/>
                <w:color w:val="auto"/>
              </w:rPr>
            </w:pPr>
          </w:p>
        </w:tc>
        <w:tc>
          <w:tcPr>
            <w:tcW w:w="392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
    <w:nsid w:val="2EB141F2"/>
    <w:multiLevelType w:val="hybridMultilevel"/>
    <w:lvl w:ilvl="0">
      <w:lvlJc w:val="left"/>
      <w:lvlText w:val="%1."/>
      <w:numFmt w:val="decimal"/>
      <w:start w:val="9"/>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2"/>
    </w:lvl>
  </w:abstractNum>
  <w:abstractNum w:abstractNumId="4">
    <w:nsid w:val="7545E146"/>
    <w:multiLevelType w:val="hybridMultilevel"/>
    <w:lvl w:ilvl="0">
      <w:lvlJc w:val="left"/>
      <w:lvlText w:val="1"/>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4"/>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2019-12-13T01:51:39Z</dcterms:created>
  <dcterms:modified xsi:type="dcterms:W3CDTF">2019-12-13T01:51:39Z</dcterms:modified>
</cp:coreProperties>
</file>