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60" w:type="dxa"/>
        <w:tblCellMar>
          <w:top w:w="0" w:type="dxa"/>
          <w:left w:w="0" w:type="dxa"/>
          <w:bottom w:w="0" w:type="dxa"/>
          <w:right w:w="0" w:type="dxa"/>
        </w:tblCellMar>
      </w:tblPr>
      <w:tr>
        <w:trPr>
          <w:trHeight w:val="305"/>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jc w:val="center"/>
              <w:ind w:right="940"/>
              <w:spacing w:after="0"/>
              <w:rPr>
                <w:sz w:val="20"/>
                <w:szCs w:val="20"/>
                <w:color w:val="auto"/>
              </w:rPr>
            </w:pPr>
            <w:r>
              <w:rPr>
                <w:rFonts w:ascii="Calibri" w:cs="Calibri" w:eastAsia="Calibri" w:hAnsi="Calibri"/>
                <w:sz w:val="25"/>
                <w:szCs w:val="25"/>
                <w:b w:val="1"/>
                <w:bCs w:val="1"/>
                <w:color w:val="auto"/>
                <w:w w:val="99"/>
              </w:rPr>
              <w:t>UNITED STATES</w:t>
            </w:r>
          </w:p>
        </w:tc>
      </w:tr>
      <w:tr>
        <w:trPr>
          <w:trHeight w:val="301"/>
        </w:trPr>
        <w:tc>
          <w:tcPr>
            <w:tcW w:w="1360" w:type="dxa"/>
            <w:vAlign w:val="bottom"/>
          </w:tcPr>
          <w:p>
            <w:pPr>
              <w:spacing w:after="0"/>
              <w:rPr>
                <w:sz w:val="24"/>
                <w:szCs w:val="24"/>
                <w:color w:val="auto"/>
              </w:rPr>
            </w:pPr>
          </w:p>
        </w:tc>
        <w:tc>
          <w:tcPr>
            <w:tcW w:w="5920" w:type="dxa"/>
            <w:vAlign w:val="bottom"/>
            <w:gridSpan w:val="3"/>
          </w:tcPr>
          <w:p>
            <w:pPr>
              <w:jc w:val="center"/>
              <w:ind w:left="801"/>
              <w:spacing w:after="0" w:line="301" w:lineRule="exact"/>
              <w:rPr>
                <w:sz w:val="20"/>
                <w:szCs w:val="20"/>
                <w:color w:val="auto"/>
              </w:rPr>
            </w:pPr>
            <w:r>
              <w:rPr>
                <w:rFonts w:ascii="Calibri" w:cs="Calibri" w:eastAsia="Calibri" w:hAnsi="Calibri"/>
                <w:sz w:val="25"/>
                <w:szCs w:val="25"/>
                <w:b w:val="1"/>
                <w:bCs w:val="1"/>
                <w:color w:val="auto"/>
              </w:rPr>
              <w:t>SECURITIES AND EXCHANGE COMMISSION</w:t>
            </w:r>
          </w:p>
        </w:tc>
      </w:tr>
      <w:tr>
        <w:trPr>
          <w:trHeight w:val="262"/>
        </w:trPr>
        <w:tc>
          <w:tcPr>
            <w:tcW w:w="13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100" w:type="dxa"/>
            <w:vAlign w:val="bottom"/>
            <w:gridSpan w:val="2"/>
          </w:tcPr>
          <w:p>
            <w:pPr>
              <w:jc w:val="center"/>
              <w:ind w:right="940"/>
              <w:spacing w:after="0" w:line="262" w:lineRule="exact"/>
              <w:rPr>
                <w:sz w:val="20"/>
                <w:szCs w:val="20"/>
                <w:color w:val="auto"/>
              </w:rPr>
            </w:pPr>
            <w:r>
              <w:rPr>
                <w:rFonts w:ascii="Calibri" w:cs="Calibri" w:eastAsia="Calibri" w:hAnsi="Calibri"/>
                <w:sz w:val="22"/>
                <w:szCs w:val="22"/>
                <w:b w:val="1"/>
                <w:bCs w:val="1"/>
                <w:color w:val="auto"/>
                <w:w w:val="96"/>
              </w:rPr>
              <w:t>Washington, D.C. 20549</w:t>
            </w:r>
          </w:p>
        </w:tc>
      </w:tr>
      <w:tr>
        <w:trPr>
          <w:trHeight w:val="122"/>
        </w:trPr>
        <w:tc>
          <w:tcPr>
            <w:tcW w:w="1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r>
      <w:tr>
        <w:trPr>
          <w:trHeight w:val="344"/>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jc w:val="center"/>
              <w:ind w:right="620"/>
              <w:spacing w:after="0"/>
              <w:rPr>
                <w:sz w:val="20"/>
                <w:szCs w:val="20"/>
                <w:color w:val="auto"/>
              </w:rPr>
            </w:pPr>
            <w:r>
              <w:rPr>
                <w:rFonts w:ascii="Calibri" w:cs="Calibri" w:eastAsia="Calibri" w:hAnsi="Calibri"/>
                <w:sz w:val="22"/>
                <w:szCs w:val="22"/>
                <w:b w:val="1"/>
                <w:bCs w:val="1"/>
                <w:color w:val="auto"/>
                <w:w w:val="98"/>
              </w:rPr>
              <w:t>Form 10-K</w:t>
            </w:r>
          </w:p>
        </w:tc>
      </w:tr>
      <w:tr>
        <w:trPr>
          <w:trHeight w:val="342"/>
        </w:trPr>
        <w:tc>
          <w:tcPr>
            <w:tcW w:w="136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5920" w:type="dxa"/>
            <w:vAlign w:val="bottom"/>
            <w:gridSpan w:val="3"/>
          </w:tcPr>
          <w:p>
            <w:pPr>
              <w:jc w:val="center"/>
              <w:ind w:left="1081"/>
              <w:spacing w:after="0"/>
              <w:rPr>
                <w:sz w:val="20"/>
                <w:szCs w:val="20"/>
                <w:color w:val="auto"/>
              </w:rPr>
            </w:pPr>
            <w:r>
              <w:rPr>
                <w:rFonts w:ascii="Calibri" w:cs="Calibri" w:eastAsia="Calibri" w:hAnsi="Calibri"/>
                <w:sz w:val="18"/>
                <w:szCs w:val="18"/>
                <w:b w:val="1"/>
                <w:bCs w:val="1"/>
                <w:color w:val="auto"/>
                <w:w w:val="97"/>
              </w:rPr>
              <w:t>ANNUAL REPORT PURSUANT TO SECTION 13 OR 15(d) OF THE</w:t>
            </w:r>
          </w:p>
        </w:tc>
      </w:tr>
      <w:tr>
        <w:trPr>
          <w:trHeight w:val="215"/>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00" w:type="dxa"/>
            <w:vAlign w:val="bottom"/>
            <w:gridSpan w:val="2"/>
          </w:tcPr>
          <w:p>
            <w:pPr>
              <w:jc w:val="center"/>
              <w:ind w:right="640"/>
              <w:spacing w:after="0" w:line="215" w:lineRule="exact"/>
              <w:rPr>
                <w:sz w:val="20"/>
                <w:szCs w:val="20"/>
                <w:color w:val="auto"/>
              </w:rPr>
            </w:pPr>
            <w:r>
              <w:rPr>
                <w:rFonts w:ascii="Calibri" w:cs="Calibri" w:eastAsia="Calibri" w:hAnsi="Calibri"/>
                <w:sz w:val="18"/>
                <w:szCs w:val="18"/>
                <w:b w:val="1"/>
                <w:bCs w:val="1"/>
                <w:color w:val="auto"/>
                <w:w w:val="97"/>
              </w:rPr>
              <w:t>SECURITIES EXCHANGE ACT OF 1934</w:t>
            </w:r>
          </w:p>
        </w:tc>
      </w:tr>
      <w:tr>
        <w:trPr>
          <w:trHeight w:val="229"/>
        </w:trPr>
        <w:tc>
          <w:tcPr>
            <w:tcW w:w="1360" w:type="dxa"/>
            <w:vAlign w:val="bottom"/>
          </w:tcPr>
          <w:p>
            <w:pPr>
              <w:spacing w:after="0"/>
              <w:rPr>
                <w:sz w:val="19"/>
                <w:szCs w:val="19"/>
                <w:color w:val="auto"/>
              </w:rPr>
            </w:pPr>
          </w:p>
        </w:tc>
        <w:tc>
          <w:tcPr>
            <w:tcW w:w="5920" w:type="dxa"/>
            <w:vAlign w:val="bottom"/>
            <w:gridSpan w:val="3"/>
          </w:tcPr>
          <w:p>
            <w:pPr>
              <w:ind w:left="1800"/>
              <w:spacing w:after="0"/>
              <w:rPr>
                <w:sz w:val="20"/>
                <w:szCs w:val="20"/>
                <w:color w:val="auto"/>
              </w:rPr>
            </w:pPr>
            <w:r>
              <w:rPr>
                <w:rFonts w:ascii="Calibri" w:cs="Calibri" w:eastAsia="Calibri" w:hAnsi="Calibri"/>
                <w:sz w:val="18"/>
                <w:szCs w:val="18"/>
                <w:b w:val="1"/>
                <w:bCs w:val="1"/>
                <w:color w:val="auto"/>
              </w:rPr>
              <w:t>For the Fiscal Year Ended April 3, 2022</w:t>
            </w:r>
          </w:p>
        </w:tc>
      </w:tr>
      <w:tr>
        <w:trPr>
          <w:trHeight w:val="339"/>
        </w:trPr>
        <w:tc>
          <w:tcPr>
            <w:tcW w:w="136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5920" w:type="dxa"/>
            <w:vAlign w:val="bottom"/>
            <w:gridSpan w:val="3"/>
          </w:tcPr>
          <w:p>
            <w:pPr>
              <w:jc w:val="center"/>
              <w:ind w:left="1081"/>
              <w:spacing w:after="0"/>
              <w:rPr>
                <w:sz w:val="20"/>
                <w:szCs w:val="20"/>
                <w:color w:val="auto"/>
              </w:rPr>
            </w:pPr>
            <w:r>
              <w:rPr>
                <w:rFonts w:ascii="Calibri" w:cs="Calibri" w:eastAsia="Calibri" w:hAnsi="Calibri"/>
                <w:sz w:val="18"/>
                <w:szCs w:val="18"/>
                <w:b w:val="1"/>
                <w:bCs w:val="1"/>
                <w:color w:val="auto"/>
                <w:w w:val="97"/>
              </w:rPr>
              <w:t>TRANSITION REPORT PURSUANT TO SECTION 13 OR 15(d) OF THE</w:t>
            </w:r>
          </w:p>
        </w:tc>
      </w:tr>
      <w:tr>
        <w:trPr>
          <w:trHeight w:val="215"/>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00" w:type="dxa"/>
            <w:vAlign w:val="bottom"/>
            <w:gridSpan w:val="2"/>
          </w:tcPr>
          <w:p>
            <w:pPr>
              <w:jc w:val="center"/>
              <w:ind w:right="640"/>
              <w:spacing w:after="0" w:line="215" w:lineRule="exact"/>
              <w:rPr>
                <w:sz w:val="20"/>
                <w:szCs w:val="20"/>
                <w:color w:val="auto"/>
              </w:rPr>
            </w:pPr>
            <w:r>
              <w:rPr>
                <w:rFonts w:ascii="Calibri" w:cs="Calibri" w:eastAsia="Calibri" w:hAnsi="Calibri"/>
                <w:sz w:val="18"/>
                <w:szCs w:val="18"/>
                <w:b w:val="1"/>
                <w:bCs w:val="1"/>
                <w:color w:val="auto"/>
                <w:w w:val="97"/>
              </w:rPr>
              <w:t>SECURITIES EXCHANGE ACT OF 1934</w:t>
            </w:r>
          </w:p>
        </w:tc>
      </w:tr>
      <w:tr>
        <w:trPr>
          <w:trHeight w:val="283"/>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jc w:val="center"/>
              <w:ind w:right="640"/>
              <w:spacing w:after="0"/>
              <w:rPr>
                <w:sz w:val="20"/>
                <w:szCs w:val="20"/>
                <w:color w:val="auto"/>
              </w:rPr>
            </w:pPr>
            <w:r>
              <w:rPr>
                <w:rFonts w:ascii="Calibri" w:cs="Calibri" w:eastAsia="Calibri" w:hAnsi="Calibri"/>
                <w:sz w:val="18"/>
                <w:szCs w:val="18"/>
                <w:b w:val="1"/>
                <w:bCs w:val="1"/>
                <w:color w:val="auto"/>
                <w:w w:val="97"/>
              </w:rPr>
              <w:t>Commission File No. 0-7647</w:t>
            </w:r>
          </w:p>
        </w:tc>
      </w:tr>
      <w:tr>
        <w:trPr>
          <w:trHeight w:val="199"/>
        </w:trPr>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r>
    </w:tbl>
    <w:p>
      <w:pPr>
        <w:spacing w:after="0" w:line="1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396875</wp:posOffset>
            </wp:positionH>
            <wp:positionV relativeFrom="page">
              <wp:posOffset>363220</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328930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jc w:val="center"/>
        <w:ind w:right="-19"/>
        <w:spacing w:after="0"/>
        <w:rPr>
          <w:sz w:val="20"/>
          <w:szCs w:val="20"/>
          <w:color w:val="auto"/>
        </w:rPr>
      </w:pPr>
      <w:r>
        <w:rPr>
          <w:rFonts w:ascii="Calibri" w:cs="Calibri" w:eastAsia="Calibri" w:hAnsi="Calibri"/>
          <w:sz w:val="36"/>
          <w:szCs w:val="36"/>
          <w:b w:val="1"/>
          <w:bCs w:val="1"/>
          <w:color w:val="auto"/>
        </w:rPr>
        <w:t>HAWKINS, INC.</w:t>
      </w:r>
    </w:p>
    <w:p>
      <w:pPr>
        <w:spacing w:after="0" w:line="20"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20"/>
          </w:cols>
          <w:pgMar w:left="320" w:top="689" w:right="359" w:bottom="1440" w:gutter="0" w:footer="0" w:header="0"/>
        </w:sectPr>
      </w:pPr>
    </w:p>
    <w:p>
      <w:pPr>
        <w:spacing w:after="0" w:line="35" w:lineRule="exact"/>
        <w:rPr>
          <w:sz w:val="24"/>
          <w:szCs w:val="24"/>
          <w:color w:val="auto"/>
        </w:rPr>
      </w:pPr>
    </w:p>
    <w:p>
      <w:pPr>
        <w:ind w:left="2480"/>
        <w:spacing w:after="0"/>
        <w:rPr>
          <w:sz w:val="20"/>
          <w:szCs w:val="20"/>
          <w:color w:val="auto"/>
        </w:rPr>
      </w:pPr>
      <w:r>
        <w:rPr>
          <w:rFonts w:ascii="Calibri" w:cs="Calibri" w:eastAsia="Calibri" w:hAnsi="Calibri"/>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41-0771293</w:t>
      </w:r>
    </w:p>
    <w:p>
      <w:pPr>
        <w:spacing w:after="0" w:line="25" w:lineRule="exact"/>
        <w:rPr>
          <w:sz w:val="24"/>
          <w:szCs w:val="24"/>
          <w:color w:val="auto"/>
        </w:rPr>
      </w:pPr>
    </w:p>
    <w:p>
      <w:pPr>
        <w:sectPr>
          <w:pgSz w:w="11900" w:h="16838" w:orient="portrait"/>
          <w:cols w:equalWidth="0" w:num="2">
            <w:col w:w="7560" w:space="720"/>
            <w:col w:w="2940"/>
          </w:cols>
          <w:pgMar w:left="320" w:top="689" w:right="359" w:bottom="1440" w:gutter="0" w:footer="0" w:header="0"/>
          <w:type w:val="continuous"/>
        </w:sectPr>
      </w:pPr>
    </w:p>
    <w:p>
      <w:pPr>
        <w:spacing w:after="0" w:line="7" w:lineRule="exact"/>
        <w:rPr>
          <w:sz w:val="24"/>
          <w:szCs w:val="24"/>
          <w:color w:val="auto"/>
        </w:rPr>
      </w:pPr>
    </w:p>
    <w:p>
      <w:pPr>
        <w:ind w:left="2120"/>
        <w:spacing w:after="0"/>
        <w:rPr>
          <w:sz w:val="20"/>
          <w:szCs w:val="20"/>
          <w:color w:val="auto"/>
        </w:rPr>
      </w:pPr>
      <w:r>
        <w:rPr>
          <w:rFonts w:ascii="Calibri" w:cs="Calibri" w:eastAsia="Calibri" w:hAnsi="Calibri"/>
          <w:sz w:val="14"/>
          <w:szCs w:val="14"/>
          <w:color w:val="auto"/>
        </w:rPr>
        <w:t>(State of Incorporaton)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Calibri" w:cs="Calibri" w:eastAsia="Calibri" w:hAnsi="Calibri"/>
          <w:sz w:val="14"/>
          <w:szCs w:val="14"/>
          <w:color w:val="auto"/>
        </w:rPr>
        <w:t>(I.R.S. Employer</w:t>
      </w:r>
    </w:p>
    <w:p>
      <w:pPr>
        <w:jc w:val="center"/>
        <w:ind w:right="2060"/>
        <w:spacing w:after="0" w:line="199" w:lineRule="auto"/>
        <w:rPr>
          <w:sz w:val="20"/>
          <w:szCs w:val="20"/>
          <w:color w:val="auto"/>
        </w:rPr>
      </w:pPr>
      <w:r>
        <w:rPr>
          <w:rFonts w:ascii="Calibri" w:cs="Calibri" w:eastAsia="Calibri" w:hAnsi="Calibri"/>
          <w:sz w:val="14"/>
          <w:szCs w:val="14"/>
          <w:color w:val="auto"/>
        </w:rPr>
        <w:t>Identfcaton No.)</w:t>
      </w:r>
    </w:p>
    <w:p>
      <w:pPr>
        <w:spacing w:after="0" w:line="32" w:lineRule="exact"/>
        <w:rPr>
          <w:sz w:val="24"/>
          <w:szCs w:val="24"/>
          <w:color w:val="auto"/>
        </w:rPr>
      </w:pPr>
    </w:p>
    <w:p>
      <w:pPr>
        <w:sectPr>
          <w:pgSz w:w="11900" w:h="16838" w:orient="portrait"/>
          <w:cols w:equalWidth="0" w:num="2">
            <w:col w:w="7380" w:space="720"/>
            <w:col w:w="3120"/>
          </w:cols>
          <w:pgMar w:left="320" w:top="689" w:right="359" w:bottom="1440" w:gutter="0" w:footer="0" w:header="0"/>
          <w:type w:val="continuous"/>
        </w:sectPr>
      </w:pPr>
    </w:p>
    <w:p>
      <w:pPr>
        <w:ind w:left="1720"/>
        <w:spacing w:after="0"/>
        <w:rPr>
          <w:sz w:val="20"/>
          <w:szCs w:val="20"/>
          <w:color w:val="auto"/>
        </w:rPr>
      </w:pPr>
      <w:r>
        <w:rPr>
          <w:rFonts w:ascii="Calibri" w:cs="Calibri" w:eastAsia="Calibri" w:hAnsi="Calibri"/>
          <w:sz w:val="14"/>
          <w:szCs w:val="14"/>
          <w:b w:val="1"/>
          <w:bCs w:val="1"/>
          <w:color w:val="auto"/>
        </w:rPr>
        <w:t>2381 Rosegate, Roseville, 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55113</w:t>
      </w:r>
    </w:p>
    <w:p>
      <w:pPr>
        <w:spacing w:after="0" w:line="32" w:lineRule="exact"/>
        <w:rPr>
          <w:sz w:val="24"/>
          <w:szCs w:val="24"/>
          <w:color w:val="auto"/>
        </w:rPr>
      </w:pPr>
    </w:p>
    <w:p>
      <w:pPr>
        <w:sectPr>
          <w:pgSz w:w="11900" w:h="16838" w:orient="portrait"/>
          <w:cols w:equalWidth="0" w:num="2">
            <w:col w:w="7740" w:space="720"/>
            <w:col w:w="2760"/>
          </w:cols>
          <w:pgMar w:left="320" w:top="689" w:right="359" w:bottom="1440" w:gutter="0" w:footer="0" w:header="0"/>
          <w:type w:val="continuous"/>
        </w:sectPr>
      </w:pPr>
    </w:p>
    <w:p>
      <w:pPr>
        <w:ind w:left="1680"/>
        <w:spacing w:after="0"/>
        <w:rPr>
          <w:sz w:val="20"/>
          <w:szCs w:val="20"/>
          <w:color w:val="auto"/>
        </w:rPr>
      </w:pPr>
      <w:r>
        <w:rPr>
          <w:rFonts w:ascii="Calibri" w:cs="Calibri" w:eastAsia="Calibri" w:hAnsi="Calibri"/>
          <w:sz w:val="14"/>
          <w:szCs w:val="14"/>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(Zip Code)</w:t>
      </w:r>
    </w:p>
    <w:p>
      <w:pPr>
        <w:spacing w:after="0" w:line="99" w:lineRule="exact"/>
        <w:rPr>
          <w:sz w:val="24"/>
          <w:szCs w:val="24"/>
          <w:color w:val="auto"/>
        </w:rPr>
      </w:pPr>
    </w:p>
    <w:p>
      <w:pPr>
        <w:sectPr>
          <w:pgSz w:w="11900" w:h="16838" w:orient="portrait"/>
          <w:cols w:equalWidth="0" w:num="2">
            <w:col w:w="7620" w:space="720"/>
            <w:col w:w="2880"/>
          </w:cols>
          <w:pgMar w:left="320" w:top="689" w:right="359" w:bottom="1440" w:gutter="0" w:footer="0" w:header="0"/>
          <w:type w:val="continuous"/>
        </w:sectPr>
      </w:pPr>
    </w:p>
    <w:p>
      <w:pPr>
        <w:jc w:val="center"/>
        <w:ind w:right="-39"/>
        <w:spacing w:after="0"/>
        <w:rPr>
          <w:sz w:val="20"/>
          <w:szCs w:val="20"/>
          <w:color w:val="auto"/>
        </w:rPr>
      </w:pPr>
      <w:r>
        <w:rPr>
          <w:rFonts w:ascii="Calibri" w:cs="Calibri" w:eastAsia="Calibri" w:hAnsi="Calibri"/>
          <w:sz w:val="14"/>
          <w:szCs w:val="14"/>
          <w:b w:val="1"/>
          <w:bCs w:val="1"/>
          <w:color w:val="auto"/>
        </w:rPr>
        <w:t>(612) 331-6910</w:t>
      </w:r>
    </w:p>
    <w:p>
      <w:pPr>
        <w:spacing w:after="0" w:line="5" w:lineRule="exact"/>
        <w:rPr>
          <w:sz w:val="24"/>
          <w:szCs w:val="24"/>
          <w:color w:val="auto"/>
        </w:rPr>
      </w:pPr>
    </w:p>
    <w:p>
      <w:pPr>
        <w:jc w:val="center"/>
        <w:ind w:right="-39"/>
        <w:spacing w:after="0"/>
        <w:rPr>
          <w:sz w:val="20"/>
          <w:szCs w:val="20"/>
          <w:color w:val="auto"/>
        </w:rPr>
      </w:pPr>
      <w:r>
        <w:rPr>
          <w:rFonts w:ascii="Calibri" w:cs="Calibri" w:eastAsia="Calibri" w:hAnsi="Calibri"/>
          <w:sz w:val="14"/>
          <w:szCs w:val="14"/>
          <w:b w:val="1"/>
          <w:bCs w:val="1"/>
          <w:color w:val="auto"/>
        </w:rPr>
        <w:t>(Registrant’s Telephone Number, Including Area Code)</w:t>
      </w:r>
    </w:p>
    <w:p>
      <w:pPr>
        <w:spacing w:after="0" w:line="45" w:lineRule="exact"/>
        <w:rPr>
          <w:sz w:val="24"/>
          <w:szCs w:val="24"/>
          <w:color w:val="auto"/>
        </w:rPr>
      </w:pPr>
    </w:p>
    <w:p>
      <w:pPr>
        <w:jc w:val="center"/>
        <w:ind w:right="100"/>
        <w:spacing w:after="0"/>
        <w:rPr>
          <w:sz w:val="20"/>
          <w:szCs w:val="20"/>
          <w:color w:val="auto"/>
        </w:rPr>
      </w:pPr>
      <w:r>
        <w:rPr>
          <w:rFonts w:ascii="Calibri" w:cs="Calibri" w:eastAsia="Calibri" w:hAnsi="Calibri"/>
          <w:sz w:val="14"/>
          <w:szCs w:val="14"/>
          <w:color w:val="auto"/>
        </w:rPr>
        <w:t>Securites registered pursuant to Secton 12(b) of the Act:</w:t>
      </w:r>
    </w:p>
    <w:p>
      <w:pPr>
        <w:sectPr>
          <w:pgSz w:w="11900" w:h="16838" w:orient="portrait"/>
          <w:cols w:equalWidth="0" w:num="1">
            <w:col w:w="11220"/>
          </w:cols>
          <w:pgMar w:left="320" w:top="689" w:right="359" w:bottom="1440" w:gutter="0" w:footer="0" w:header="0"/>
          <w:type w:val="continuous"/>
        </w:sectPr>
      </w:pPr>
    </w:p>
    <w:p>
      <w:pPr>
        <w:spacing w:after="0" w:line="32" w:lineRule="exact"/>
        <w:rPr>
          <w:sz w:val="24"/>
          <w:szCs w:val="24"/>
          <w:color w:val="auto"/>
        </w:rPr>
      </w:pPr>
    </w:p>
    <w:p>
      <w:pPr>
        <w:ind w:left="1580"/>
        <w:spacing w:after="0"/>
        <w:rPr>
          <w:sz w:val="20"/>
          <w:szCs w:val="20"/>
          <w:color w:val="auto"/>
        </w:rPr>
      </w:pPr>
      <w:r>
        <w:rPr>
          <w:rFonts w:ascii="Calibri" w:cs="Calibri" w:eastAsia="Calibri" w:hAnsi="Calibri"/>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Name of exchange on which registered:</w:t>
      </w:r>
    </w:p>
    <w:p>
      <w:pPr>
        <w:spacing w:after="0" w:line="32" w:lineRule="exact"/>
        <w:rPr>
          <w:sz w:val="24"/>
          <w:szCs w:val="24"/>
          <w:color w:val="auto"/>
        </w:rPr>
      </w:pPr>
    </w:p>
    <w:p>
      <w:pPr>
        <w:sectPr>
          <w:pgSz w:w="11900" w:h="16838" w:orient="portrait"/>
          <w:cols w:equalWidth="0" w:num="3">
            <w:col w:w="4420" w:space="720"/>
            <w:col w:w="2040" w:space="720"/>
            <w:col w:w="3320"/>
          </w:cols>
          <w:pgMar w:left="320" w:top="689" w:right="359" w:bottom="1440" w:gutter="0" w:footer="0" w:header="0"/>
          <w:type w:val="continuous"/>
        </w:sectPr>
      </w:pPr>
    </w:p>
    <w:p>
      <w:pPr>
        <w:ind w:left="900"/>
        <w:spacing w:after="0"/>
        <w:rPr>
          <w:sz w:val="20"/>
          <w:szCs w:val="20"/>
          <w:color w:val="auto"/>
        </w:rPr>
      </w:pPr>
      <w:r>
        <w:rPr>
          <w:rFonts w:ascii="Calibri" w:cs="Calibri" w:eastAsia="Calibri" w:hAnsi="Calibri"/>
          <w:sz w:val="14"/>
          <w:szCs w:val="14"/>
          <w:color w:val="auto"/>
        </w:rPr>
        <w:t>Common Shares,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HWKN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Nasdaq Stock Market LLC</w:t>
      </w:r>
    </w:p>
    <w:p>
      <w:pPr>
        <w:spacing w:after="0" w:line="32" w:lineRule="exact"/>
        <w:rPr>
          <w:sz w:val="24"/>
          <w:szCs w:val="24"/>
          <w:color w:val="auto"/>
        </w:rPr>
      </w:pPr>
    </w:p>
    <w:p>
      <w:pPr>
        <w:sectPr>
          <w:pgSz w:w="11900" w:h="16838" w:orient="portrait"/>
          <w:cols w:equalWidth="0" w:num="3">
            <w:col w:w="4700" w:space="720"/>
            <w:col w:w="2260" w:space="720"/>
            <w:col w:w="2820"/>
          </w:cols>
          <w:pgMar w:left="320" w:top="689" w:right="359" w:bottom="1440" w:gutter="0" w:footer="0" w:header="0"/>
          <w:type w:val="continuous"/>
        </w:sectPr>
      </w:pPr>
    </w:p>
    <w:p>
      <w:pPr>
        <w:jc w:val="center"/>
        <w:ind w:right="-39"/>
        <w:spacing w:after="0"/>
        <w:tabs>
          <w:tab w:leader="none" w:pos="120" w:val="left"/>
        </w:tabs>
        <w:rPr>
          <w:sz w:val="20"/>
          <w:szCs w:val="20"/>
          <w:color w:val="auto"/>
        </w:rPr>
      </w:pPr>
      <w:r>
        <w:rPr>
          <w:rFonts w:ascii="Calibri" w:cs="Calibri" w:eastAsia="Calibri" w:hAnsi="Calibri"/>
          <w:sz w:val="14"/>
          <w:szCs w:val="14"/>
          <w:b w:val="1"/>
          <w:bCs w:val="1"/>
          <w:color w:val="auto"/>
        </w:rPr>
        <w:t>Securites registered pursuant to Secton 12(g) of the Act:</w:t>
        <w:tab/>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1333500</wp:posOffset>
            </wp:positionH>
            <wp:positionV relativeFrom="paragraph">
              <wp:posOffset>98425</wp:posOffset>
            </wp:positionV>
            <wp:extent cx="4465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type w:val="continuous"/>
        </w:sectPr>
      </w:pPr>
    </w:p>
    <w:p>
      <w:pPr>
        <w:spacing w:after="0" w:line="210" w:lineRule="exact"/>
        <w:rPr>
          <w:sz w:val="24"/>
          <w:szCs w:val="24"/>
          <w:color w:val="auto"/>
        </w:rPr>
      </w:pPr>
    </w:p>
    <w:p>
      <w:pPr>
        <w:ind w:left="340" w:right="1940"/>
        <w:spacing w:after="0" w:line="269" w:lineRule="exact"/>
        <w:rPr>
          <w:sz w:val="20"/>
          <w:szCs w:val="20"/>
          <w:color w:val="auto"/>
        </w:rPr>
      </w:pPr>
      <w:r>
        <w:rPr>
          <w:rFonts w:ascii="Calibri" w:cs="Calibri" w:eastAsia="Calibri" w:hAnsi="Calibri"/>
          <w:sz w:val="16"/>
          <w:szCs w:val="16"/>
          <w:color w:val="auto"/>
        </w:rPr>
        <w:t xml:space="preserve">Indicate by check mark if the registrant is a well-known seasoned issuer, as defned in Rule 405 of the Securites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by check mark if the registrant is not required to fle reports pursuant to Secton 13 or Secton 15(d) of the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60" w:firstLine="324"/>
        <w:spacing w:after="0" w:line="199"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twelve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ind w:firstLine="324"/>
        <w:spacing w:after="0" w:line="211"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64" w:lineRule="exact"/>
        <w:rPr>
          <w:sz w:val="24"/>
          <w:szCs w:val="24"/>
          <w:color w:val="auto"/>
        </w:rPr>
      </w:pPr>
    </w:p>
    <w:p>
      <w:pPr>
        <w:ind w:right="60" w:firstLine="648"/>
        <w:spacing w:after="0" w:line="239"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ectPr>
          <w:pgSz w:w="11900" w:h="16838" w:orient="portrait"/>
          <w:cols w:equalWidth="0" w:num="1">
            <w:col w:w="11220"/>
          </w:cols>
          <w:pgMar w:left="320" w:top="689" w:right="359" w:bottom="1440" w:gutter="0" w:footer="0" w:header="0"/>
          <w:type w:val="continuous"/>
        </w:sectPr>
      </w:pPr>
    </w:p>
    <w:p>
      <w:pPr>
        <w:spacing w:after="0" w:line="68" w:lineRule="exact"/>
        <w:rPr>
          <w:sz w:val="24"/>
          <w:szCs w:val="24"/>
          <w:color w:val="auto"/>
        </w:rPr>
      </w:pPr>
    </w:p>
    <w:p>
      <w:pPr>
        <w:ind w:left="580"/>
        <w:spacing w:after="0"/>
        <w:rPr>
          <w:sz w:val="20"/>
          <w:szCs w:val="20"/>
          <w:color w:val="auto"/>
        </w:rPr>
      </w:pPr>
      <w:r>
        <w:rPr>
          <w:rFonts w:ascii="Calibri" w:cs="Calibri" w:eastAsia="Calibri" w:hAnsi="Calibri"/>
          <w:sz w:val="14"/>
          <w:szCs w:val="14"/>
          <w:color w:val="auto"/>
        </w:rPr>
        <w:t>Large accelerated fler</w:t>
      </w:r>
    </w:p>
    <w:p>
      <w:pPr>
        <w:spacing w:after="0" w:line="20" w:lineRule="exact"/>
        <w:rPr>
          <w:sz w:val="24"/>
          <w:szCs w:val="24"/>
          <w:color w:val="auto"/>
        </w:rPr>
      </w:pPr>
      <w:r>
        <w:rPr>
          <w:sz w:val="24"/>
          <w:szCs w:val="24"/>
          <w:color w:val="auto"/>
        </w:rPr>
        <w:br w:type="column"/>
      </w:r>
    </w:p>
    <w:p>
      <w:pPr>
        <w:spacing w:after="0" w:line="137"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Calibri" w:cs="Calibri" w:eastAsia="Calibri" w:hAnsi="Calibri"/>
          <w:sz w:val="14"/>
          <w:szCs w:val="14"/>
          <w:color w:val="auto"/>
        </w:rPr>
        <w:t>Accelerated fler</w:t>
      </w:r>
    </w:p>
    <w:p>
      <w:pPr>
        <w:spacing w:after="0" w:line="20" w:lineRule="exact"/>
        <w:rPr>
          <w:sz w:val="24"/>
          <w:szCs w:val="24"/>
          <w:color w:val="auto"/>
        </w:rPr>
      </w:pPr>
      <w:r>
        <w:rPr>
          <w:sz w:val="24"/>
          <w:szCs w:val="24"/>
          <w:color w:val="auto"/>
        </w:rPr>
        <w:br w:type="column"/>
      </w:r>
    </w:p>
    <w:p>
      <w:pPr>
        <w:spacing w:after="0" w:line="137"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860" w:space="40"/>
            <w:col w:w="7360" w:space="720"/>
            <w:col w:w="960" w:space="40"/>
            <w:col w:w="240"/>
          </w:cols>
          <w:pgMar w:left="320" w:top="689" w:right="359" w:bottom="1440" w:gutter="0" w:footer="0" w:header="0"/>
          <w:type w:val="continuous"/>
        </w:sectPr>
      </w:pPr>
    </w:p>
    <w:p>
      <w:pPr>
        <w:spacing w:after="0" w:line="52" w:lineRule="exact"/>
        <w:rPr>
          <w:sz w:val="24"/>
          <w:szCs w:val="24"/>
          <w:color w:val="auto"/>
        </w:rPr>
      </w:pPr>
    </w:p>
    <w:p>
      <w:pPr>
        <w:ind w:left="640"/>
        <w:spacing w:after="0"/>
        <w:rPr>
          <w:sz w:val="20"/>
          <w:szCs w:val="20"/>
          <w:color w:val="auto"/>
        </w:rPr>
      </w:pPr>
      <w:r>
        <w:rPr>
          <w:rFonts w:ascii="Calibri" w:cs="Calibri" w:eastAsia="Calibri" w:hAnsi="Calibri"/>
          <w:sz w:val="14"/>
          <w:szCs w:val="14"/>
          <w:color w:val="auto"/>
        </w:rPr>
        <w:t>Non-accelerated fler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Calibri" w:cs="Calibri" w:eastAsia="Calibri" w:hAnsi="Calibri"/>
          <w:sz w:val="14"/>
          <w:szCs w:val="14"/>
          <w:color w:val="auto"/>
        </w:rPr>
        <w:t>Smaller reportng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860" w:space="40"/>
            <w:col w:w="6740" w:space="720"/>
            <w:col w:w="1580" w:space="40"/>
            <w:col w:w="240"/>
          </w:cols>
          <w:pgMar w:left="320" w:top="689" w:right="359" w:bottom="1440" w:gutter="0" w:footer="0" w:header="0"/>
          <w:type w:val="continuous"/>
        </w:sectPr>
      </w:pPr>
    </w:p>
    <w:p>
      <w:pPr>
        <w:spacing w:after="0" w:line="52" w:lineRule="exact"/>
        <w:rPr>
          <w:sz w:val="24"/>
          <w:szCs w:val="24"/>
          <w:color w:val="auto"/>
        </w:rPr>
      </w:pPr>
    </w:p>
    <w:p>
      <w:pPr>
        <w:ind w:left="9380"/>
        <w:spacing w:after="0"/>
        <w:rPr>
          <w:sz w:val="20"/>
          <w:szCs w:val="20"/>
          <w:color w:val="auto"/>
        </w:rPr>
      </w:pPr>
      <w:r>
        <w:rPr>
          <w:rFonts w:ascii="Calibri" w:cs="Calibri" w:eastAsia="Calibri" w:hAnsi="Calibri"/>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5" w:lineRule="exact"/>
        <w:rPr>
          <w:sz w:val="24"/>
          <w:szCs w:val="24"/>
          <w:color w:val="auto"/>
        </w:rPr>
      </w:pPr>
    </w:p>
    <w:p>
      <w:pPr>
        <w:sectPr>
          <w:pgSz w:w="11900" w:h="16838" w:orient="portrait"/>
          <w:cols w:equalWidth="0" w:num="2">
            <w:col w:w="10940" w:space="40"/>
            <w:col w:w="240"/>
          </w:cols>
          <w:pgMar w:left="320" w:top="689" w:right="359" w:bottom="1440" w:gutter="0" w:footer="0" w:header="0"/>
          <w:type w:val="continuous"/>
        </w:sectPr>
      </w:pPr>
    </w:p>
    <w:p>
      <w:pPr>
        <w:ind w:right="300" w:firstLine="648"/>
        <w:spacing w:after="0" w:line="204"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right="240" w:firstLine="324"/>
        <w:spacing w:after="0" w:line="242" w:lineRule="auto"/>
        <w:rPr>
          <w:sz w:val="20"/>
          <w:szCs w:val="20"/>
          <w:color w:val="auto"/>
        </w:rPr>
      </w:pPr>
      <w:r>
        <w:rPr>
          <w:rFonts w:ascii="Calibri" w:cs="Calibri" w:eastAsia="Calibri" w:hAnsi="Calibri"/>
          <w:sz w:val="16"/>
          <w:szCs w:val="16"/>
          <w:color w:val="auto"/>
        </w:rPr>
        <w:t>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w:t>
      </w:r>
    </w:p>
    <w:p>
      <w:pPr>
        <w:spacing w:after="0" w:line="1" w:lineRule="exact"/>
        <w:rPr>
          <w:sz w:val="24"/>
          <w:szCs w:val="24"/>
          <w:color w:val="auto"/>
        </w:rPr>
      </w:pPr>
    </w:p>
    <w:p>
      <w:pPr>
        <w:ind w:left="80"/>
        <w:spacing w:after="0" w:line="161" w:lineRule="exact"/>
        <w:rPr>
          <w:sz w:val="20"/>
          <w:szCs w:val="20"/>
          <w:color w:val="auto"/>
        </w:rPr>
      </w:pPr>
      <w:r>
        <w:rPr>
          <w:rFonts w:ascii="MS PGothic" w:cs="MS PGothic" w:eastAsia="MS PGothic" w:hAnsi="MS PGothic"/>
          <w:sz w:val="16"/>
          <w:szCs w:val="16"/>
          <w:color w:val="auto"/>
        </w:rPr>
        <w:t>☑</w:t>
      </w:r>
    </w:p>
    <w:p>
      <w:pPr>
        <w:spacing w:after="0" w:line="84" w:lineRule="exact"/>
        <w:rPr>
          <w:sz w:val="24"/>
          <w:szCs w:val="24"/>
          <w:color w:val="auto"/>
        </w:rPr>
      </w:pPr>
    </w:p>
    <w:p>
      <w:pPr>
        <w:ind w:left="340"/>
        <w:spacing w:after="0" w:line="198" w:lineRule="exact"/>
        <w:tabs>
          <w:tab w:leader="none" w:pos="7800" w:val="left"/>
          <w:tab w:leader="none" w:pos="8380" w:val="left"/>
        </w:tabs>
        <w:rPr>
          <w:sz w:val="20"/>
          <w:szCs w:val="20"/>
          <w:color w:val="auto"/>
        </w:rPr>
      </w:pPr>
      <w:r>
        <w:rPr>
          <w:rFonts w:ascii="Calibri" w:cs="Calibri" w:eastAsia="Calibri" w:hAnsi="Calibri"/>
          <w:sz w:val="16"/>
          <w:szCs w:val="16"/>
          <w:color w:val="auto"/>
        </w:rPr>
        <w:t>Indicate by check mark whether the registrant is a shell company (as defned in Rule 12b-2 of the Exchange Act).</w:t>
        <w:tab/>
        <w:t xml:space="preserve">Yes </w:t>
      </w:r>
      <w:r>
        <w:rPr>
          <w:rFonts w:ascii="MS PGothic" w:cs="MS PGothic" w:eastAsia="MS PGothic" w:hAnsi="MS PGothic"/>
          <w:sz w:val="16"/>
          <w:szCs w:val="16"/>
          <w:color w:val="auto"/>
        </w:rPr>
        <w:t>☐</w:t>
      </w:r>
      <w:r>
        <w:rPr>
          <w:rFonts w:ascii="Calibri" w:cs="Calibri" w:eastAsia="Calibri" w:hAnsi="Calibri"/>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40" w:firstLine="324"/>
        <w:spacing w:after="0" w:line="237" w:lineRule="auto"/>
        <w:rPr>
          <w:sz w:val="20"/>
          <w:szCs w:val="20"/>
          <w:color w:val="auto"/>
        </w:rPr>
      </w:pPr>
      <w:r>
        <w:rPr>
          <w:rFonts w:ascii="Calibri" w:cs="Calibri" w:eastAsia="Calibri" w:hAnsi="Calibri"/>
          <w:sz w:val="16"/>
          <w:szCs w:val="16"/>
          <w:color w:val="auto"/>
        </w:rPr>
        <w:t>The aggregate market value of votng stock held by non-afliates of the Registrant on September 26, 2021 (the last business day of the Registrant’s most recently completed second fscal quarter) was approximately $706.8 million based upon the closing sale price for the Registrant’s common shares on that date as reported by The Nasdaq Stock Market LLC, excluding all shares held by ofcers and directors of the Registrant and by the Trustees of the Registrant’s Employee Stock Ownership Plan and Trust.</w:t>
      </w:r>
    </w:p>
    <w:p>
      <w:pPr>
        <w:spacing w:after="0" w:line="91" w:lineRule="exact"/>
        <w:rPr>
          <w:sz w:val="24"/>
          <w:szCs w:val="24"/>
          <w:color w:val="auto"/>
        </w:rPr>
      </w:pPr>
    </w:p>
    <w:p>
      <w:pPr>
        <w:ind w:left="340"/>
        <w:spacing w:after="0"/>
        <w:rPr>
          <w:sz w:val="20"/>
          <w:szCs w:val="20"/>
          <w:color w:val="auto"/>
        </w:rPr>
      </w:pPr>
      <w:r>
        <w:rPr>
          <w:rFonts w:ascii="Calibri" w:cs="Calibri" w:eastAsia="Calibri" w:hAnsi="Calibri"/>
          <w:sz w:val="16"/>
          <w:szCs w:val="16"/>
          <w:color w:val="auto"/>
        </w:rPr>
        <w:t>As of May 13, 2022, the Registrant had 21,078,132 shares of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68580</wp:posOffset>
            </wp:positionV>
            <wp:extent cx="2014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257" w:lineRule="exact"/>
        <w:rPr>
          <w:sz w:val="24"/>
          <w:szCs w:val="24"/>
          <w:color w:val="auto"/>
        </w:rPr>
      </w:pPr>
    </w:p>
    <w:p>
      <w:pPr>
        <w:ind w:left="4120"/>
        <w:spacing w:after="0"/>
        <w:rPr>
          <w:sz w:val="20"/>
          <w:szCs w:val="20"/>
          <w:color w:val="auto"/>
        </w:rPr>
      </w:pPr>
      <w:r>
        <w:rPr>
          <w:rFonts w:ascii="Calibri" w:cs="Calibri" w:eastAsia="Calibri" w:hAnsi="Calibri"/>
          <w:sz w:val="16"/>
          <w:szCs w:val="16"/>
          <w:b w:val="1"/>
          <w:bCs w:val="1"/>
          <w:color w:val="auto"/>
        </w:rPr>
        <w:t>DOCUMENTS INCORPORATED BY REFERENCE</w:t>
      </w:r>
    </w:p>
    <w:p>
      <w:pPr>
        <w:spacing w:after="0" w:line="34" w:lineRule="exact"/>
        <w:rPr>
          <w:sz w:val="24"/>
          <w:szCs w:val="24"/>
          <w:color w:val="auto"/>
        </w:rPr>
      </w:pPr>
    </w:p>
    <w:p>
      <w:pPr>
        <w:ind w:left="40"/>
        <w:spacing w:after="0"/>
        <w:rPr>
          <w:sz w:val="20"/>
          <w:szCs w:val="20"/>
          <w:color w:val="auto"/>
        </w:rPr>
      </w:pPr>
      <w:r>
        <w:rPr>
          <w:rFonts w:ascii="Calibri" w:cs="Calibri" w:eastAsia="Calibri" w:hAnsi="Calibri"/>
          <w:sz w:val="16"/>
          <w:szCs w:val="16"/>
          <w:color w:val="auto"/>
        </w:rPr>
        <w:t>Portons of our defnitve Proxy Statement for the annual meetng of shareholders to be held August 3, 2022, are incorporated by reference in Part III of this Annual Report</w:t>
      </w:r>
    </w:p>
    <w:p>
      <w:pPr>
        <w:jc w:val="center"/>
        <w:ind w:right="-19"/>
        <w:spacing w:after="0" w:line="232" w:lineRule="auto"/>
        <w:rPr>
          <w:sz w:val="20"/>
          <w:szCs w:val="20"/>
          <w:color w:val="auto"/>
        </w:rPr>
      </w:pPr>
      <w:r>
        <w:rPr>
          <w:rFonts w:ascii="Calibri" w:cs="Calibri" w:eastAsia="Calibri" w:hAnsi="Calibri"/>
          <w:sz w:val="16"/>
          <w:szCs w:val="16"/>
          <w:color w:val="auto"/>
        </w:rPr>
        <w:t>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69215</wp:posOffset>
            </wp:positionV>
            <wp:extent cx="6763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34925</wp:posOffset>
            </wp:positionV>
            <wp:extent cx="6763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type w:val="continuous"/>
        </w:sectPr>
      </w:pPr>
    </w:p>
    <w:bookmarkStart w:id="1" w:name="page2"/>
    <w:bookmarkEnd w:id="1"/>
    <w:p>
      <w:pPr>
        <w:jc w:val="center"/>
        <w:ind w:right="-19"/>
        <w:spacing w:after="0"/>
        <w:rPr>
          <w:sz w:val="20"/>
          <w:szCs w:val="20"/>
          <w:color w:val="auto"/>
        </w:rPr>
      </w:pPr>
      <w:r>
        <w:rPr>
          <w:rFonts w:ascii="Calibri" w:cs="Calibri" w:eastAsia="Calibri" w:hAnsi="Calibri"/>
          <w:sz w:val="18"/>
          <w:szCs w:val="18"/>
          <w:b w:val="1"/>
          <w:bCs w:val="1"/>
          <w:color w:val="auto"/>
        </w:rPr>
        <w:t>FORWARD-LOOKING STATEMENTS</w:t>
      </w:r>
    </w:p>
    <w:p>
      <w:pPr>
        <w:spacing w:after="0" w:line="24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informaton presented in this Annual Report on Form 10-K contains forward-looking statements within the meaning of Secton 21E of the Securites Exchange Act of 1934, as amended (the “Exchange Act”). These forward-looking statements have been made pursuant to the provisions of the Private Securites Litgaton Reform Act of 1995. These statements are not historical facts, but rather are based on our current expectatons, estmates and projectons, and our beliefs and assumptons. Words such as “antcipate,” “expect,” “intend,” “plan,” “believe,” “seek,” “estmate,” “will” and similar expressions may identfy forward-looking statements. These statements are not guarantees of future performance and are subject to certain risks, uncertaintes and other factors, some of which are beyond our control and are difcult to predict. These factors could cause actual results to difer materially from those expressed or forecasted in the forward-looking statements. These risks and uncertaintes are described in the risk factors and elsewhere in this Annual Report on Form 10-K. We cauton you not to place undue reliance on these forward-looking statements, which refect our management’s view only as of the date of this Annual Report on Form 10-K. We are not obligated to update these statements or publicly release the result of any revisions to them to refect events or circumstances afer the date of this Annual Report on Form 10-K or to refect the occurrence of unantcipated events.</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used in this Annual Report on Form 10-K, except where otherwise stated or indicated by the context, “Hawkins,” “we,” “us,” “the Company,” “our,” or “the Registrant” means Hawkins, Inc. References to "fscal 2023" means our fscal year ending April 2, 2023, “fscal 2022” means our fscal year ended April 3, 2022, “fscal 2021” means our fscal year ended March 28, 2021, “fscal 2020” means our fscal year ended March 29, 2020, and “fscal 2019” means our fscal year ended March 31, 2019.</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60" w:type="dxa"/>
            <w:vAlign w:val="bottom"/>
            <w:gridSpan w:val="8"/>
          </w:tcPr>
          <w:p>
            <w:pPr>
              <w:jc w:val="center"/>
              <w:ind w:right="3920"/>
              <w:spacing w:after="0"/>
              <w:rPr>
                <w:sz w:val="20"/>
                <w:szCs w:val="20"/>
                <w:color w:val="auto"/>
              </w:rPr>
            </w:pPr>
            <w:r>
              <w:rPr>
                <w:rFonts w:ascii="Calibri" w:cs="Calibri" w:eastAsia="Calibri" w:hAnsi="Calibri"/>
                <w:sz w:val="18"/>
                <w:szCs w:val="18"/>
                <w:b w:val="1"/>
                <w:bCs w:val="1"/>
                <w:color w:val="auto"/>
                <w:w w:val="96"/>
              </w:rPr>
              <w:t>Hawkins, Inc.</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9"/>
          </w:tcPr>
          <w:p>
            <w:pPr>
              <w:jc w:val="center"/>
              <w:ind w:right="3180"/>
              <w:spacing w:after="0"/>
              <w:rPr>
                <w:sz w:val="20"/>
                <w:szCs w:val="20"/>
                <w:color w:val="auto"/>
              </w:rPr>
            </w:pPr>
            <w:r>
              <w:rPr>
                <w:rFonts w:ascii="Calibri" w:cs="Calibri" w:eastAsia="Calibri" w:hAnsi="Calibri"/>
                <w:sz w:val="18"/>
                <w:szCs w:val="18"/>
                <w:b w:val="1"/>
                <w:bCs w:val="1"/>
                <w:color w:val="auto"/>
                <w:w w:val="96"/>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00" w:type="dxa"/>
            <w:vAlign w:val="bottom"/>
            <w:gridSpan w:val="10"/>
          </w:tcPr>
          <w:p>
            <w:pPr>
              <w:jc w:val="center"/>
              <w:ind w:right="2980"/>
              <w:spacing w:after="0" w:line="216" w:lineRule="exact"/>
              <w:rPr>
                <w:sz w:val="20"/>
                <w:szCs w:val="20"/>
                <w:color w:val="auto"/>
              </w:rPr>
            </w:pPr>
            <w:r>
              <w:rPr>
                <w:rFonts w:ascii="Calibri" w:cs="Calibri" w:eastAsia="Calibri" w:hAnsi="Calibri"/>
                <w:sz w:val="18"/>
                <w:szCs w:val="18"/>
                <w:b w:val="1"/>
                <w:bCs w:val="1"/>
                <w:color w:val="auto"/>
                <w:w w:val="96"/>
              </w:rPr>
              <w:t>For the Fiscal Year Ended April 3, 2022</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6"/>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ind w:left="420"/>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47"/>
        </w:trPr>
        <w:tc>
          <w:tcPr>
            <w:tcW w:w="1060" w:type="dxa"/>
            <w:vAlign w:val="bottom"/>
          </w:tcPr>
          <w:p>
            <w:pPr>
              <w:spacing w:after="0"/>
              <w:rPr>
                <w:sz w:val="4"/>
                <w:szCs w:val="4"/>
                <w:color w:val="auto"/>
              </w:rPr>
            </w:pPr>
          </w:p>
        </w:tc>
        <w:tc>
          <w:tcPr>
            <w:tcW w:w="6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4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78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72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4780" w:type="dxa"/>
            <w:vAlign w:val="bottom"/>
            <w:gridSpan w:val="7"/>
            <w:vMerge w:val="restart"/>
          </w:tcPr>
          <w:p>
            <w:pPr>
              <w:jc w:val="center"/>
              <w:ind w:right="4120"/>
              <w:spacing w:after="0"/>
              <w:rPr>
                <w:sz w:val="20"/>
                <w:szCs w:val="20"/>
                <w:color w:val="auto"/>
              </w:rPr>
            </w:pPr>
            <w:r>
              <w:rPr>
                <w:rFonts w:ascii="Calibri" w:cs="Calibri" w:eastAsia="Calibri" w:hAnsi="Calibri"/>
                <w:sz w:val="18"/>
                <w:szCs w:val="18"/>
                <w:b w:val="1"/>
                <w:bCs w:val="1"/>
                <w:color w:val="auto"/>
                <w:w w:val="94"/>
              </w:rPr>
              <w:t>PART I</w:t>
            </w: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780" w:type="dxa"/>
            <w:vAlign w:val="bottom"/>
            <w:gridSpan w:val="7"/>
            <w:vMerge w:val="continue"/>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Borders>
              <w:bottom w:val="single" w:sz="8" w:color="CCEEFF"/>
            </w:tcBorders>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w:t>
            </w:r>
          </w:p>
        </w:tc>
        <w:tc>
          <w:tcPr>
            <w:tcW w:w="620" w:type="dxa"/>
            <w:vAlign w:val="bottom"/>
            <w:tcBorders>
              <w:bottom w:val="single" w:sz="8" w:color="0000FF"/>
            </w:tcBorders>
            <w:shd w:val="clear" w:color="auto" w:fill="CCEEFF"/>
          </w:tcPr>
          <w:p>
            <w:pPr>
              <w:spacing w:after="0" w:line="175" w:lineRule="exact"/>
              <w:rPr>
                <w:sz w:val="20"/>
                <w:szCs w:val="20"/>
                <w:color w:val="auto"/>
              </w:rPr>
            </w:pPr>
            <w:r>
              <w:rPr>
                <w:rFonts w:ascii="Calibri" w:cs="Calibri" w:eastAsia="Calibri" w:hAnsi="Calibri"/>
                <w:sz w:val="18"/>
                <w:szCs w:val="18"/>
                <w:color w:val="0000FF"/>
                <w:w w:val="95"/>
              </w:rPr>
              <w:t>Business</w:t>
            </w:r>
          </w:p>
        </w:tc>
        <w:tc>
          <w:tcPr>
            <w:tcW w:w="8340" w:type="dxa"/>
            <w:vAlign w:val="bottom"/>
            <w:tcBorders>
              <w:bottom w:val="single" w:sz="8" w:color="CCEEFF"/>
            </w:tcBorders>
            <w:gridSpan w:val="21"/>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75" w:lineRule="exact"/>
              <w:rPr>
                <w:sz w:val="20"/>
                <w:szCs w:val="20"/>
                <w:color w:val="auto"/>
              </w:rPr>
            </w:pPr>
            <w:r>
              <w:rPr>
                <w:rFonts w:ascii="Calibri" w:cs="Calibri" w:eastAsia="Calibri" w:hAnsi="Calibri"/>
                <w:sz w:val="18"/>
                <w:szCs w:val="18"/>
                <w:color w:val="0000FF"/>
                <w:w w:val="87"/>
              </w:rPr>
              <w:t>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1A.</w:t>
            </w:r>
          </w:p>
        </w:tc>
        <w:tc>
          <w:tcPr>
            <w:tcW w:w="8960" w:type="dxa"/>
            <w:vAlign w:val="bottom"/>
            <w:gridSpan w:val="22"/>
          </w:tcPr>
          <w:p>
            <w:pPr>
              <w:spacing w:after="0" w:line="175" w:lineRule="exact"/>
              <w:rPr>
                <w:sz w:val="20"/>
                <w:szCs w:val="20"/>
                <w:color w:val="auto"/>
              </w:rPr>
            </w:pPr>
            <w:r>
              <w:rPr>
                <w:rFonts w:ascii="Calibri" w:cs="Calibri" w:eastAsia="Calibri" w:hAnsi="Calibri"/>
                <w:sz w:val="18"/>
                <w:szCs w:val="18"/>
                <w:color w:val="0000FF"/>
              </w:rPr>
              <w:t>Risk Factors</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4</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1B.</w:t>
            </w:r>
          </w:p>
        </w:tc>
        <w:tc>
          <w:tcPr>
            <w:tcW w:w="8960" w:type="dxa"/>
            <w:vAlign w:val="bottom"/>
            <w:gridSpan w:val="22"/>
            <w:shd w:val="clear" w:color="auto" w:fill="CCEEFF"/>
          </w:tcPr>
          <w:p>
            <w:pPr>
              <w:spacing w:after="0" w:line="175" w:lineRule="exact"/>
              <w:rPr>
                <w:sz w:val="20"/>
                <w:szCs w:val="20"/>
                <w:color w:val="auto"/>
              </w:rPr>
            </w:pPr>
            <w:r>
              <w:rPr>
                <w:rFonts w:ascii="Calibri" w:cs="Calibri" w:eastAsia="Calibri" w:hAnsi="Calibri"/>
                <w:sz w:val="18"/>
                <w:szCs w:val="18"/>
                <w:color w:val="0000FF"/>
              </w:rPr>
              <w:t>Unresolved Staf Comments</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11</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2.</w:t>
            </w:r>
          </w:p>
        </w:tc>
        <w:tc>
          <w:tcPr>
            <w:tcW w:w="1980" w:type="dxa"/>
            <w:vAlign w:val="bottom"/>
            <w:gridSpan w:val="10"/>
          </w:tcPr>
          <w:p>
            <w:pPr>
              <w:spacing w:after="0" w:line="175" w:lineRule="exact"/>
              <w:rPr>
                <w:sz w:val="20"/>
                <w:szCs w:val="20"/>
                <w:color w:val="auto"/>
              </w:rPr>
            </w:pPr>
            <w:r>
              <w:rPr>
                <w:rFonts w:ascii="Calibri" w:cs="Calibri" w:eastAsia="Calibri" w:hAnsi="Calibri"/>
                <w:sz w:val="18"/>
                <w:szCs w:val="18"/>
                <w:color w:val="0000FF"/>
              </w:rPr>
              <w:t>Propertes</w:t>
            </w:r>
          </w:p>
        </w:tc>
        <w:tc>
          <w:tcPr>
            <w:tcW w:w="6980" w:type="dxa"/>
            <w:vAlign w:val="bottom"/>
            <w:gridSpan w:val="12"/>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12</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3.</w:t>
            </w:r>
          </w:p>
        </w:tc>
        <w:tc>
          <w:tcPr>
            <w:tcW w:w="1280" w:type="dxa"/>
            <w:vAlign w:val="bottom"/>
            <w:gridSpan w:val="5"/>
            <w:shd w:val="clear" w:color="auto" w:fill="CCEEFF"/>
          </w:tcPr>
          <w:p>
            <w:pPr>
              <w:spacing w:after="0" w:line="175" w:lineRule="exact"/>
              <w:rPr>
                <w:sz w:val="20"/>
                <w:szCs w:val="20"/>
                <w:color w:val="auto"/>
              </w:rPr>
            </w:pPr>
            <w:r>
              <w:rPr>
                <w:rFonts w:ascii="Calibri" w:cs="Calibri" w:eastAsia="Calibri" w:hAnsi="Calibri"/>
                <w:sz w:val="18"/>
                <w:szCs w:val="18"/>
                <w:color w:val="0000FF"/>
                <w:w w:val="96"/>
              </w:rPr>
              <w:t>Legal Proceedings</w:t>
            </w:r>
          </w:p>
        </w:tc>
        <w:tc>
          <w:tcPr>
            <w:tcW w:w="7680" w:type="dxa"/>
            <w:vAlign w:val="bottom"/>
            <w:gridSpan w:val="17"/>
            <w:shd w:val="clear" w:color="auto" w:fill="CCEEFF"/>
          </w:tcPr>
          <w:p>
            <w:pPr>
              <w:spacing w:after="0"/>
              <w:rPr>
                <w:sz w:val="15"/>
                <w:szCs w:val="15"/>
                <w:color w:val="auto"/>
              </w:rPr>
            </w:pP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12</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4.</w:t>
            </w:r>
          </w:p>
        </w:tc>
        <w:tc>
          <w:tcPr>
            <w:tcW w:w="8960" w:type="dxa"/>
            <w:vAlign w:val="bottom"/>
            <w:gridSpan w:val="22"/>
          </w:tcPr>
          <w:p>
            <w:pPr>
              <w:spacing w:after="0" w:line="175" w:lineRule="exact"/>
              <w:rPr>
                <w:sz w:val="20"/>
                <w:szCs w:val="20"/>
                <w:color w:val="auto"/>
              </w:rPr>
            </w:pPr>
            <w:r>
              <w:rPr>
                <w:rFonts w:ascii="Calibri" w:cs="Calibri" w:eastAsia="Calibri" w:hAnsi="Calibri"/>
                <w:sz w:val="18"/>
                <w:szCs w:val="18"/>
                <w:color w:val="0000FF"/>
              </w:rPr>
              <w:t>Mine Safety Disclosures</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12</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80" w:type="dxa"/>
            <w:vAlign w:val="bottom"/>
            <w:gridSpan w:val="7"/>
            <w:shd w:val="clear" w:color="auto" w:fill="CCEEFF"/>
          </w:tcPr>
          <w:p>
            <w:pPr>
              <w:jc w:val="center"/>
              <w:ind w:right="4120"/>
              <w:spacing w:after="0" w:line="215" w:lineRule="exact"/>
              <w:rPr>
                <w:sz w:val="20"/>
                <w:szCs w:val="20"/>
                <w:color w:val="auto"/>
              </w:rPr>
            </w:pPr>
            <w:r>
              <w:rPr>
                <w:rFonts w:ascii="Calibri" w:cs="Calibri" w:eastAsia="Calibri" w:hAnsi="Calibri"/>
                <w:sz w:val="18"/>
                <w:szCs w:val="18"/>
                <w:b w:val="1"/>
                <w:bCs w:val="1"/>
                <w:color w:val="auto"/>
                <w:w w:val="93"/>
              </w:rPr>
              <w:t>PART II</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60" w:type="dxa"/>
            <w:vAlign w:val="bottom"/>
          </w:tcPr>
          <w:p>
            <w:pPr>
              <w:ind w:left="20"/>
              <w:spacing w:after="0" w:line="183" w:lineRule="exact"/>
              <w:rPr>
                <w:sz w:val="20"/>
                <w:szCs w:val="20"/>
                <w:color w:val="auto"/>
              </w:rPr>
            </w:pPr>
            <w:r>
              <w:rPr>
                <w:rFonts w:ascii="Calibri" w:cs="Calibri" w:eastAsia="Calibri" w:hAnsi="Calibri"/>
                <w:sz w:val="18"/>
                <w:szCs w:val="18"/>
                <w:color w:val="auto"/>
              </w:rPr>
              <w:t>ITEM 5.</w:t>
            </w:r>
          </w:p>
        </w:tc>
        <w:tc>
          <w:tcPr>
            <w:tcW w:w="8120" w:type="dxa"/>
            <w:vAlign w:val="bottom"/>
            <w:tcBorders>
              <w:bottom w:val="single" w:sz="8" w:color="0000FF"/>
            </w:tcBorders>
            <w:gridSpan w:val="21"/>
          </w:tcPr>
          <w:p>
            <w:pPr>
              <w:spacing w:after="0" w:line="169" w:lineRule="exact"/>
              <w:rPr>
                <w:sz w:val="20"/>
                <w:szCs w:val="20"/>
                <w:color w:val="auto"/>
              </w:rPr>
            </w:pPr>
            <w:r>
              <w:rPr>
                <w:rFonts w:ascii="Calibri" w:cs="Calibri" w:eastAsia="Calibri" w:hAnsi="Calibri"/>
                <w:sz w:val="18"/>
                <w:szCs w:val="18"/>
                <w:color w:val="0000FF"/>
                <w:w w:val="97"/>
              </w:rPr>
              <w:t>Market for the Company’s Common Equity, Related Shareholder Maters, and Issuer Purchases of Equity Securites</w:t>
            </w:r>
          </w:p>
        </w:tc>
        <w:tc>
          <w:tcPr>
            <w:tcW w:w="840" w:type="dxa"/>
            <w:vAlign w:val="bottom"/>
          </w:tcPr>
          <w:p>
            <w:pPr>
              <w:spacing w:after="0"/>
              <w:rPr>
                <w:sz w:val="16"/>
                <w:szCs w:val="16"/>
                <w:color w:val="auto"/>
              </w:rPr>
            </w:pPr>
          </w:p>
        </w:tc>
        <w:tc>
          <w:tcPr>
            <w:tcW w:w="1120" w:type="dxa"/>
            <w:vAlign w:val="bottom"/>
            <w:gridSpan w:val="4"/>
          </w:tcPr>
          <w:p>
            <w:pPr>
              <w:jc w:val="right"/>
              <w:ind w:right="20"/>
              <w:spacing w:after="0" w:line="183" w:lineRule="exact"/>
              <w:rPr>
                <w:sz w:val="20"/>
                <w:szCs w:val="20"/>
                <w:color w:val="auto"/>
              </w:rPr>
            </w:pPr>
            <w:r>
              <w:rPr>
                <w:rFonts w:ascii="Calibri" w:cs="Calibri" w:eastAsia="Calibri" w:hAnsi="Calibri"/>
                <w:sz w:val="18"/>
                <w:szCs w:val="18"/>
                <w:color w:val="0000FF"/>
              </w:rPr>
              <w:t>13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6.</w:t>
            </w:r>
          </w:p>
        </w:tc>
        <w:tc>
          <w:tcPr>
            <w:tcW w:w="660" w:type="dxa"/>
            <w:vAlign w:val="bottom"/>
            <w:gridSpan w:val="2"/>
            <w:shd w:val="clear" w:color="auto" w:fill="CCEEFF"/>
          </w:tcPr>
          <w:p>
            <w:pPr>
              <w:spacing w:after="0" w:line="175" w:lineRule="exact"/>
              <w:rPr>
                <w:sz w:val="20"/>
                <w:szCs w:val="20"/>
                <w:color w:val="auto"/>
              </w:rPr>
            </w:pPr>
            <w:r>
              <w:rPr>
                <w:rFonts w:ascii="Calibri" w:cs="Calibri" w:eastAsia="Calibri" w:hAnsi="Calibri"/>
                <w:sz w:val="18"/>
                <w:szCs w:val="18"/>
                <w:color w:val="0000FF"/>
                <w:w w:val="94"/>
              </w:rPr>
              <w:t>Reserved</w:t>
            </w:r>
          </w:p>
        </w:tc>
        <w:tc>
          <w:tcPr>
            <w:tcW w:w="8300" w:type="dxa"/>
            <w:vAlign w:val="bottom"/>
            <w:gridSpan w:val="20"/>
            <w:shd w:val="clear" w:color="auto" w:fill="CCEEFF"/>
          </w:tcPr>
          <w:p>
            <w:pPr>
              <w:spacing w:after="0"/>
              <w:rPr>
                <w:sz w:val="15"/>
                <w:szCs w:val="15"/>
                <w:color w:val="auto"/>
              </w:rPr>
            </w:pP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14</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7.</w:t>
            </w:r>
          </w:p>
        </w:tc>
        <w:tc>
          <w:tcPr>
            <w:tcW w:w="8960" w:type="dxa"/>
            <w:vAlign w:val="bottom"/>
            <w:gridSpan w:val="22"/>
          </w:tcPr>
          <w:p>
            <w:pPr>
              <w:spacing w:after="0" w:line="175"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14</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7A.</w:t>
            </w:r>
          </w:p>
        </w:tc>
        <w:tc>
          <w:tcPr>
            <w:tcW w:w="8960" w:type="dxa"/>
            <w:vAlign w:val="bottom"/>
            <w:gridSpan w:val="22"/>
            <w:shd w:val="clear" w:color="auto" w:fill="CCEEFF"/>
          </w:tcPr>
          <w:p>
            <w:pPr>
              <w:spacing w:after="0" w:line="175" w:lineRule="exact"/>
              <w:rPr>
                <w:sz w:val="20"/>
                <w:szCs w:val="20"/>
                <w:color w:val="auto"/>
              </w:rPr>
            </w:pPr>
            <w:r>
              <w:rPr>
                <w:rFonts w:ascii="Calibri" w:cs="Calibri" w:eastAsia="Calibri" w:hAnsi="Calibri"/>
                <w:sz w:val="18"/>
                <w:szCs w:val="18"/>
                <w:color w:val="0000FF"/>
              </w:rPr>
              <w:t>Quanttatve and Qualitatve Disclosures about Market Risk</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21</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8.</w:t>
            </w:r>
          </w:p>
        </w:tc>
        <w:tc>
          <w:tcPr>
            <w:tcW w:w="4180" w:type="dxa"/>
            <w:vAlign w:val="bottom"/>
            <w:gridSpan w:val="15"/>
          </w:tcPr>
          <w:p>
            <w:pPr>
              <w:spacing w:after="0" w:line="175" w:lineRule="exact"/>
              <w:rPr>
                <w:sz w:val="20"/>
                <w:szCs w:val="20"/>
                <w:color w:val="auto"/>
              </w:rPr>
            </w:pPr>
            <w:r>
              <w:rPr>
                <w:rFonts w:ascii="Calibri" w:cs="Calibri" w:eastAsia="Calibri" w:hAnsi="Calibri"/>
                <w:sz w:val="18"/>
                <w:szCs w:val="18"/>
                <w:color w:val="0000FF"/>
              </w:rPr>
              <w:t>Financial Statements and Supplementary Data</w:t>
            </w:r>
          </w:p>
        </w:tc>
        <w:tc>
          <w:tcPr>
            <w:tcW w:w="4780" w:type="dxa"/>
            <w:vAlign w:val="bottom"/>
            <w:gridSpan w:val="7"/>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22</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9.</w:t>
            </w:r>
          </w:p>
        </w:tc>
        <w:tc>
          <w:tcPr>
            <w:tcW w:w="8960" w:type="dxa"/>
            <w:vAlign w:val="bottom"/>
            <w:gridSpan w:val="22"/>
            <w:shd w:val="clear" w:color="auto" w:fill="CCEEFF"/>
          </w:tcPr>
          <w:p>
            <w:pPr>
              <w:spacing w:after="0" w:line="175" w:lineRule="exact"/>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48</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9A.</w:t>
            </w:r>
          </w:p>
        </w:tc>
        <w:tc>
          <w:tcPr>
            <w:tcW w:w="6260" w:type="dxa"/>
            <w:vAlign w:val="bottom"/>
            <w:gridSpan w:val="19"/>
          </w:tcPr>
          <w:p>
            <w:pPr>
              <w:spacing w:after="0" w:line="175" w:lineRule="exact"/>
              <w:rPr>
                <w:sz w:val="20"/>
                <w:szCs w:val="20"/>
                <w:color w:val="auto"/>
              </w:rPr>
            </w:pPr>
            <w:r>
              <w:rPr>
                <w:rFonts w:ascii="Calibri" w:cs="Calibri" w:eastAsia="Calibri" w:hAnsi="Calibri"/>
                <w:sz w:val="18"/>
                <w:szCs w:val="18"/>
                <w:color w:val="0000FF"/>
              </w:rPr>
              <w:t>Controls and Procedures</w:t>
            </w:r>
          </w:p>
        </w:tc>
        <w:tc>
          <w:tcPr>
            <w:tcW w:w="2700" w:type="dxa"/>
            <w:vAlign w:val="bottom"/>
            <w:gridSpan w:val="3"/>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48</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9B.</w:t>
            </w:r>
          </w:p>
        </w:tc>
        <w:tc>
          <w:tcPr>
            <w:tcW w:w="8960" w:type="dxa"/>
            <w:vAlign w:val="bottom"/>
            <w:gridSpan w:val="22"/>
            <w:shd w:val="clear" w:color="auto" w:fill="CCEEFF"/>
          </w:tcPr>
          <w:p>
            <w:pPr>
              <w:spacing w:after="0" w:line="175" w:lineRule="exact"/>
              <w:rPr>
                <w:sz w:val="20"/>
                <w:szCs w:val="20"/>
                <w:color w:val="auto"/>
              </w:rPr>
            </w:pPr>
            <w:r>
              <w:rPr>
                <w:rFonts w:ascii="Calibri" w:cs="Calibri" w:eastAsia="Calibri" w:hAnsi="Calibri"/>
                <w:sz w:val="18"/>
                <w:szCs w:val="18"/>
                <w:color w:val="0000FF"/>
              </w:rPr>
              <w:t>Other Informaton</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49</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9C.</w:t>
            </w:r>
          </w:p>
        </w:tc>
        <w:tc>
          <w:tcPr>
            <w:tcW w:w="8960" w:type="dxa"/>
            <w:vAlign w:val="bottom"/>
            <w:gridSpan w:val="22"/>
          </w:tcPr>
          <w:p>
            <w:pPr>
              <w:spacing w:after="0" w:line="175" w:lineRule="exact"/>
              <w:rPr>
                <w:sz w:val="20"/>
                <w:szCs w:val="20"/>
                <w:color w:val="auto"/>
              </w:rPr>
            </w:pPr>
            <w:r>
              <w:rPr>
                <w:rFonts w:ascii="Calibri" w:cs="Calibri" w:eastAsia="Calibri" w:hAnsi="Calibri"/>
                <w:sz w:val="18"/>
                <w:szCs w:val="18"/>
                <w:color w:val="0000FF"/>
              </w:rPr>
              <w:t>Disclosure Regarding Foreign Jurisdictons That Prevent Inspectons</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49</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80" w:type="dxa"/>
            <w:vAlign w:val="bottom"/>
            <w:gridSpan w:val="7"/>
            <w:shd w:val="clear" w:color="auto" w:fill="CCEEFF"/>
          </w:tcPr>
          <w:p>
            <w:pPr>
              <w:jc w:val="center"/>
              <w:ind w:right="4120"/>
              <w:spacing w:after="0" w:line="215" w:lineRule="exact"/>
              <w:rPr>
                <w:sz w:val="20"/>
                <w:szCs w:val="20"/>
                <w:color w:val="auto"/>
              </w:rPr>
            </w:pPr>
            <w:r>
              <w:rPr>
                <w:rFonts w:ascii="Calibri" w:cs="Calibri" w:eastAsia="Calibri" w:hAnsi="Calibri"/>
                <w:sz w:val="18"/>
                <w:szCs w:val="18"/>
                <w:b w:val="1"/>
                <w:bCs w:val="1"/>
                <w:color w:val="auto"/>
                <w:w w:val="92"/>
              </w:rPr>
              <w:t>PART III</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10.</w:t>
            </w:r>
          </w:p>
        </w:tc>
        <w:tc>
          <w:tcPr>
            <w:tcW w:w="8960" w:type="dxa"/>
            <w:vAlign w:val="bottom"/>
            <w:gridSpan w:val="22"/>
          </w:tcPr>
          <w:p>
            <w:pPr>
              <w:spacing w:after="0" w:line="175" w:lineRule="exact"/>
              <w:rPr>
                <w:sz w:val="20"/>
                <w:szCs w:val="20"/>
                <w:color w:val="auto"/>
              </w:rPr>
            </w:pPr>
            <w:r>
              <w:rPr>
                <w:rFonts w:ascii="Calibri" w:cs="Calibri" w:eastAsia="Calibri" w:hAnsi="Calibri"/>
                <w:sz w:val="18"/>
                <w:szCs w:val="18"/>
                <w:color w:val="0000FF"/>
              </w:rPr>
              <w:t>Directors, Executve Ofcers, and Corporate Governance</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50</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11.</w:t>
            </w:r>
          </w:p>
        </w:tc>
        <w:tc>
          <w:tcPr>
            <w:tcW w:w="8960" w:type="dxa"/>
            <w:vAlign w:val="bottom"/>
            <w:gridSpan w:val="22"/>
            <w:shd w:val="clear" w:color="auto" w:fill="CCEEFF"/>
          </w:tcPr>
          <w:p>
            <w:pPr>
              <w:spacing w:after="0" w:line="175" w:lineRule="exact"/>
              <w:rPr>
                <w:sz w:val="20"/>
                <w:szCs w:val="20"/>
                <w:color w:val="auto"/>
              </w:rPr>
            </w:pPr>
            <w:r>
              <w:rPr>
                <w:rFonts w:ascii="Calibri" w:cs="Calibri" w:eastAsia="Calibri" w:hAnsi="Calibri"/>
                <w:sz w:val="18"/>
                <w:szCs w:val="18"/>
                <w:color w:val="0000FF"/>
              </w:rPr>
              <w:t>Executve Compensaton</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60" w:type="dxa"/>
            <w:vAlign w:val="bottom"/>
          </w:tcPr>
          <w:p>
            <w:pPr>
              <w:ind w:left="20"/>
              <w:spacing w:after="0" w:line="183" w:lineRule="exact"/>
              <w:rPr>
                <w:sz w:val="20"/>
                <w:szCs w:val="20"/>
                <w:color w:val="auto"/>
              </w:rPr>
            </w:pPr>
            <w:r>
              <w:rPr>
                <w:rFonts w:ascii="Calibri" w:cs="Calibri" w:eastAsia="Calibri" w:hAnsi="Calibri"/>
                <w:sz w:val="18"/>
                <w:szCs w:val="18"/>
                <w:color w:val="auto"/>
              </w:rPr>
              <w:t>ITEM 12.</w:t>
            </w:r>
          </w:p>
        </w:tc>
        <w:tc>
          <w:tcPr>
            <w:tcW w:w="7140" w:type="dxa"/>
            <w:vAlign w:val="bottom"/>
            <w:tcBorders>
              <w:bottom w:val="single" w:sz="8" w:color="0000FF"/>
            </w:tcBorders>
            <w:gridSpan w:val="20"/>
          </w:tcPr>
          <w:p>
            <w:pPr>
              <w:spacing w:after="0" w:line="169" w:lineRule="exact"/>
              <w:rPr>
                <w:sz w:val="20"/>
                <w:szCs w:val="20"/>
                <w:color w:val="auto"/>
              </w:rPr>
            </w:pPr>
            <w:r>
              <w:rPr>
                <w:rFonts w:ascii="Calibri" w:cs="Calibri" w:eastAsia="Calibri" w:hAnsi="Calibri"/>
                <w:sz w:val="18"/>
                <w:szCs w:val="18"/>
                <w:color w:val="0000FF"/>
                <w:w w:val="98"/>
              </w:rPr>
              <w:t>Security Ownership of Certain Benefcial Owners and Management And Related Stockholder Maters</w:t>
            </w:r>
          </w:p>
        </w:tc>
        <w:tc>
          <w:tcPr>
            <w:tcW w:w="1820" w:type="dxa"/>
            <w:vAlign w:val="bottom"/>
            <w:gridSpan w:val="2"/>
          </w:tcPr>
          <w:p>
            <w:pPr>
              <w:spacing w:after="0"/>
              <w:rPr>
                <w:sz w:val="16"/>
                <w:szCs w:val="16"/>
                <w:color w:val="auto"/>
              </w:rPr>
            </w:pPr>
          </w:p>
        </w:tc>
        <w:tc>
          <w:tcPr>
            <w:tcW w:w="1120" w:type="dxa"/>
            <w:vAlign w:val="bottom"/>
            <w:gridSpan w:val="4"/>
          </w:tcPr>
          <w:p>
            <w:pPr>
              <w:jc w:val="right"/>
              <w:ind w:right="20"/>
              <w:spacing w:after="0" w:line="183"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13.</w:t>
            </w:r>
          </w:p>
        </w:tc>
        <w:tc>
          <w:tcPr>
            <w:tcW w:w="8960" w:type="dxa"/>
            <w:vAlign w:val="bottom"/>
            <w:gridSpan w:val="22"/>
            <w:shd w:val="clear" w:color="auto" w:fill="CCEEFF"/>
          </w:tcPr>
          <w:p>
            <w:pPr>
              <w:spacing w:after="0" w:line="175" w:lineRule="exact"/>
              <w:rPr>
                <w:sz w:val="20"/>
                <w:szCs w:val="20"/>
                <w:color w:val="auto"/>
              </w:rPr>
            </w:pPr>
            <w:r>
              <w:rPr>
                <w:rFonts w:ascii="Calibri" w:cs="Calibri" w:eastAsia="Calibri" w:hAnsi="Calibri"/>
                <w:sz w:val="18"/>
                <w:szCs w:val="18"/>
                <w:color w:val="0000FF"/>
              </w:rPr>
              <w:t>Certain Relatonships and Related Transactons, and Director Independence</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14.</w:t>
            </w:r>
          </w:p>
        </w:tc>
        <w:tc>
          <w:tcPr>
            <w:tcW w:w="5340" w:type="dxa"/>
            <w:vAlign w:val="bottom"/>
            <w:gridSpan w:val="17"/>
          </w:tcPr>
          <w:p>
            <w:pPr>
              <w:spacing w:after="0" w:line="175" w:lineRule="exact"/>
              <w:rPr>
                <w:sz w:val="20"/>
                <w:szCs w:val="20"/>
                <w:color w:val="auto"/>
              </w:rPr>
            </w:pPr>
            <w:r>
              <w:rPr>
                <w:rFonts w:ascii="Calibri" w:cs="Calibri" w:eastAsia="Calibri" w:hAnsi="Calibri"/>
                <w:sz w:val="18"/>
                <w:szCs w:val="18"/>
                <w:color w:val="0000FF"/>
              </w:rPr>
              <w:t>Principal Accountant Fees and Services</w:t>
            </w:r>
          </w:p>
        </w:tc>
        <w:tc>
          <w:tcPr>
            <w:tcW w:w="3620" w:type="dxa"/>
            <w:vAlign w:val="bottom"/>
            <w:gridSpan w:val="5"/>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80" w:type="dxa"/>
            <w:vAlign w:val="bottom"/>
            <w:gridSpan w:val="7"/>
            <w:shd w:val="clear" w:color="auto" w:fill="CCEEFF"/>
          </w:tcPr>
          <w:p>
            <w:pPr>
              <w:jc w:val="center"/>
              <w:ind w:right="4120"/>
              <w:spacing w:after="0" w:line="215" w:lineRule="exact"/>
              <w:rPr>
                <w:sz w:val="20"/>
                <w:szCs w:val="20"/>
                <w:color w:val="auto"/>
              </w:rPr>
            </w:pPr>
            <w:r>
              <w:rPr>
                <w:rFonts w:ascii="Calibri" w:cs="Calibri" w:eastAsia="Calibri" w:hAnsi="Calibri"/>
                <w:sz w:val="18"/>
                <w:szCs w:val="18"/>
                <w:b w:val="1"/>
                <w:bCs w:val="1"/>
                <w:color w:val="auto"/>
                <w:w w:val="98"/>
              </w:rPr>
              <w:t>PART IV</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15.</w:t>
            </w:r>
          </w:p>
        </w:tc>
        <w:tc>
          <w:tcPr>
            <w:tcW w:w="8960" w:type="dxa"/>
            <w:vAlign w:val="bottom"/>
            <w:gridSpan w:val="22"/>
          </w:tcPr>
          <w:p>
            <w:pPr>
              <w:spacing w:after="0" w:line="175" w:lineRule="exact"/>
              <w:rPr>
                <w:sz w:val="20"/>
                <w:szCs w:val="20"/>
                <w:color w:val="auto"/>
              </w:rPr>
            </w:pPr>
            <w:r>
              <w:rPr>
                <w:rFonts w:ascii="Calibri" w:cs="Calibri" w:eastAsia="Calibri" w:hAnsi="Calibri"/>
                <w:sz w:val="18"/>
                <w:szCs w:val="18"/>
                <w:color w:val="0000FF"/>
              </w:rPr>
              <w:t>Exhibits and Financial Statement Schedules</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52</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16.</w:t>
            </w:r>
          </w:p>
        </w:tc>
        <w:tc>
          <w:tcPr>
            <w:tcW w:w="8960" w:type="dxa"/>
            <w:vAlign w:val="bottom"/>
            <w:gridSpan w:val="22"/>
            <w:shd w:val="clear" w:color="auto" w:fill="CCEEFF"/>
          </w:tcPr>
          <w:p>
            <w:pPr>
              <w:spacing w:after="0" w:line="175" w:lineRule="exact"/>
              <w:rPr>
                <w:sz w:val="20"/>
                <w:szCs w:val="20"/>
                <w:color w:val="auto"/>
              </w:rPr>
            </w:pPr>
            <w:r>
              <w:rPr>
                <w:rFonts w:ascii="Calibri" w:cs="Calibri" w:eastAsia="Calibri" w:hAnsi="Calibri"/>
                <w:sz w:val="18"/>
                <w:szCs w:val="18"/>
                <w:color w:val="0000FF"/>
              </w:rPr>
              <w:t>Form 10-K Summary</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54</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922" w:right="39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 </w:t>
      </w:r>
      <w:r>
        <w:rPr>
          <w:rFonts w:ascii="Calibri" w:cs="Calibri" w:eastAsia="Calibri" w:hAnsi="Calibri"/>
          <w:sz w:val="18"/>
          <w:szCs w:val="18"/>
          <w:b w:val="1"/>
          <w:bCs w:val="1"/>
          <w:i w:val="1"/>
          <w:iCs w:val="1"/>
          <w:color w:val="auto"/>
        </w:rPr>
        <w:t>BUSINESS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 leading specialty chemical and ingredients company that formulates, distributes, blends and manufactures products for our Industrial, Water Treatment and Health and Nutriton customers. We believe that we create value for our customers through superb service and support, quality products, personalized applicatons and trustworthy, creatve employees.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color w:val="auto"/>
        </w:rPr>
        <w:t>We conduct our business in three segments: Industrial, Water Treatment, and Health and Nutriton.</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Our Industrial Group specializes in providing industrial chemicals, products and services to industries such as agriculture, chemical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processing, electronics, energy, food, pharmaceutcal and platng. This group’s principal products are acids, alkalis and food-grade and pharmaceutcal salts and ingredients.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color w:val="auto"/>
        </w:rPr>
        <w:t>The Industrial Group:</w:t>
      </w:r>
    </w:p>
    <w:p>
      <w:pPr>
        <w:spacing w:after="0" w:line="244" w:lineRule="exact"/>
        <w:rPr>
          <w:sz w:val="20"/>
          <w:szCs w:val="20"/>
          <w:color w:val="auto"/>
        </w:rPr>
      </w:pPr>
    </w:p>
    <w:p>
      <w:pPr>
        <w:ind w:left="420" w:hanging="169"/>
        <w:spacing w:after="0" w:line="235" w:lineRule="auto"/>
        <w:tabs>
          <w:tab w:leader="none" w:pos="41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Manufactures sodium hypochlorite (bleach), agricultural products and certain food-grade and pharmaceutcal products, including liquid phosphates, lactates and other blended products;</w:t>
      </w:r>
    </w:p>
    <w:p>
      <w:pPr>
        <w:spacing w:after="0" w:line="244" w:lineRule="exact"/>
        <w:rPr>
          <w:rFonts w:ascii="Calibri" w:cs="Calibri" w:eastAsia="Calibri" w:hAnsi="Calibri"/>
          <w:sz w:val="18"/>
          <w:szCs w:val="18"/>
          <w:color w:val="auto"/>
        </w:rPr>
      </w:pPr>
    </w:p>
    <w:p>
      <w:pPr>
        <w:ind w:left="420" w:hanging="169"/>
        <w:spacing w:after="0" w:line="235" w:lineRule="auto"/>
        <w:tabs>
          <w:tab w:leader="none" w:pos="41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Receives, stores and distributes various chemicals in bulk quanttes, including liquid caustc soda, sulfuric acid, hydrochloric acid, urea, phosphoric acid, aqua ammonia and potassium hydroxide;</w:t>
      </w:r>
    </w:p>
    <w:p>
      <w:pPr>
        <w:spacing w:after="0" w:line="239" w:lineRule="exact"/>
        <w:rPr>
          <w:rFonts w:ascii="Calibri" w:cs="Calibri" w:eastAsia="Calibri" w:hAnsi="Calibri"/>
          <w:sz w:val="18"/>
          <w:szCs w:val="18"/>
          <w:color w:val="auto"/>
        </w:rPr>
      </w:pPr>
    </w:p>
    <w:p>
      <w:pPr>
        <w:ind w:left="400" w:hanging="149"/>
        <w:spacing w:after="0"/>
        <w:tabs>
          <w:tab w:leader="none" w:pos="4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Repackages water treatment chemicals for our Water Treatment Group and bulk industrial chemicals to sell in smaller quanttes to our customers;</w:t>
      </w:r>
    </w:p>
    <w:p>
      <w:pPr>
        <w:spacing w:after="0" w:line="239" w:lineRule="exact"/>
        <w:rPr>
          <w:rFonts w:ascii="Calibri" w:cs="Calibri" w:eastAsia="Calibri" w:hAnsi="Calibri"/>
          <w:sz w:val="18"/>
          <w:szCs w:val="18"/>
          <w:color w:val="auto"/>
        </w:rPr>
      </w:pPr>
    </w:p>
    <w:p>
      <w:pPr>
        <w:ind w:left="400" w:hanging="149"/>
        <w:spacing w:after="0"/>
        <w:tabs>
          <w:tab w:leader="none" w:pos="4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Performs custom blending of chemicals according to customer formulas and specifcatons; and</w:t>
      </w:r>
    </w:p>
    <w:p>
      <w:pPr>
        <w:spacing w:after="0" w:line="239" w:lineRule="exact"/>
        <w:rPr>
          <w:rFonts w:ascii="Calibri" w:cs="Calibri" w:eastAsia="Calibri" w:hAnsi="Calibri"/>
          <w:sz w:val="18"/>
          <w:szCs w:val="18"/>
          <w:color w:val="auto"/>
        </w:rPr>
      </w:pPr>
    </w:p>
    <w:p>
      <w:pPr>
        <w:ind w:left="400" w:hanging="149"/>
        <w:spacing w:after="0"/>
        <w:tabs>
          <w:tab w:leader="none" w:pos="4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Performs contract and private label bleach packaging.</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group’s sales are concentrated primarily in the central United States, while the group’s products sold into the food and pharmaceutcal markets are sold natonally. The Industrial Group relies on a specially trained sales staf that works directly with customers on their specifc needs. The group conducts its business primarily through manufacturing locatons and terminal operatons. Agricultural sales within this group tend to be seasonal, with higher sales due to the applicaton of fertlizer during the plantng season of March through June given the regions of the country where we are located.</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Our Water Treatment Group specializes in providing chemicals, products, equipment, services and solutons for potable water,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municipal and industrial wastewater, industrial process water, non-residental swimming pool water and agricultural water. This group has the resources and fexibility to treat systems ranging in size from a single small well to a mult-million-gallon-per-day facility.</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group utlizes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municipalites and other customers that we serve. We also believe that there are signifcant synergies between our Water Treatment and Industrial Groups in that we are able to obtain a compettve cost positon on many of the chemicals sold by the Water Treatment Group due to the volumes of these chemicals purchased by our Industrial Group. In additon, our Industrial and Water Treatment groups share certain resources, which leverage fxed costs across both groups.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Water Treatment group operates out of 37 warehouses supplying products and services to customers primarily in the central United States, and along the south from Florida to Texas. In fscal 2022, we added four locatons, all by acquisiton. We expect to invest in existng and new branches to expand the group’s geographic coverage. Our Water Treatment Group has historically experienced higher sales during April to September, primarily due to a seasonal increase in chemicals used by municipal water treatment facilites.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 w:name="page5"/>
    <w:bookmarkEnd w:id="4"/>
    <w:p>
      <w:pPr>
        <w:jc w:val="both"/>
        <w:spacing w:after="0" w:line="235" w:lineRule="auto"/>
        <w:rPr>
          <w:sz w:val="20"/>
          <w:szCs w:val="20"/>
          <w:color w:val="auto"/>
        </w:rPr>
      </w:pPr>
      <w:r>
        <w:rPr>
          <w:rFonts w:ascii="Calibri" w:cs="Calibri" w:eastAsia="Calibri" w:hAnsi="Calibri"/>
          <w:sz w:val="18"/>
          <w:szCs w:val="18"/>
          <w:i w:val="1"/>
          <w:iCs w:val="1"/>
          <w:color w:val="auto"/>
        </w:rPr>
        <w:t xml:space="preserve">Health and Nutriton Segment. </w:t>
      </w:r>
      <w:r>
        <w:rPr>
          <w:rFonts w:ascii="Calibri" w:cs="Calibri" w:eastAsia="Calibri" w:hAnsi="Calibri"/>
          <w:sz w:val="18"/>
          <w:szCs w:val="18"/>
          <w:color w:val="auto"/>
        </w:rPr>
        <w:t>Our Health and Nutriton Group specializes in providing ingredient distributon, processing and formulaton solutons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manufacturers of nutraceutcal, functonal food and beverage, personal care, dietary supplement and other nutritonal food, health and wellness products. This group ofers a diverse product portolio including minerals, vitamins and amino acids, excipients, joint products, botanicals and herbs, sweeteners and enzymes.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Health and Nutriton Group relies on a specially trained sales and product development staf that works directly with customers on their specifc needs. The group’s extensive product portolio combined with value-added services, including product formulaton, sourcing and distributon, processing and blending and quality control and compliance, positons this group as a one-stop ingredient solutons provider to its customers. The group operates out of facilites in California and New York and its products are sold natonally and, in certain cases, internatonally.</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Raw Materials. </w:t>
      </w:r>
      <w:r>
        <w:rPr>
          <w:rFonts w:ascii="Calibri" w:cs="Calibri" w:eastAsia="Calibri" w:hAnsi="Calibri"/>
          <w:sz w:val="18"/>
          <w:szCs w:val="18"/>
          <w:color w:val="auto"/>
        </w:rPr>
        <w:t>We have numerous suppliers, including many of the major chemical producers in the United States. We source our health and nutriton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ingredients from a wide array of domestc and internatonal vendors. We typically have distributorship agreements or supply contracts with our suppliers that are periodically renewed. We believe that most of the products we purchase can be obtained from alternatve sources should existng relatonships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tmes or limit or cut of the supply of materials to us. As a result, we may not be able to supply or manufacture products for our customers.</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Intellectual Property. </w:t>
      </w:r>
      <w:r>
        <w:rPr>
          <w:rFonts w:ascii="Calibri" w:cs="Calibri" w:eastAsia="Calibri" w:hAnsi="Calibri"/>
          <w:sz w:val="18"/>
          <w:szCs w:val="18"/>
          <w:color w:val="auto"/>
        </w:rPr>
        <w:t>Our intellectual property portolio is of economic importance to our business. When appropriate, we have pursued, and we will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contnue to pursue, patents covering our products. We also have obtained certain trademarks for our products to distnguish them from our compettors’ products. We regard many of the formulas, informaton and processes that we generate and use in the conduct of our business as proprietary and protectable under applicable copyright, patent, trademark, trade secret and unfair competton laws.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Customer Concentraton. </w:t>
      </w:r>
      <w:r>
        <w:rPr>
          <w:rFonts w:ascii="Calibri" w:cs="Calibri" w:eastAsia="Calibri" w:hAnsi="Calibri"/>
          <w:sz w:val="18"/>
          <w:szCs w:val="18"/>
          <w:color w:val="auto"/>
        </w:rPr>
        <w:t>In fscal 2022, none of our customers accounted for 10% or more of our total sales.</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Competton. </w:t>
      </w:r>
      <w:r>
        <w:rPr>
          <w:rFonts w:ascii="Calibri" w:cs="Calibri" w:eastAsia="Calibri" w:hAnsi="Calibri"/>
          <w:sz w:val="18"/>
          <w:szCs w:val="18"/>
          <w:color w:val="auto"/>
        </w:rPr>
        <w:t>We operate in a compettve industry and compete with many producers, distributors and sales agents ofering products equivalent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substantally all of the products we ofer. Many of our compettors are larger than we are and may have greater fnancial resources, although no one compettor is dominant in all of the markets we serve. We compete by ofering quality products with outstanding customer service at compettve prices coupled with value-added services or product formulaton where needed. Because of our long-standing relatonships with many of our suppliers, we are ofen able to leverage those relatonships to obtain products when supplies are limited or to obtain compettve pricing.</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Working Capital. </w:t>
      </w:r>
      <w:r>
        <w:rPr>
          <w:rFonts w:ascii="Calibri" w:cs="Calibri" w:eastAsia="Calibri" w:hAnsi="Calibri"/>
          <w:sz w:val="18"/>
          <w:szCs w:val="18"/>
          <w:color w:val="auto"/>
        </w:rPr>
        <w:t>Due to the nature of our operatons, which includes purchases of large quanttes of bulk chemicals, the tming of purchases can result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signifcant changes in working capital and the resultng operatng cash fow. Historically, our cash requirements for working capital increase during the period from March through November as caustc soda inventory levels increase with most of our barges received during this period.</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Regulatory Maters. </w:t>
      </w:r>
      <w:r>
        <w:rPr>
          <w:rFonts w:ascii="Calibri" w:cs="Calibri" w:eastAsia="Calibri" w:hAnsi="Calibri"/>
          <w:sz w:val="18"/>
          <w:szCs w:val="18"/>
          <w:color w:val="auto"/>
        </w:rPr>
        <w:t>We are subject to numerous federal, state and local environmental, health and safety laws and regulatons in the jurisdictons in which</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we operate, including the management, storage, transportaton and disposal of chemicals and wastes; product regulaton; air water and soil contaminaton; and the investgaton and cleanup of any spills or releases that may result from our management, handling, storage, sale, or transportaton of chemicals and other products. In additon, societal concerns regarding the safety of chemicals in commerce and their potental impact on the environment have resulted in a growing trend towards increasing levels of product safety and environmental protecton regulatons. These concerns have led to, and could contnue to result in, more stringent regulatory interventon by governmental authorites.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operate a feet of more than 200 commercial vehicles, primarily in our Water Treatment Group, which are highly regulated, including by the U.S. Department of Transportaton (“DOT”). The DOT governs transportaton maters including authorizaton to engage in motor carrier service, including the necessary permits to conduct our businesses, equipment operaton,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both"/>
        <w:spacing w:after="0" w:line="235" w:lineRule="auto"/>
        <w:rPr>
          <w:sz w:val="20"/>
          <w:szCs w:val="20"/>
          <w:color w:val="auto"/>
        </w:rPr>
      </w:pPr>
      <w:r>
        <w:rPr>
          <w:rFonts w:ascii="Calibri" w:cs="Calibri" w:eastAsia="Calibri" w:hAnsi="Calibri"/>
          <w:sz w:val="18"/>
          <w:szCs w:val="18"/>
          <w:color w:val="auto"/>
        </w:rPr>
        <w:t>The manufacture, packaging, labeling, advertsing, promoton, distributon and sale of our agricultural, food, pharmaceutcal, pestcide and health and nutriton products are subject to regulaton by numerous natonal and local governmental agencies in the United States and other countries. The primary regulatory bodies in the United States are the Food and Drug Administraton (the “FDA”), the Environmental Protecton Agency, the United States Department of Agriculture and the Federal Trade Commission, and we are also subject to similar regulators in other countries. In partcular, the FDA’s current good manufacturing practces (“GMPs”) describe policies and procedures designed to ensure that nutraceutcals, pharmaceutcals and dietary supplements are produced in a quality manner, do not contain contaminants or impurites, and are accurately labeled and cover the manufacturing, packaging, labeling and storing of supplements, with requirements for quality control, design and constructon of manufacturing plants, testng of ingredients and fnal products, record keeping, and complaints processes.</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informaton related to government regulaton applicable to our business is included in this Annual Report on Form 10-K, in Part I, Item 1A - Risk Factors.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Human Capital. </w:t>
      </w:r>
      <w:r>
        <w:rPr>
          <w:rFonts w:ascii="Calibri" w:cs="Calibri" w:eastAsia="Calibri" w:hAnsi="Calibri"/>
          <w:sz w:val="18"/>
          <w:szCs w:val="18"/>
          <w:color w:val="auto"/>
        </w:rPr>
        <w:t>Our team is a key to our success and we are commited to creatng a workplace that atracts top talent, develops leaders and drives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performance on behalf of our customers and shareholders.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strive to recruit the best people for the job regardless of race, color, natonality, gender, age, disability, sexual orientaton or any other status protected by law. It is our policy to comply fully with all applicable laws relatng to discriminaton in the workplace and are commited to advancing an inclusive, collaboratve and respectul culture.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health and safety of our employees is our highest priority. We work to ensure our employees have a thorough understanding of health and safety precautons that need to be taken in all business functons. Specifc safety initatves include accident preventon work, improving process controls, safety training, safety commitees, safety audits, incident investgaton and improvement measures.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ensured the safety of our employees and our customers during the COVID-19 pandemic by implementng contngency and contnuity plans to respond quickly and appropriately to identfed risks, safe work practces in accordance with the guidance provided by the US Centers for Disease Control and Preventon ("CDC"). Through communicaton, enhanced resources and leadership, we were able to support our employees, serve our customers and keep our facilites operatng and safe during the pandemic.</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strive to provide employees with compettve wages commensurate with their skill levels, experience, knowledge and the regional market. Full-tme employees are eligible for health, dental and vision insurance, paid and unpaid leaves, 401(K) plan, retrement plans, life and disability/accident coverage and our employee assistance program.</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April 3, 2022, we had 813 employees across the United States, of which 807 were full-tme employees,. Approximately 38% of our employees were female or racially and ethnically diverse, and approximately 10% were covered by a collectve bargaining agreement. Of the eight members of our Board of Directors, two are female, six are male, one is Asian American and seven are white.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Available Informaton. </w:t>
      </w:r>
      <w:r>
        <w:rPr>
          <w:rFonts w:ascii="Calibri" w:cs="Calibri" w:eastAsia="Calibri" w:hAnsi="Calibri"/>
          <w:sz w:val="18"/>
          <w:szCs w:val="18"/>
          <w:color w:val="auto"/>
        </w:rPr>
        <w:t>Our Internet address is www.hawkinsinc.com. We have made available, free of charge, our Annual Reports on Form 10-K, Quarterly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Reports on Form 10-Q, Current Reports on Form 8-K, and, if applicable, amendments to those reports, as soon as reasonably practcable afer we electronically fle these materials with, or furnish them to, the Securites and Exchange Commission. Reports of benefcial ownership fled by our directors and executve ofcers pursuant to Secton 16(a) of the Exchange Act are also available on our website. We are not including the informaton contained on our website as part of, or incorporatng it by reference into, this Annual Report on Form 10-K. The SEC also maintains an internet site that contains reports, proxy and informaton statements, and other informaton regarding our company at htp://www.sec.gov.</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 xml:space="preserve">ITEM 1A. </w:t>
      </w:r>
      <w:r>
        <w:rPr>
          <w:rFonts w:ascii="Calibri" w:cs="Calibri" w:eastAsia="Calibri" w:hAnsi="Calibri"/>
          <w:sz w:val="18"/>
          <w:szCs w:val="18"/>
          <w:b w:val="1"/>
          <w:bCs w:val="1"/>
          <w:i w:val="1"/>
          <w:iCs w:val="1"/>
          <w:color w:val="auto"/>
        </w:rPr>
        <w:t>RISK FACTORS</w:t>
      </w:r>
    </w:p>
    <w:p>
      <w:pPr>
        <w:spacing w:after="0" w:line="244"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i w:val="1"/>
          <w:iCs w:val="1"/>
          <w:color w:val="auto"/>
        </w:rPr>
        <w:t>You should consider carefully the following material factors regarding risks relatng to an investment in our securites and when reading the informaton, including the fnancial informaton, contained in this Annual Report on Form 10-K. Shareholders are cautoned that these and other factors may afect future performance and cause actual results to difer materially from those that may be antcipated.</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COMPETITIVE AND REPUTATIONAL RISKS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operate in a highly compettve environment and face signifcant competton and price pressure.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operate in a highly compettve industry and compete with producers, manufacturers, distributors and sales agents ofering products equivalent to substantally all of the products we ofer. Competton is based on several key criteria, including product price, product performance, product quality, product availability and security of supply, breadth of product oferings, geographic reach, responsiveness of product development in cooperaton with customers, technical expertse and customer service. Many of our compettors are larger than we are and may have greater fnancial resources, more product oferings and a broader geographic reach. As a result, these compettors may be able to ofer a broader array of products to a larger geographic area and may be beter able than us to withstand changes in conditons within our industry, changes in the prices and availability of raw materials and changes in general economic conditons as well as be able to introduce innovatve products that reduce demand for or the proft from our products. Additonally, compettors’ pricing decisions could compel us to decrease our prices, which could adversely afect our margins and proftability. Our ability to maintain or increase our proftability would be dependent upon our ability to ofset compettve decreases in the prices and margins of our products by improving producton efciency, investng in infrastructure to reduce freight costs, identfying and selling higher margin products, providing higher levels of technical expertse and customer service, and improving existng products through innovaton and research and development. If we are unable to maintain our proftability or compettve positon, we could lose market share to our compettors and experience reduced proftability.</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businesses expose us to potental product liability claims and recalls, which could adversely afect our fnancial conditon and performance.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repackaging, blending, mixing and distributon of products by us, including chemical products and products used in food or food ingredients or with medical, pharmaceutcal or dietary supplement applicatons, involve an inherent risk of exposure to product liability claims, product recalls, product seizures and related adverse publicity, including, without limitaton, claims for exposure to our products, spills or release of our products, personal injuries, food-related claims and property damage or environmental claims. A product liability claim, judgment or recall against our customers could also result in substantal and unexpected expenditures for us, afect consumer confdence in our products and divert management’s atenton from other responsibilites. Although we maintain product liability insurance, there can be no assurance that the type or level of coverage is adequate or that we will be able to contnue to maintain our existng insurance or obtain comparable insurance at a reasonable cost, if at all. A product recall or a partally or completely uninsured judgment against us could have a material adverse efect on our business, fnancial conditon and results of operatons.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our customers’ needs or failure of our products to meet customers’ specifcatons could adversely afect our sales and proftability.</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products are used for a broad range of applicatons by our customers. Changes in our customers’ product needs or processes, or reductons in demand for their end products, may enable or require our customers to reduce or eliminate consumpton of the products that we provide. Customers may also fnd alternatve materials or processes that no longer require our products. Consequently, it is important that we develop new products to replace the sales of products that mature and decline in use.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products provide important performance atributes to our customers’ products. If our products fail to meet the customers’ specifcatons or comply with applicable laws or regulatons, perform in a manner inconsistent with the customers’ expectatons or have a shorter useful life than required, a customer could seek replacement of the product or damages for costs incurred as a result of the product failure. A successful claim or series of claims against us could have a material adverse efect on our fnancial conditon and results of operatons and could result in a loss of one or more customers. Reductons in demand for our products could adversely afect our sales and fnancial results and result in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p>
      <w:pPr>
        <w:jc w:val="both"/>
        <w:spacing w:after="0" w:line="235" w:lineRule="auto"/>
        <w:rPr>
          <w:sz w:val="20"/>
          <w:szCs w:val="20"/>
          <w:color w:val="auto"/>
        </w:rPr>
      </w:pPr>
      <w:r>
        <w:rPr>
          <w:rFonts w:ascii="Calibri" w:cs="Calibri" w:eastAsia="Calibri" w:hAnsi="Calibri"/>
          <w:sz w:val="18"/>
          <w:szCs w:val="18"/>
          <w:b w:val="1"/>
          <w:bCs w:val="1"/>
          <w:i w:val="1"/>
          <w:iCs w:val="1"/>
          <w:color w:val="auto"/>
        </w:rPr>
        <w:t>Adverse publicity or negatve public percepton regarding partcular ingredients or products or the dietary supplement industry in general could adversely afect the fnancial performance of those portons of our business.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Purchasing decisions made by consumers of products that contain our ingredients may be afected by adverse publicity or negatve public percepton regarding partcular ingredients or products or the dietary supplement industry in general. This negatve public percepton may include publicity regarding the risks, efcacy, legality or quality of partcular ingredients or products in general or of other companies or our products or ingredients specifcally. Negatve public percepton may also arise from regulatory investgatons, regardless of whether those investgatons involve us. We are highly dependent upon consumers’ percepton of the safety and quality of products that contain our ingredients as well as similar products distributed by other companies. Thus, the mere publicaton of reports assertng that such products may be harmful could have a material adverse efect on us, regardless of whether these reports are scientfcally supported. Publicity related to dietary supplements or food ingredients may also result in increased regulatory scrutny of our industry. Adverse publicity may have a material adverse efect on our business, fnancial conditon, results of operatons and cash fows.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Failure to adequately protect critcal data and technology systems could materially afect our operatons.</w:t>
      </w:r>
    </w:p>
    <w:p>
      <w:pPr>
        <w:spacing w:after="0" w:line="24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Informaton technology system failures, network disruptons and breaches of data security due to internal or external factors including phishing or cyber-atacks could disrupt our operatons by causing delays or cancellaton of customer orders, impede the manufacture or shipment of products or cause standard business processes to become inefectve, resultng in the unintentonal disclosure of informaton or damage to our reputaton. While we have taken steps to address these concerns by implementng network security and internal control measures, including employee training, comprehensive monitoring of our networks and systems, maintenance of backup and protectve systems and disaster recovery and incident response plans, our employees, systems, networks, products, facilites and services remain vulnerable to phishing atacks and cyber-assault, and, as such, there can be no assurance that a system failure, network disrupton or data security breach will not have a material adverse efect on our business, fnancial conditon, operatng results or cash fows.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OUR INDUSTRY</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Fluctuatons in the prices and availability of our raw materials, which may be cyclical in nature, could have a material adverse efect on our operatons and the margins we receive on sales of our products.</w:t>
      </w:r>
    </w:p>
    <w:p>
      <w:pPr>
        <w:spacing w:after="0" w:line="24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experience regular and recurring fuctuatons in the pricing of our raw materials. Those fuctuatons can be signifcant and occur rapidly. The cyclicality of commodity markets, such as the market for caustc soda, primarily results from changes in the balance between supply and demand and the level of general economic actvity. We cannot predict whether the markets for our raw materials will favorably impact or negatvely impact the margins we can realize.</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prices we pay for our principal chemical raw materials generally lag the market prices of the underlying raw material. The cost of inventory we have on hand, partcularly inventories of our bulk commodity chemicals where we have signifcant volumes stored at our facilites, generally will lag the current market pricing of such inventory. The pricing within our supply contracts generally adjusts quarterly or monthly. While we atempt to maintain compettve pricing and stable margin dollars, the potental variance in our cost of inventory from the current market pricing can cause signifcant volatlity in our margins realized. We do not engage in futures or other derivatves contracts to hedge against fuctuatons in future prices. We may enter into sales contracts where the selling prices for our products are fxed for a period of tme, exposing us to volatlity in raw materials prices that we acquire on a spot market or short-term contractual basis. We atempt to pass commodity pricing changes to our customers, but we may be unable to or be delayed in doing so. Our inability to pass through price increases or any limitaton or delay in our passing through price increases could adversely afect our proft margins.</w:t>
      </w:r>
    </w:p>
    <w:p>
      <w:pPr>
        <w:spacing w:after="0" w:line="25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are also dependent upon the availability of our raw materials. In the event that raw materials are in short supply or unavailable, raw material suppliers may extend lead tmes or limit or cut of supplies. As a result, we may not be able to supply or manufacture products for some or all of our customers. Constraints on the supply or delivery of critcal raw materials could disrupt our operatons and adversely afect the performance of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both"/>
        <w:spacing w:after="0" w:line="235" w:lineRule="auto"/>
        <w:rPr>
          <w:sz w:val="20"/>
          <w:szCs w:val="20"/>
          <w:color w:val="auto"/>
        </w:rPr>
      </w:pPr>
      <w:r>
        <w:rPr>
          <w:rFonts w:ascii="Calibri" w:cs="Calibri" w:eastAsia="Calibri" w:hAnsi="Calibri"/>
          <w:sz w:val="18"/>
          <w:szCs w:val="18"/>
          <w:b w:val="1"/>
          <w:bCs w:val="1"/>
          <w:i w:val="1"/>
          <w:iCs w:val="1"/>
          <w:color w:val="auto"/>
        </w:rPr>
        <w:t>Demand for our products is afected by general economic conditons and by the cyclical nature of many of the industries we serve, which could cause signifcant fuctuatons in our sales volumes and results.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for our products is afected by general economic conditons. A decline in general economic or business conditons in the industries served by our customers could have a material adverse efect on our businesses. Although we sell to areas traditonally considered non-cyclical, such as water treatment, food products and health and nutritonal ingredients, many of our customers are in businesses that are cyclical in nature, such as the industrial manufacturing and energy industries which include the ethanol and agriculture industries. Downturns in these industries could adversely afect our sales and our fnancial results by afectng demand for and pricing of our products.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business is subject to hazards common to chemical businesses, any of which could interrupt our producton and adversely afect our results of operatons.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is subject to hazards common to chemical manufacturing, blending, storage, handling and transportaton, including explosions, fres, severe weather, natural disasters, mechanical failure, unscheduled downtme, transportaton interruptons, trafc accidents involving our delivery vehicles, chemical spills, discharges or releases of toxic or hazardous substances or gases and other risks. These hazards could cause personal injury and loss of life, severe damage to or destructon of property and equipment, and environmental contaminaton. In additon, the occurrence of material operatng problems or the absence of personnel due to pandemics or other disasters at any of our facilites due to any of these hazards may make it impossible for us to make sales to our customers and may result in a negatve public or politcal reacton. Many of our facilites are near signifcant residental populatons which increases the risk of negatve public or politcal reacton should an environmental issue occur and could lead to adverse zoning or other regulatory actons that could limit our ability to operate our business in those locatons. Accordingly, these hazards and their consequences could have a material adverse efect on our operatons as a whole, including our results of operatons and cash fows, both during and afer the period of operatonal difcultes.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Environmental problems at any of our facilites could result in signifcant unexpected costs.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federal, state and local environmental regulatons regarding the ownership of real property and the operatons conducted on real property. Under various federal, state and local laws, ordinances and regulatons, we may own or operate real property or may have arranged for the disposal or treatment of hazardous or toxic substances at a property and, therefore, may become liable for the costs of removal or remediaton of certain hazardous substances released on or in our property or disposed of by us, as well as certain other potental costs which could relate to hazardous or toxic substances (including governmental fnes and injuries to persons and property). Such liability may be imposed whether or not we knew of, or were responsible for, the presence of these hazardous or toxic substances. Further, future changes in environmental laws or regulatons may require additonal investment in capital equipment or the implementaton of additonal compliance programs in the future. The cost of investgaton, remediaton or removal of such substances may be substantal.</w:t>
      </w:r>
    </w:p>
    <w:p>
      <w:pPr>
        <w:spacing w:after="0" w:line="25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the conduct of our operatons, we have handled and do handle materials that are considered hazardous, toxic or volatle under federal, state and local laws. The accidental release of such products cannot be completely eliminated. In additon, we operate or own facilites located on or near real property that was formerly owned and operated by others. These propertes may have been used in ways that involved hazardous materials. Contaminates may migrate from, within or through any such property, which may give rise to claims against us. Third partes who are responsible for contaminaton may not have funds, or may not make funds available when needed, to pay remediaton costs imposed upon us jointly with them under environmental laws and regulatons.</w:t>
      </w:r>
    </w:p>
    <w:p>
      <w:pPr>
        <w:spacing w:after="0" w:line="2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Water Treatment Group and our agricultural product sales within our Industrial Group are subject to seasonality and weather conditons, which could adversely afect our results of operatons.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Water Treatment Group has historically experienced higher sales during April to September, primarily due to a seasonal increase in chemicals used by municipal water treatment facilites. Our agricultural product sales within our Industrial Group are also seasonal, primarily corresponding with the plantng season. Demand in both of these areas is also afected by weather conditons, as either higher or lower than normal precipitaton or temperatures may afect water usage and the tming and the amount of consumpton of our products. We cannot assure you that seasonality or fuctuatng weather conditons will not have a material adverse efect on our results of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i w:val="1"/>
          <w:iCs w:val="1"/>
          <w:color w:val="auto"/>
        </w:rPr>
        <w:t>OPERATIONAL RISKS</w:t>
      </w:r>
    </w:p>
    <w:p>
      <w:pPr>
        <w:spacing w:after="0" w:line="231"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b w:val="1"/>
          <w:bCs w:val="1"/>
          <w:i w:val="1"/>
          <w:iCs w:val="1"/>
          <w:color w:val="auto"/>
        </w:rPr>
        <w:t>Disruptons within our supply chain have negatvely impacted, and could contnue to negatvely impact, our producton, fnancial conditon and results of operatons.</w:t>
      </w:r>
    </w:p>
    <w:p>
      <w:pPr>
        <w:spacing w:after="0" w:line="232"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We have been, and could contnue to be, adversely afected by disruptons within our supply chain and transportaton network. The raw materials we need are transported by truck, rail, barge or ship by third-party providers. The costs of transportng our products or necessary raw materials could be negatvely afected by factors outside of our control, including rail service interruptons or rate increases, extreme weather events, tarifs, rising fuel costs and capacity constraints. Recently, the unprecedented congeston in ocean shipping has, and will contnue to, adversely impact the reliability of our imported raw materials, and transport driver shortages have caused extended lead tmes for domestc shipments. In additon, rail shipments have become increasingly unreliable, with signifcant delays in service and increased costs. Signifcant delays or increased costs relatng to transportaton could materially afect our fnancial conditon and results of operatons.</w:t>
      </w:r>
    </w:p>
    <w:p>
      <w:pPr>
        <w:spacing w:after="0" w:line="23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Similar supply chain issues have impacted and could contnue to impact both our suppliers and our customers. The supply of our necessary raw materials could be interrupted due to shortages of raw materials, efects of economic, politcal or fnancial market conditons on a supplier's operatons, labor disputes or weather conditons afectng products or shipments, transportaton disruptons, natural disasters, outbreaks of disease, informaton system disruptons or other reasons beyond our control. Similar disruptons at our customers could reduce demand for our products, reducing our sales and proftability. Product shortages or delays in deliveries, along with other factors such as price infaton and higher transportaton costs, have also resulted in price increases from our suppliers. We may be unable to pass these price increases on to our customers, which could erode our proft margins. These supply chain constraints, increased product costs and infatonary pressures could contnue or escalate in the future, which would have an adverse impact on our business and results of operatons.</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are highly dependent upon transportaton infrastructure to ship and receive our products and delays in these shipments could adversely afect our results of operatons.</w:t>
      </w:r>
    </w:p>
    <w:p>
      <w:pPr>
        <w:spacing w:after="0" w:line="24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Although we maintain a number of owned trucks and trailers, we rely heavily upon transportaton provided by third partes (including common carriers, barge companies, rail companies and trans-ocean cargo companies) to deliver products to us and to our customers. Our access to third-party transportaton is not guaranteed, and we may be unable to transport our products in a tmely manner, or at all, in certain circumstances, or at economically atractve rates. Disruptons in transportaton are common, are ofen out of our control, and can happen suddenly and without warning. Rail limitatons, such as limitatons in rail capacity, availability of railcars, workforce shortages and adverse weather conditons have disrupted or delayed rail shipments in the past and could do so in the future. Barge shipments are delayed or impossible under certain circumstances, including during tmes of high or low water levels, when waterways are frozen and when locks and dams are inoperable. The availability and reliability of truck transportaton has been negatvely impacted by a number of factors, including limited availability of qualifed drivers and equipment, and limitatons on drivers’ hours of service. The volumes handled by, and operatng challenges at, ocean ports have at tmes been volatle and can delay the receipt of goods, or cause the cost of shipping goods to be more expensive. Our failure to ship or receive products in a tmely and efcient manner could have a material adverse efect on our fnancial conditon and results of operatons.</w:t>
      </w:r>
    </w:p>
    <w:p>
      <w:pPr>
        <w:spacing w:after="0" w:line="23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are unable to retain key personnel or atract new skilled personnel, it could have an adverse impact on our businesses.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the specialized and technical nature of our businesses, our future performance is dependent on the contnued service of, and on our ability to atract and retain, qualifed management, scientfc, technical and support personnel. The unantcipated departure of key members of our management team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not be able to successfully consummate future acquisitons or dispositons or integrate acquisitons into our business, which could result in unantcipated expenses and losses.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business growth strategy, we have acquired businesses and may pursue acquisitons in the future. Our ability to pursue this strategy will be limited by our ability to identfy appropriate acquisiton candidates and our fnancial resources, including available cash and borrowing capacity. In additon, we may seek to divest of businesses that are underperforming or not core to our future business. The expense incurred in consummatng transactons, the tme it takes to integrate an acquisiton or our failure to integrate businesses successfully could result in unantcipated expenses and losses. Furthermore, we may not be able to realize the antcipated benefts from acquisitons.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process of integratng acquired operatons into our existng operatons may result in unforeseen operatng difcultes and may require signifcant fnancial resources that would otherwise be available for the ongoing development or expansion of existng operatons. The risks associated with the integraton of acquisitons include potental disrupton of our ongoing businesses and distracton of management, unforeseen claims, liabilites, adjustments, charges and write-ofs, difculty in conforming the acquired business’ standards, processes, procedures and controls with our operatons, and challenges arising from the increased scope, geographic diversity and complexity of the expanded operatons.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businesses are subject to risks stemming from natural disasters or other extraordinary events outside of our control, which could interrupt our producton and adversely afect our results of operatons.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Natural disasters have the potental of interruptng our operatons and damaging our propertes, which could adversely afect our businesses. Flooding of the Mississippi River has temporarily shifed the Company’s terminal operatons out of its buildings four tmes since the spring of 2010, including most recently the spring of 2019. We can give no assurance that fooding or other natural disasters will not recur or that there will not be material damage or interrupton to our operatons in the future from such disasters.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Chemical-related assets may be at greater risk of future terrorist atacks than other possible targets in the United States. Federal law imposes site security requirements, specifcally on chemical facilites, which have increased our overhead expenses. Federal regulatons have also been adopted to increase the security of the transportaton of hazardous chemicals in the United States. We ship and receive materials that are classifed as hazardous and we believe we have met these requirements, but additonal federal and local regulatons that limit the distributon of hazardous materials are being considered. Bans on movement of hazardous materials through certain cites could adversely afect the efciency of our logistcal operatons. Broader restrictons on hazardous material movements could lead to additonal investment and could change where and what products we provide.</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occurrence of extraordinary events, including future terrorist atacks, wars, global health developments and pandemics (including the COVID-19 outbreak), or escalaton of hostlites, cannot be predicted, but their occurrence can be expected to negatvely afect the economy in general, and specifcally the markets for our products. The resultng damage from a direct atack on our assets, or assets used by us, could include loss of life and property damage. In additon, available insurance coverage may not be sufcient to cover all of the damage incurred or, if available, may be prohibitvely expensive.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renew our leases of land where four of our operatons facilites reside.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lease the land where our three main terminals are located and where another signifcant manufacturing plant is located. These leases, including all renewal periods, have expiraton dates from 2023 to 2044. The failure to secure extended lease terms on any one of these facilites may have a material adverse impact on our business, as they are where a porton of our chemicals are manufactured and where the majority of our bulk chemicals are stored. While we can make no assurances, based on historical experience and antcipated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opton to either maintain the property or remove the property at our expense. The fourth lease provides that we turn any property remaining on the land over to the lessor for them to maintain or remove at their expense. The cost to relocate our operatons could have a material adverse efect on our results of operatons and fnancial conditon.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i w:val="1"/>
          <w:iCs w:val="1"/>
          <w:color w:val="auto"/>
        </w:rPr>
        <w:t>LEGAL AND REGULATORY RISKS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Environmental, health and safety, transportaton and storage laws and regulatons cause us to incur substantal costs and may subject us to future liabilites and risks.</w:t>
      </w:r>
    </w:p>
    <w:p>
      <w:pPr>
        <w:spacing w:after="0" w:line="24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We are subject to numerous federal, state and local environmental, health and safety laws and regulatons in the jurisdictons in which we operate, including the management, storage, transportaton and disposal of chemicals and wastes; product regulaton; air water and soil contaminaton; and the investgaton and cleanup of any spills or releases that may result from our management, handling, storage, sale, or transportaton of chemicals and other products. The nature of our business exposes us to risks of liability under these laws and regulatons. Ongoing compliance with such laws and regulatons is an important consideraton for us and we invest substantal capital and incur signifcant operatng costs in our compliance eforts. In additon, societal concerns regarding the safety of chemicals in commerce and their potental impact on the environment have resulted in a growing trend towards increasing levels of product safety and environmental protecton regulatons. These concerns have led to, and could contnue to result in, more stringent regulatory interventon by governmental authorites. In additon, these concerns could infuence public perceptons, impact the commercial viability of the products we sell and increase the costs to comply with increasingly complex regulatons, which could have a negatve impact on our business, fnancial conditon and results of operatons.</w:t>
      </w:r>
    </w:p>
    <w:p>
      <w:pPr>
        <w:spacing w:after="0" w:line="24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additon, we operate a feet of more than 200 commercial vehicles, primarily in our Water Treatment Group, which are highly regulated, including by the U.S. Department of Transportaton (“DOT”). The DOT governs transportaton maters including authorizaton to engage in motor carrier service, including the necessary permits to conduct our businesses, equipment operaton, and safety. We are audited periodically by the DOT to ensure that we are in compliance with various safety, hours-of-service, and other rules and regulatons. If we were found to be out of compliance, the DOT could severely restrict or otherwise impact our operatons, which could have a material adverse efect on our operatons as a whole, including our results of operatons and cash fows.</w:t>
      </w:r>
    </w:p>
    <w:p>
      <w:pPr>
        <w:spacing w:after="0" w:line="2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violate applicable laws or regulatons, in additon to being required to correct such violatons, we could be held liable in administratve, civil or criminal proceedings for substantal fnes and other sanctons that could disrupt, limit or halt our operatons, which could have a material adverse efect on our operatons as a whole, including our results of operatons and cash fows. Liabilites associated with the investgaton and cleanup of releases of hazardous substances, as well as personal injury, property damages or natural resource damages arising out of such releases of hazardous substances, may be imposed in many situatons without regard to violatons of laws or regulatons or other fault, and may also be imposed jointly and severally (so that a responsible party may be held liable for more than its share of the losses involved, or even the entre loss). Such liabilites can be difcult to identfy and the extent of any such liabilites can be difcult to predict. We use, and in the past have used, hazardous substances at many of our facilites, and have generated, and contnue to generate, hazardous wastes at a number of our facilites. We have in the past been, and may in the future be, subject to claims relatng to exposure to hazardous materials and the associated liabilites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 w:name="page13"/>
    <w:bookmarkEnd w:id="12"/>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food, pharmaceutcal and health and nutriton products are subject to government regulaton, both in the United States and abroad, which could increase our costs signifcantly and limit or prevent the sale of such products.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manufacture, packaging, labeling, advertsing, promoton, distributon and sale of our food, pharmaceutcal pestcide and health and nutriton products are subject to regulaton by numerous natonal and local governmental agencies in the United States and other countries. The primary regulatory bodies in the United States are the Food and Drug Administraton (the “FDA”), the Environmental Protecton Agency, the United States Department of Agriculture and the Federal Trade Commission, and we are also subject to similar regulators in other countries. Failure to comply with these regulatory requirements may result in various types of penaltes or fnes. These include injunctons, product withdrawals, recalls, product seizures, fnes and criminal prosecutons. Individual states also regulate our products. A state may interpret claims or products presumptvely valid under federal law as illegal under that state’s regulatons. Approvals or licensing may be conditoned on reformulaton of products or may be unavailable with respect to certain products or product ingredients. Any of these government agencies, as well as legislatve bodies, can change existng regulatons, or impose new ones, or could take aggressive measures, causing or contributng to a variety of negatve consequences, including:</w:t>
      </w:r>
    </w:p>
    <w:p>
      <w:pPr>
        <w:spacing w:after="0" w:line="246" w:lineRule="exact"/>
        <w:rPr>
          <w:sz w:val="20"/>
          <w:szCs w:val="20"/>
          <w:color w:val="auto"/>
        </w:rPr>
      </w:pPr>
    </w:p>
    <w:p>
      <w:pPr>
        <w:ind w:left="260" w:hanging="252"/>
        <w:spacing w:after="0"/>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stopping the sale of products,</w:t>
      </w:r>
    </w:p>
    <w:p>
      <w:pPr>
        <w:ind w:left="640" w:hanging="632"/>
        <w:spacing w:after="0" w:line="235"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requirements for the reformulaton of certain or all products to meet new standards,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recall or discontnuance of certain or all products,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additonal record-keeping requirements,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expanded documentaton of the propertes of certain or all products,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expanded or diferent labeling,</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adverse event tracking and reportng, and</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additonal scientfc substantaton.</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partcular, the FDA’s current GMPs describe policies and procedures designed to ensure that nutraceutcals, pharmaceutcals and dietary supplements are produced in a quality manner, do not contain contaminants or impurites, and are accurately labeled and cover the manufacturing, packaging, labeling and storing of supplements, with requirements for quality control, design and constructon of manufacturing plants, testng of ingredients and fnal products, record keeping, and complaints processes. Those who manufacture, package or store dietary supplements must comply with current GMPs. If we or our suppliers fail to comply with current GMPs, the FDA may take enforcement acton against us or our suppliers.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or all of the potental negatve consequences described above could have a material adverse efect on us or substantally increase the cost of doing business in these areas. There can be no assurance that the regulatory environment in which we operate will not change or that such regulatory environment, or any specifc acton taken against us, will not result in a material adverse efect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i w:val="1"/>
          <w:iCs w:val="1"/>
          <w:color w:val="auto"/>
        </w:rPr>
        <w:t>FINANCIAL RISKS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insurance that we maintain may not fully cover all potental exposures.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maintain lines of commercial insurance, such as property, general liability and casualty insurance, but such insurance may not cover all risks associated with the hazards of our businesses and is subject to limitatons, including deductbles and limits on the liabilites covered. We may incur losses beyond the limits or outside the coverage of our insurance policies, including liabilites for environmental remediaton and product liability. In additon, from tme to tme, various types of insurance for companies in the chemical, food or health and nutriton products industries have not been available on commercially acceptable terms or, in some cases, have not been available at all. In the future, we may not be able to obtain coverage at current levels, and our premiums may increase signifcantly on coverage that we maintain.</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Failure to comply with the covenants under our credit facility may have a material adverse efect.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party to a credit agreement (the “Credit Agreement”) with U.S. Bank Natonal Associaton and other lenders (collectvely, the “Lenders”), which includes secured revolving credit facilites (the “Revolving Loan Facility”) totaling $250.0 million. The Revolving Loan Facility includes a $10.0 million leter of credit subfacility and $25.0 million swingline subfacility. At April 3, 2022, we had $126.0 million outstanding under the Revolving Loan Facility.</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make payments on the Revolving Loan Facility from tme to tme. If we are unable to generate sufcient cash fow or otherwise obtain funds necessary to make payments on our credit facilites, we could be in default when the facilites become due in 2027. We are also required to comply with several fnancial covenants under the Credit Agreement. Our ability to comply with these fnancial covenants may be afected by events beyond our control, which could result in a default under the Credit Agreement; such default may have a material adverse efect on our business, fnancial conditon, operatng results or cash fows.</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its assets or rate management transactons, subject to certain limitatons. These restrictons may adversely afect our business.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Impairment to the carrying value of our goodwill or other intangible assets could adversely afect our fnancial conditon and consolidated results of operatons.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represents the excess of the cost of acquired businesses over the fair value of identfable tangible net assets and identfable intangible assets purchased. Goodwill is tested at least annually for impairment and is tested for impairment more frequently if events or changes in circumstances indicate that the asset might be impaired. A signifcant amount of judgment is involved in determining if an indicaton of impairment exists. Factors may include, among others: a signifcant decline in our expected future cash fows; a sustained, signifcant decline in our stock price and market capitalizaton; a signifcant adverse change in the business climate; unantcipated competton; and slower growth rates. An adverse change in these factors may have a signifcant impact on the recoverability of the net assets recorded, and any resultng impairment charge in the future could have a material adverse efect on our fnancial conditon and consolidated results of operatons.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evaluate the useful lives of our intangible assets to determine if they are defnite- or indefnite-lived. Reaching a determinaton on useful life requires signifcant judgments and assumptons regarding the future efects of obsolescence, demand, competton, other economic factors (such as the stability of the industry, legislatve acton that results in an uncertain or changing regulatory environment, and expected changes in distributon channels), and the expected lives of other related groups of assets.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accurately predict the amount and tming of any impairment of goodwill and other intangible assets. Should the value of these assets become impaired, there could be a material adverse efect on our fnancial conditon and consolidated results of operatons.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1B. </w:t>
      </w:r>
      <w:r>
        <w:rPr>
          <w:rFonts w:ascii="Calibri" w:cs="Calibri" w:eastAsia="Calibri" w:hAnsi="Calibri"/>
          <w:sz w:val="18"/>
          <w:szCs w:val="18"/>
          <w:b w:val="1"/>
          <w:bCs w:val="1"/>
          <w:i w:val="1"/>
          <w:iCs w:val="1"/>
          <w:color w:val="auto"/>
        </w:rPr>
        <w:t>UNRESOLVED STAFF COMMENTS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auto"/>
        </w:rPr>
        <w:t xml:space="preserve">ITEM 2. </w:t>
      </w:r>
      <w:r>
        <w:rPr>
          <w:rFonts w:ascii="Calibri" w:cs="Calibri" w:eastAsia="Calibri" w:hAnsi="Calibri"/>
          <w:sz w:val="18"/>
          <w:szCs w:val="18"/>
          <w:b w:val="1"/>
          <w:bCs w:val="1"/>
          <w:i w:val="1"/>
          <w:iCs w:val="1"/>
          <w:color w:val="auto"/>
        </w:rPr>
        <w:t>PROPERTIES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facilites material to our operatons consist of our locatons described below. In additon to the facilites listed below, our Water Treatment group operates out of 33 additonal warehouse locatons, the majority of which are owned by us. We believe that our facilites are adequate and suitable for the purposes they serve. Unless noted, each facility is owned by us and is primarily used as ofce and warehouse space. We believe that we carry customary levels of insurance covering the replacement of damaged property.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vMerge w:val="restart"/>
          </w:tcPr>
          <w:p>
            <w:pPr>
              <w:ind w:left="640"/>
              <w:spacing w:after="0"/>
              <w:rPr>
                <w:sz w:val="20"/>
                <w:szCs w:val="20"/>
                <w:color w:val="auto"/>
              </w:rPr>
            </w:pPr>
            <w:r>
              <w:rPr>
                <w:rFonts w:ascii="Calibri" w:cs="Calibri" w:eastAsia="Calibri" w:hAnsi="Calibri"/>
                <w:sz w:val="14"/>
                <w:szCs w:val="14"/>
                <w:b w:val="1"/>
                <w:bCs w:val="1"/>
                <w:color w:val="auto"/>
              </w:rPr>
              <w:t>Group</w:t>
            </w:r>
          </w:p>
        </w:tc>
        <w:tc>
          <w:tcPr>
            <w:tcW w:w="2700" w:type="dxa"/>
            <w:vAlign w:val="bottom"/>
            <w:gridSpan w:val="2"/>
            <w:vMerge w:val="restart"/>
          </w:tcPr>
          <w:p>
            <w:pPr>
              <w:jc w:val="center"/>
              <w:ind w:right="400"/>
              <w:spacing w:after="0"/>
              <w:rPr>
                <w:sz w:val="20"/>
                <w:szCs w:val="20"/>
                <w:color w:val="auto"/>
              </w:rPr>
            </w:pPr>
            <w:r>
              <w:rPr>
                <w:rFonts w:ascii="Calibri" w:cs="Calibri" w:eastAsia="Calibri" w:hAnsi="Calibri"/>
                <w:sz w:val="14"/>
                <w:szCs w:val="14"/>
                <w:b w:val="1"/>
                <w:bCs w:val="1"/>
                <w:color w:val="auto"/>
              </w:rPr>
              <w:t>Locaton</w:t>
            </w:r>
          </w:p>
        </w:tc>
        <w:tc>
          <w:tcPr>
            <w:tcW w:w="19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Approx.</w:t>
            </w:r>
          </w:p>
        </w:tc>
        <w:tc>
          <w:tcPr>
            <w:tcW w:w="0" w:type="dxa"/>
            <w:vAlign w:val="bottom"/>
          </w:tcPr>
          <w:p>
            <w:pPr>
              <w:spacing w:after="0"/>
              <w:rPr>
                <w:sz w:val="1"/>
                <w:szCs w:val="1"/>
                <w:color w:val="auto"/>
              </w:rPr>
            </w:pPr>
          </w:p>
        </w:tc>
      </w:tr>
      <w:tr>
        <w:trPr>
          <w:trHeight w:val="170"/>
        </w:trPr>
        <w:tc>
          <w:tcPr>
            <w:tcW w:w="6180" w:type="dxa"/>
            <w:vAlign w:val="bottom"/>
            <w:vMerge w:val="continue"/>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980" w:type="dxa"/>
            <w:vAlign w:val="bottom"/>
          </w:tcPr>
          <w:p>
            <w:pPr>
              <w:jc w:val="center"/>
              <w:spacing w:after="0"/>
              <w:rPr>
                <w:sz w:val="20"/>
                <w:szCs w:val="20"/>
                <w:color w:val="auto"/>
              </w:rPr>
            </w:pPr>
            <w:r>
              <w:rPr>
                <w:rFonts w:ascii="Calibri" w:cs="Calibri" w:eastAsia="Calibri" w:hAnsi="Calibri"/>
                <w:sz w:val="14"/>
                <w:szCs w:val="14"/>
                <w:b w:val="1"/>
                <w:bCs w:val="1"/>
                <w:color w:val="auto"/>
              </w:rPr>
              <w:t>Square Feet</w:t>
            </w: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640"/>
              <w:spacing w:after="0" w:line="195" w:lineRule="exact"/>
              <w:rPr>
                <w:sz w:val="20"/>
                <w:szCs w:val="20"/>
                <w:color w:val="auto"/>
              </w:rPr>
            </w:pPr>
            <w:r>
              <w:rPr>
                <w:rFonts w:ascii="Calibri" w:cs="Calibri" w:eastAsia="Calibri" w:hAnsi="Calibri"/>
                <w:sz w:val="18"/>
                <w:szCs w:val="18"/>
                <w:color w:val="auto"/>
              </w:rPr>
              <w:t>Corporate headquarters</w:t>
            </w:r>
          </w:p>
        </w:tc>
        <w:tc>
          <w:tcPr>
            <w:tcW w:w="230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7"/>
              </w:rPr>
              <w:t>Roseville, MN</w:t>
            </w:r>
          </w:p>
        </w:tc>
        <w:tc>
          <w:tcPr>
            <w:tcW w:w="4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9"/>
              </w:rPr>
              <w:t>50,000</w:t>
            </w:r>
          </w:p>
        </w:tc>
        <w:tc>
          <w:tcPr>
            <w:tcW w:w="0" w:type="dxa"/>
            <w:vAlign w:val="bottom"/>
          </w:tcPr>
          <w:p>
            <w:pPr>
              <w:spacing w:after="0"/>
              <w:rPr>
                <w:sz w:val="1"/>
                <w:szCs w:val="1"/>
                <w:color w:val="auto"/>
              </w:rPr>
            </w:pPr>
          </w:p>
        </w:tc>
      </w:tr>
      <w:tr>
        <w:trPr>
          <w:trHeight w:val="222"/>
        </w:trPr>
        <w:tc>
          <w:tcPr>
            <w:tcW w:w="6180" w:type="dxa"/>
            <w:vAlign w:val="bottom"/>
          </w:tcPr>
          <w:p>
            <w:pPr>
              <w:ind w:left="640"/>
              <w:spacing w:after="0" w:line="215" w:lineRule="exact"/>
              <w:rPr>
                <w:sz w:val="20"/>
                <w:szCs w:val="20"/>
                <w:color w:val="auto"/>
              </w:rPr>
            </w:pPr>
            <w:r>
              <w:rPr>
                <w:rFonts w:ascii="Calibri" w:cs="Calibri" w:eastAsia="Calibri" w:hAnsi="Calibri"/>
                <w:sz w:val="18"/>
                <w:szCs w:val="18"/>
                <w:color w:val="auto"/>
              </w:rPr>
              <w:t>Health and Nutriton</w:t>
            </w:r>
          </w:p>
        </w:tc>
        <w:tc>
          <w:tcPr>
            <w:tcW w:w="2700" w:type="dxa"/>
            <w:vAlign w:val="bottom"/>
            <w:gridSpan w:val="2"/>
          </w:tcPr>
          <w:p>
            <w:pPr>
              <w:jc w:val="center"/>
              <w:ind w:right="380"/>
              <w:spacing w:after="0" w:line="215" w:lineRule="exact"/>
              <w:rPr>
                <w:sz w:val="20"/>
                <w:szCs w:val="20"/>
                <w:color w:val="auto"/>
              </w:rPr>
            </w:pPr>
            <w:r>
              <w:rPr>
                <w:rFonts w:ascii="Calibri" w:cs="Calibri" w:eastAsia="Calibri" w:hAnsi="Calibri"/>
                <w:sz w:val="18"/>
                <w:szCs w:val="18"/>
                <w:color w:val="auto"/>
                <w:w w:val="97"/>
              </w:rPr>
              <w:t>Fullerton, CA (1)</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55,800</w:t>
            </w:r>
          </w:p>
        </w:tc>
        <w:tc>
          <w:tcPr>
            <w:tcW w:w="0" w:type="dxa"/>
            <w:vAlign w:val="bottom"/>
          </w:tcPr>
          <w:p>
            <w:pPr>
              <w:spacing w:after="0"/>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8"/>
              </w:rPr>
              <w:t>Florida, NY (2)</w:t>
            </w:r>
          </w:p>
        </w:tc>
        <w:tc>
          <w:tcPr>
            <w:tcW w:w="19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7"/>
              </w:rPr>
              <w:t>107,000</w:t>
            </w:r>
          </w:p>
        </w:tc>
        <w:tc>
          <w:tcPr>
            <w:tcW w:w="0" w:type="dxa"/>
            <w:vAlign w:val="bottom"/>
          </w:tcPr>
          <w:p>
            <w:pPr>
              <w:spacing w:after="0"/>
              <w:rPr>
                <w:sz w:val="1"/>
                <w:szCs w:val="1"/>
                <w:color w:val="auto"/>
              </w:rPr>
            </w:pPr>
          </w:p>
        </w:tc>
      </w:tr>
      <w:tr>
        <w:trPr>
          <w:trHeight w:val="222"/>
        </w:trPr>
        <w:tc>
          <w:tcPr>
            <w:tcW w:w="6180" w:type="dxa"/>
            <w:vAlign w:val="bottom"/>
          </w:tcPr>
          <w:p>
            <w:pPr>
              <w:ind w:left="640"/>
              <w:spacing w:after="0" w:line="215" w:lineRule="exact"/>
              <w:rPr>
                <w:sz w:val="20"/>
                <w:szCs w:val="20"/>
                <w:color w:val="auto"/>
              </w:rPr>
            </w:pPr>
            <w:r>
              <w:rPr>
                <w:rFonts w:ascii="Calibri" w:cs="Calibri" w:eastAsia="Calibri" w:hAnsi="Calibri"/>
                <w:sz w:val="18"/>
                <w:szCs w:val="18"/>
                <w:color w:val="auto"/>
              </w:rPr>
              <w:t>Industrial</w:t>
            </w:r>
          </w:p>
        </w:tc>
        <w:tc>
          <w:tcPr>
            <w:tcW w:w="270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Minneapolis, MN (3)</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177,000</w:t>
            </w:r>
          </w:p>
        </w:tc>
        <w:tc>
          <w:tcPr>
            <w:tcW w:w="0" w:type="dxa"/>
            <w:vAlign w:val="bottom"/>
          </w:tcPr>
          <w:p>
            <w:pPr>
              <w:spacing w:after="0"/>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5"/>
              </w:rPr>
              <w:t>Centralia, IL (4)</w:t>
            </w:r>
          </w:p>
        </w:tc>
        <w:tc>
          <w:tcPr>
            <w:tcW w:w="19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77,000</w:t>
            </w:r>
          </w:p>
        </w:tc>
        <w:tc>
          <w:tcPr>
            <w:tcW w:w="0" w:type="dxa"/>
            <w:vAlign w:val="bottom"/>
          </w:tcPr>
          <w:p>
            <w:pPr>
              <w:spacing w:after="0"/>
              <w:rPr>
                <w:sz w:val="1"/>
                <w:szCs w:val="1"/>
                <w:color w:val="auto"/>
              </w:rPr>
            </w:pPr>
          </w:p>
        </w:tc>
      </w:tr>
      <w:tr>
        <w:trPr>
          <w:trHeight w:val="222"/>
        </w:trPr>
        <w:tc>
          <w:tcPr>
            <w:tcW w:w="6180" w:type="dxa"/>
            <w:vAlign w:val="bottom"/>
          </w:tcPr>
          <w:p>
            <w:pPr>
              <w:spacing w:after="0"/>
              <w:rPr>
                <w:sz w:val="19"/>
                <w:szCs w:val="19"/>
                <w:color w:val="auto"/>
              </w:rPr>
            </w:pPr>
          </w:p>
        </w:tc>
        <w:tc>
          <w:tcPr>
            <w:tcW w:w="270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Dupo, IL (5)</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64,000</w:t>
            </w:r>
          </w:p>
        </w:tc>
        <w:tc>
          <w:tcPr>
            <w:tcW w:w="0" w:type="dxa"/>
            <w:vAlign w:val="bottom"/>
          </w:tcPr>
          <w:p>
            <w:pPr>
              <w:spacing w:after="0"/>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6"/>
              </w:rPr>
              <w:t>St. Paul, MN (6)</w:t>
            </w:r>
          </w:p>
        </w:tc>
        <w:tc>
          <w:tcPr>
            <w:tcW w:w="19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32,000</w:t>
            </w:r>
          </w:p>
        </w:tc>
        <w:tc>
          <w:tcPr>
            <w:tcW w:w="0" w:type="dxa"/>
            <w:vAlign w:val="bottom"/>
          </w:tcPr>
          <w:p>
            <w:pPr>
              <w:spacing w:after="0"/>
              <w:rPr>
                <w:sz w:val="1"/>
                <w:szCs w:val="1"/>
                <w:color w:val="auto"/>
              </w:rPr>
            </w:pPr>
          </w:p>
        </w:tc>
      </w:tr>
      <w:tr>
        <w:trPr>
          <w:trHeight w:val="222"/>
        </w:trPr>
        <w:tc>
          <w:tcPr>
            <w:tcW w:w="6180" w:type="dxa"/>
            <w:vAlign w:val="bottom"/>
          </w:tcPr>
          <w:p>
            <w:pPr>
              <w:spacing w:after="0"/>
              <w:rPr>
                <w:sz w:val="19"/>
                <w:szCs w:val="19"/>
                <w:color w:val="auto"/>
              </w:rPr>
            </w:pPr>
          </w:p>
        </w:tc>
        <w:tc>
          <w:tcPr>
            <w:tcW w:w="2700" w:type="dxa"/>
            <w:vAlign w:val="bottom"/>
            <w:gridSpan w:val="2"/>
          </w:tcPr>
          <w:p>
            <w:pPr>
              <w:jc w:val="center"/>
              <w:ind w:right="380"/>
              <w:spacing w:after="0" w:line="215" w:lineRule="exact"/>
              <w:rPr>
                <w:sz w:val="20"/>
                <w:szCs w:val="20"/>
                <w:color w:val="auto"/>
              </w:rPr>
            </w:pPr>
            <w:r>
              <w:rPr>
                <w:rFonts w:ascii="Calibri" w:cs="Calibri" w:eastAsia="Calibri" w:hAnsi="Calibri"/>
                <w:sz w:val="18"/>
                <w:szCs w:val="18"/>
                <w:color w:val="auto"/>
                <w:w w:val="97"/>
              </w:rPr>
              <w:t>Rosemount, MN (7)</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105,000</w:t>
            </w:r>
          </w:p>
        </w:tc>
        <w:tc>
          <w:tcPr>
            <w:tcW w:w="0" w:type="dxa"/>
            <w:vAlign w:val="bottom"/>
          </w:tcPr>
          <w:p>
            <w:pPr>
              <w:spacing w:after="0"/>
              <w:rPr>
                <w:sz w:val="1"/>
                <w:szCs w:val="1"/>
                <w:color w:val="auto"/>
              </w:rPr>
            </w:pPr>
          </w:p>
        </w:tc>
      </w:tr>
      <w:tr>
        <w:trPr>
          <w:trHeight w:val="237"/>
        </w:trPr>
        <w:tc>
          <w:tcPr>
            <w:tcW w:w="6180" w:type="dxa"/>
            <w:vAlign w:val="bottom"/>
            <w:shd w:val="clear" w:color="auto" w:fill="CCEEFF"/>
          </w:tcPr>
          <w:p>
            <w:pPr>
              <w:ind w:left="640"/>
              <w:spacing w:after="0"/>
              <w:rPr>
                <w:sz w:val="20"/>
                <w:szCs w:val="20"/>
                <w:color w:val="auto"/>
              </w:rPr>
            </w:pPr>
            <w:r>
              <w:rPr>
                <w:rFonts w:ascii="Calibri" w:cs="Calibri" w:eastAsia="Calibri" w:hAnsi="Calibri"/>
                <w:sz w:val="18"/>
                <w:szCs w:val="18"/>
                <w:color w:val="auto"/>
              </w:rPr>
              <w:t>Industrial and Water Treatment</w:t>
            </w:r>
          </w:p>
        </w:tc>
        <w:tc>
          <w:tcPr>
            <w:tcW w:w="270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6"/>
              </w:rPr>
              <w:t>St. Paul, MN (8)</w:t>
            </w:r>
          </w:p>
        </w:tc>
        <w:tc>
          <w:tcPr>
            <w:tcW w:w="19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59,000</w:t>
            </w:r>
          </w:p>
        </w:tc>
        <w:tc>
          <w:tcPr>
            <w:tcW w:w="0" w:type="dxa"/>
            <w:vAlign w:val="bottom"/>
          </w:tcPr>
          <w:p>
            <w:pPr>
              <w:spacing w:after="0"/>
              <w:rPr>
                <w:sz w:val="1"/>
                <w:szCs w:val="1"/>
                <w:color w:val="auto"/>
              </w:rPr>
            </w:pPr>
          </w:p>
        </w:tc>
      </w:tr>
      <w:tr>
        <w:trPr>
          <w:trHeight w:val="222"/>
        </w:trPr>
        <w:tc>
          <w:tcPr>
            <w:tcW w:w="6180" w:type="dxa"/>
            <w:vAlign w:val="bottom"/>
          </w:tcPr>
          <w:p>
            <w:pPr>
              <w:spacing w:after="0"/>
              <w:rPr>
                <w:sz w:val="19"/>
                <w:szCs w:val="19"/>
                <w:color w:val="auto"/>
              </w:rPr>
            </w:pPr>
          </w:p>
        </w:tc>
        <w:tc>
          <w:tcPr>
            <w:tcW w:w="270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Camanche, IA</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95,000</w:t>
            </w:r>
          </w:p>
        </w:tc>
        <w:tc>
          <w:tcPr>
            <w:tcW w:w="0" w:type="dxa"/>
            <w:vAlign w:val="bottom"/>
          </w:tcPr>
          <w:p>
            <w:pPr>
              <w:spacing w:after="0"/>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jc w:val="center"/>
              <w:ind w:right="380"/>
              <w:spacing w:after="0"/>
              <w:rPr>
                <w:sz w:val="20"/>
                <w:szCs w:val="20"/>
                <w:color w:val="auto"/>
              </w:rPr>
            </w:pPr>
            <w:r>
              <w:rPr>
                <w:rFonts w:ascii="Calibri" w:cs="Calibri" w:eastAsia="Calibri" w:hAnsi="Calibri"/>
                <w:sz w:val="18"/>
                <w:szCs w:val="18"/>
                <w:color w:val="auto"/>
                <w:w w:val="98"/>
              </w:rPr>
              <w:t>Memphis, TN</w:t>
            </w:r>
          </w:p>
        </w:tc>
        <w:tc>
          <w:tcPr>
            <w:tcW w:w="19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41,000</w:t>
            </w:r>
          </w:p>
        </w:tc>
        <w:tc>
          <w:tcPr>
            <w:tcW w:w="0" w:type="dxa"/>
            <w:vAlign w:val="bottom"/>
          </w:tcPr>
          <w:p>
            <w:pPr>
              <w:spacing w:after="0"/>
              <w:rPr>
                <w:sz w:val="1"/>
                <w:szCs w:val="1"/>
                <w:color w:val="auto"/>
              </w:rPr>
            </w:pPr>
          </w:p>
        </w:tc>
      </w:tr>
      <w:tr>
        <w:trPr>
          <w:trHeight w:val="215"/>
        </w:trPr>
        <w:tc>
          <w:tcPr>
            <w:tcW w:w="6180" w:type="dxa"/>
            <w:vAlign w:val="bottom"/>
          </w:tcPr>
          <w:p>
            <w:pPr>
              <w:ind w:left="640"/>
              <w:spacing w:after="0" w:line="215" w:lineRule="exact"/>
              <w:rPr>
                <w:sz w:val="20"/>
                <w:szCs w:val="20"/>
                <w:color w:val="auto"/>
              </w:rPr>
            </w:pPr>
            <w:r>
              <w:rPr>
                <w:rFonts w:ascii="Calibri" w:cs="Calibri" w:eastAsia="Calibri" w:hAnsi="Calibri"/>
                <w:sz w:val="18"/>
                <w:szCs w:val="18"/>
                <w:color w:val="auto"/>
              </w:rPr>
              <w:t>Water Treatment</w:t>
            </w:r>
          </w:p>
        </w:tc>
        <w:tc>
          <w:tcPr>
            <w:tcW w:w="270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Apopka, FL</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32,100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60" w:hanging="309"/>
        <w:spacing w:after="0"/>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This is a leased facility comprising administratve ofces and a distributon facility. The lease runs through January 2026.</w:t>
      </w:r>
    </w:p>
    <w:p>
      <w:pPr>
        <w:spacing w:after="0" w:line="95" w:lineRule="exact"/>
        <w:rPr>
          <w:rFonts w:ascii="Calibri" w:cs="Calibri" w:eastAsia="Calibri" w:hAnsi="Calibri"/>
          <w:sz w:val="18"/>
          <w:szCs w:val="18"/>
          <w:color w:val="auto"/>
        </w:rPr>
      </w:pPr>
    </w:p>
    <w:p>
      <w:pPr>
        <w:ind w:left="580" w:hanging="329"/>
        <w:spacing w:after="0" w:line="235" w:lineRule="auto"/>
        <w:tabs>
          <w:tab w:leader="none" w:pos="57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This is comprised of (i) a 79,000 square foot manufacturing plant which sits on approximately 16 acres and (ii) a leased 28,000 square foot warehouse located in close proximity that is leased untl December 2022.</w:t>
      </w:r>
    </w:p>
    <w:p>
      <w:pPr>
        <w:spacing w:after="0" w:line="91" w:lineRule="exact"/>
        <w:rPr>
          <w:rFonts w:ascii="Calibri" w:cs="Calibri" w:eastAsia="Calibri" w:hAnsi="Calibri"/>
          <w:sz w:val="18"/>
          <w:szCs w:val="18"/>
          <w:color w:val="auto"/>
        </w:rPr>
      </w:pPr>
    </w:p>
    <w:p>
      <w:pPr>
        <w:ind w:left="560" w:hanging="309"/>
        <w:spacing w:after="0"/>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This manufacturing locaton sits on approximately 11 acres of land.</w:t>
      </w:r>
    </w:p>
    <w:p>
      <w:pPr>
        <w:spacing w:after="0" w:line="77" w:lineRule="exact"/>
        <w:rPr>
          <w:rFonts w:ascii="Calibri" w:cs="Calibri" w:eastAsia="Calibri" w:hAnsi="Calibri"/>
          <w:sz w:val="18"/>
          <w:szCs w:val="18"/>
          <w:color w:val="auto"/>
        </w:rPr>
      </w:pPr>
    </w:p>
    <w:p>
      <w:pPr>
        <w:ind w:left="560" w:hanging="309"/>
        <w:spacing w:after="0"/>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This manufacturing facility includes 12 acres of land owned by the Company.</w:t>
      </w:r>
    </w:p>
    <w:p>
      <w:pPr>
        <w:spacing w:after="0" w:line="90" w:lineRule="exact"/>
        <w:rPr>
          <w:rFonts w:ascii="Calibri" w:cs="Calibri" w:eastAsia="Calibri" w:hAnsi="Calibri"/>
          <w:sz w:val="18"/>
          <w:szCs w:val="18"/>
          <w:color w:val="auto"/>
        </w:rPr>
      </w:pPr>
    </w:p>
    <w:p>
      <w:pPr>
        <w:ind w:left="560" w:hanging="309"/>
        <w:spacing w:after="0"/>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land for this manufacturing and packaging facility is leased from a third party, with the lease expiring in May 2023.</w:t>
      </w:r>
    </w:p>
    <w:p>
      <w:pPr>
        <w:spacing w:after="0" w:line="95" w:lineRule="exact"/>
        <w:rPr>
          <w:rFonts w:ascii="Calibri" w:cs="Calibri" w:eastAsia="Calibri" w:hAnsi="Calibri"/>
          <w:sz w:val="18"/>
          <w:szCs w:val="18"/>
          <w:color w:val="auto"/>
        </w:rPr>
      </w:pPr>
    </w:p>
    <w:p>
      <w:pPr>
        <w:jc w:val="both"/>
        <w:ind w:left="580" w:hanging="329"/>
        <w:spacing w:after="0" w:line="235" w:lineRule="auto"/>
        <w:tabs>
          <w:tab w:leader="none" w:pos="57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These terminal operatons, located at two sites on opposite sides of the Mississippi River, are made up of three buildings, outside storage tanks for the storage of liquid bulk chemicals, including caustc soda, as well as numerous smaller tanks for storing and mixing chemicals. The land is leased from the Port Authority of the City of St. Paul, Minnesota. One of the applicable leases runs through 2033, while the other one runs through 2044 including all available lease extensions.</w:t>
      </w:r>
    </w:p>
    <w:p>
      <w:pPr>
        <w:spacing w:after="0" w:line="84" w:lineRule="exact"/>
        <w:rPr>
          <w:rFonts w:ascii="Calibri" w:cs="Calibri" w:eastAsia="Calibri" w:hAnsi="Calibri"/>
          <w:sz w:val="18"/>
          <w:szCs w:val="18"/>
          <w:color w:val="auto"/>
        </w:rPr>
      </w:pPr>
    </w:p>
    <w:p>
      <w:pPr>
        <w:ind w:left="580" w:hanging="329"/>
        <w:spacing w:after="0" w:line="235" w:lineRule="auto"/>
        <w:tabs>
          <w:tab w:leader="none" w:pos="57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This includes two adjacent facilites comprising a total of 56 acres of land owned by the Company. These manufacturing facilites have outside storage tanks for the storage of bulk chemicals, as well as numerous smaller tanks for storing and mixing chemicals.</w:t>
      </w:r>
    </w:p>
    <w:p>
      <w:pPr>
        <w:spacing w:after="0" w:line="96" w:lineRule="exact"/>
        <w:rPr>
          <w:rFonts w:ascii="Calibri" w:cs="Calibri" w:eastAsia="Calibri" w:hAnsi="Calibri"/>
          <w:sz w:val="18"/>
          <w:szCs w:val="18"/>
          <w:color w:val="auto"/>
        </w:rPr>
      </w:pPr>
    </w:p>
    <w:p>
      <w:pPr>
        <w:jc w:val="both"/>
        <w:ind w:left="580" w:hanging="329"/>
        <w:spacing w:after="0" w:line="235" w:lineRule="auto"/>
        <w:tabs>
          <w:tab w:leader="none" w:pos="57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This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runs untl 2029.</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3. </w:t>
      </w:r>
      <w:r>
        <w:rPr>
          <w:rFonts w:ascii="Calibri" w:cs="Calibri" w:eastAsia="Calibri" w:hAnsi="Calibri"/>
          <w:sz w:val="18"/>
          <w:szCs w:val="18"/>
          <w:b w:val="1"/>
          <w:bCs w:val="1"/>
          <w:i w:val="1"/>
          <w:iCs w:val="1"/>
          <w:color w:val="auto"/>
        </w:rPr>
        <w:t>LEGAL PROCEEDINGS</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material pending legal proceedings, other than ordinary routne litgaton incidental to the business, to which we or any of our subsidiaries are a party or of which any of our property is the subject.</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4. </w:t>
      </w:r>
      <w:r>
        <w:rPr>
          <w:rFonts w:ascii="Calibri" w:cs="Calibri" w:eastAsia="Calibri" w:hAnsi="Calibri"/>
          <w:sz w:val="18"/>
          <w:szCs w:val="18"/>
          <w:b w:val="1"/>
          <w:bCs w:val="1"/>
          <w:i w:val="1"/>
          <w:iCs w:val="1"/>
          <w:color w:val="auto"/>
        </w:rPr>
        <w:t>MINE SAFETY DISCLOSURES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5" w:name="page16"/>
    <w:bookmarkEnd w:id="15"/>
    <w:p>
      <w:pPr>
        <w:jc w:val="center"/>
        <w:ind w:right="-19"/>
        <w:spacing w:after="0"/>
        <w:rPr>
          <w:sz w:val="20"/>
          <w:szCs w:val="20"/>
          <w:color w:val="auto"/>
        </w:rPr>
      </w:pPr>
      <w:r>
        <w:rPr>
          <w:rFonts w:ascii="Calibri" w:cs="Calibri" w:eastAsia="Calibri" w:hAnsi="Calibri"/>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5. </w:t>
      </w:r>
      <w:r>
        <w:rPr>
          <w:rFonts w:ascii="Calibri" w:cs="Calibri" w:eastAsia="Calibri" w:hAnsi="Calibri"/>
          <w:sz w:val="18"/>
          <w:szCs w:val="18"/>
          <w:b w:val="1"/>
          <w:bCs w:val="1"/>
          <w:i w:val="1"/>
          <w:iCs w:val="1"/>
          <w:color w:val="auto"/>
        </w:rPr>
        <w:t>MARKET FOR THE COMPANY’S COMMON EQUITY, RELATED SHAREHOLDER MATTERS AND ISSUER PURCHASES OF EQUITY SECURITIES</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common shares are listed on the Nasdaq Global Select Market under the symbol “HWKN.” As of May 13, 2022, shares of our common shares were held by approximately 387 shareholders of record.</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graph compares the cumulatve total shareholder return on our common shares with the cumulatve total returns of the Nasdaq Industrial Index, the Nasdaq Composite Index, the Russell 2000 Index and the Standard &amp; Poor’s (“S&amp;P”) Small Cap 600 Index for our last fve completed fscal years. The graph assumes the investment of $100 in our stock and each of those indices on April 2, 2017,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67310</wp:posOffset>
            </wp:positionV>
            <wp:extent cx="5254625" cy="3711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5462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b w:val="1"/>
          <w:bCs w:val="1"/>
          <w:color w:val="auto"/>
        </w:rPr>
        <w:t xml:space="preserve">ITEM 6. </w:t>
      </w:r>
      <w:r>
        <w:rPr>
          <w:rFonts w:ascii="Calibri" w:cs="Calibri" w:eastAsia="Calibri" w:hAnsi="Calibri"/>
          <w:sz w:val="18"/>
          <w:szCs w:val="18"/>
          <w:b w:val="1"/>
          <w:bCs w:val="1"/>
          <w:i w:val="1"/>
          <w:iCs w:val="1"/>
          <w:color w:val="auto"/>
        </w:rPr>
        <w:t>RESERVED</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7. </w:t>
      </w:r>
      <w:r>
        <w:rPr>
          <w:rFonts w:ascii="Calibri" w:cs="Calibri" w:eastAsia="Calibri" w:hAnsi="Calibri"/>
          <w:sz w:val="18"/>
          <w:szCs w:val="18"/>
          <w:b w:val="1"/>
          <w:bCs w:val="1"/>
          <w:i w:val="1"/>
          <w:iCs w:val="1"/>
          <w:color w:val="auto"/>
        </w:rPr>
        <w:t>MANAGEMENT’S DISCUSSION AND ANALYSIS OF FINANCIAL CONDITION AND RESULTS OF OPERATIONS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is a discussion and analysis of our fnancial conditon and results of operatons for fscal 2022 and 2021. This discussion should be read in conjuncton with the Consolidated Financial Statements and Notes to Consolidated Financial Statements included in Item 8 of this Annual Report on Form 10-K.</w:t>
      </w:r>
    </w:p>
    <w:p>
      <w:pPr>
        <w:spacing w:after="0" w:line="246" w:lineRule="exact"/>
        <w:rPr>
          <w:sz w:val="20"/>
          <w:szCs w:val="20"/>
          <w:color w:val="auto"/>
        </w:rPr>
      </w:pPr>
    </w:p>
    <w:p>
      <w:pPr>
        <w:jc w:val="both"/>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We have omited discussion of the earliest of the three years covered by our consolidated fnancial statements presented in this report because that disclosure was already included in our </w:t>
      </w:r>
      <w:hyperlink r:id="rId31">
        <w:r>
          <w:rPr>
            <w:rFonts w:ascii="Calibri" w:cs="Calibri" w:eastAsia="Calibri" w:hAnsi="Calibri"/>
            <w:sz w:val="18"/>
            <w:szCs w:val="18"/>
            <w:u w:val="single" w:color="auto"/>
            <w:color w:val="0000FF"/>
          </w:rPr>
          <w:t>Annual Report on Form 10-K for fscal 2021</w:t>
        </w:r>
      </w:hyperlink>
      <w:r>
        <w:rPr>
          <w:rFonts w:ascii="Calibri" w:cs="Calibri" w:eastAsia="Calibri" w:hAnsi="Calibri"/>
          <w:sz w:val="18"/>
          <w:szCs w:val="18"/>
          <w:color w:val="auto"/>
        </w:rPr>
        <w:t>, fled with the SEC on June 2, 2021. You are encouraged to reference Part II, Item 7, within that report, for a discussion of our fnancial conditon and results of operatons for fscal 2020 compared to fscal 2021.</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derive substantally all of our revenues from the sale of specialty chemicals and ingredients that we formulate, distribute, blend and manufacture for our Industrial, Water Treatment and Health and Nutriton customers.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Overview</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Highlights of fscal 2022 include:</w:t>
      </w:r>
    </w:p>
    <w:p>
      <w:pPr>
        <w:spacing w:after="0" w:line="239" w:lineRule="exact"/>
        <w:rPr>
          <w:sz w:val="20"/>
          <w:szCs w:val="20"/>
          <w:color w:val="auto"/>
        </w:rPr>
      </w:pPr>
    </w:p>
    <w:p>
      <w:pPr>
        <w:ind w:left="640" w:hanging="389"/>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Sales of $774.5 million, a 30% increase from fscal 2021;</w:t>
      </w:r>
    </w:p>
    <w:p>
      <w:pPr>
        <w:spacing w:after="0" w:line="239" w:lineRule="exact"/>
        <w:rPr>
          <w:rFonts w:ascii="Calibri" w:cs="Calibri" w:eastAsia="Calibri" w:hAnsi="Calibri"/>
          <w:sz w:val="18"/>
          <w:szCs w:val="18"/>
          <w:color w:val="auto"/>
        </w:rPr>
      </w:pPr>
    </w:p>
    <w:p>
      <w:pPr>
        <w:ind w:left="640" w:hanging="389"/>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Gross proft of $146.5 million, an increase of $22.8 million, or 18% from fscal 2021;</w:t>
      </w:r>
    </w:p>
    <w:p>
      <w:pPr>
        <w:spacing w:after="0" w:line="244" w:lineRule="exact"/>
        <w:rPr>
          <w:rFonts w:ascii="Calibri" w:cs="Calibri" w:eastAsia="Calibri" w:hAnsi="Calibri"/>
          <w:sz w:val="18"/>
          <w:szCs w:val="18"/>
          <w:color w:val="auto"/>
        </w:rPr>
      </w:pPr>
    </w:p>
    <w:p>
      <w:pPr>
        <w:ind w:left="660" w:right="800" w:hanging="409"/>
        <w:spacing w:after="0" w:line="235" w:lineRule="auto"/>
        <w:tabs>
          <w:tab w:leader="none" w:pos="65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An increase in selling, general and administratve (“SG&amp;A”) expenses of $7.4 million year over year, but a decrease of 160 basis points as a percentage of sales when compared to fscal 2021;</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focus on total proftability dollars when evaluatng our fnancial results as opposed to proftability as a percentage of sales, as sales dollars tend to fuctuate as raw material prices rise and fall, partcularly in our Industrial and Water Treatment segments. The costs for certain of our raw materials can rise or fall rapidly, causing fuctuatons in gross proft as a percentage of sales.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the last in, frst out (“LIFO”) method of valuing the majority of our inventory in our Industrial and Water Treatment segments, which causes the most recent product costs to be recognized in our income statement. The LIFO inventory valuaton method and the resultng cost of sales are consistent with our business practces of pricing to current chemical raw material prices. Inventories in our Health and Nutriton segment are valued using the frst-in, frst-out (“FIFO”) method.</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disclose the sales of our bulk commodity products as a percentage of total sales dollars for our Industrial and Water Treatment segments. Our defniton of bulk commodity products includes products that we do not modify in any way, but receive, store, and ship from our facilites, or direct ship to our customers in large quanttes.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Business and Property Acquisitons</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30, 2021, we acquired substantally all the assets of NAPCO Chemical Company, Inc. and its afliates ("NAPCO") under the terms of an asset purchase agreement among us, NAPCO and certain other partes thereto. NAPCO manufactures and distributes water treatment chemicals from three locatons in Texas. The results of operatons are included as part of our Water Treatment segment from the date of acquisiton forward.</w:t>
      </w:r>
    </w:p>
    <w:p>
      <w:pPr>
        <w:spacing w:after="0" w:line="24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On October 29, 2021, we acquired substantally all the assets of Water and Waste Specialtes, LLC, under the terms of an asset purchase agreement with Water and Waste Specialtes and its shareholders. Water and Waste Specialtes was a water treatment chemical distributon company operatng primarily in Alabama. The results of operatons since the acquisiton date are included in our Water Treatment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7" w:name="page18"/>
    <w:bookmarkEnd w:id="17"/>
    <w:p>
      <w:pPr>
        <w:ind w:right="20"/>
        <w:spacing w:after="0" w:line="235" w:lineRule="auto"/>
        <w:rPr>
          <w:sz w:val="20"/>
          <w:szCs w:val="20"/>
          <w:color w:val="auto"/>
        </w:rPr>
      </w:pPr>
      <w:r>
        <w:rPr>
          <w:rFonts w:ascii="Calibri" w:cs="Calibri" w:eastAsia="Calibri" w:hAnsi="Calibri"/>
          <w:sz w:val="18"/>
          <w:szCs w:val="18"/>
          <w:color w:val="auto"/>
        </w:rPr>
        <w:t>On September 20, 2021, we acquired substantally all the assets of Southeast Water Systems LLC, under the terms of an asset purchase agreement with Southeast Water Systems and its shareholders. Southeast Water Systems supplied and installed water treatment chemical equipment to its customers located primarily in Alabama, southern Georgia and the Florida panhandle. The results of operatons since the acquisiton date are included in our Water Treatment segment.</w:t>
      </w:r>
    </w:p>
    <w:p>
      <w:pPr>
        <w:spacing w:after="0" w:line="246" w:lineRule="exact"/>
        <w:rPr>
          <w:sz w:val="20"/>
          <w:szCs w:val="20"/>
          <w:color w:val="auto"/>
        </w:rPr>
      </w:pPr>
    </w:p>
    <w:p>
      <w:pPr>
        <w:jc w:val="both"/>
        <w:spacing w:after="0" w:line="270" w:lineRule="auto"/>
        <w:rPr>
          <w:sz w:val="20"/>
          <w:szCs w:val="20"/>
          <w:color w:val="auto"/>
        </w:rPr>
      </w:pPr>
      <w:r>
        <w:rPr>
          <w:rFonts w:ascii="Calibri" w:cs="Calibri" w:eastAsia="Calibri" w:hAnsi="Calibri"/>
          <w:sz w:val="18"/>
          <w:szCs w:val="18"/>
          <w:color w:val="auto"/>
        </w:rPr>
        <w:t>In the fourth quarter of fscal 2021, we acquired substantally all the assets of C &amp; L Aqua Professionals, Inc. and LC Blending, Inc. (together, “C&amp;L Aqua”) under the terms of an asset purchase agreement among us, C&amp;L Aqua and its shareholders. C&amp;L Aqua was a water treatment chemical distributon company operatng primarily in Louisiana. The results of operatons since the acquisiton date are included in our Water Treatment segment.</w:t>
      </w:r>
    </w:p>
    <w:p>
      <w:pPr>
        <w:spacing w:after="0" w:line="230" w:lineRule="exact"/>
        <w:rPr>
          <w:sz w:val="20"/>
          <w:szCs w:val="20"/>
          <w:color w:val="auto"/>
        </w:rPr>
      </w:pPr>
    </w:p>
    <w:p>
      <w:pPr>
        <w:jc w:val="both"/>
        <w:spacing w:after="0" w:line="253" w:lineRule="auto"/>
        <w:rPr>
          <w:sz w:val="20"/>
          <w:szCs w:val="20"/>
          <w:color w:val="auto"/>
        </w:rPr>
      </w:pPr>
      <w:r>
        <w:rPr>
          <w:rFonts w:ascii="Calibri" w:cs="Calibri" w:eastAsia="Calibri" w:hAnsi="Calibri"/>
          <w:sz w:val="18"/>
          <w:szCs w:val="18"/>
          <w:color w:val="auto"/>
        </w:rPr>
        <w:t>In the third quarter of fscal 2021, we acquired a manufacturing facility to allow further expansion and growth in both our Industrial and Water Treatment segments. This site is adjacent to our facility in Rosemount, Minnesota, adding 40,000 square feet of manufacturing and warehouse space on 28 acres of land to bring us to a total of 105,000 square feet of space on 56 acres of land, with rail access at both of the sites. The expansion will allow for future growth and provide supply chain fexibility on certain raw materials to beter serve our customers.</w:t>
      </w:r>
    </w:p>
    <w:p>
      <w:pPr>
        <w:spacing w:after="0" w:line="234" w:lineRule="exact"/>
        <w:rPr>
          <w:sz w:val="20"/>
          <w:szCs w:val="20"/>
          <w:color w:val="auto"/>
        </w:rPr>
      </w:pPr>
    </w:p>
    <w:p>
      <w:pPr>
        <w:jc w:val="both"/>
        <w:spacing w:after="0" w:line="248" w:lineRule="auto"/>
        <w:rPr>
          <w:sz w:val="20"/>
          <w:szCs w:val="20"/>
          <w:color w:val="auto"/>
        </w:rPr>
      </w:pPr>
      <w:r>
        <w:rPr>
          <w:rFonts w:ascii="Calibri" w:cs="Calibri" w:eastAsia="Calibri" w:hAnsi="Calibri"/>
          <w:sz w:val="18"/>
          <w:szCs w:val="18"/>
          <w:color w:val="auto"/>
        </w:rPr>
        <w:t>In the second quarter of fscal 2021, we acquired substantally all the assets of American Development Corporaton of Tennessee, Inc. (“ADC”) under the terms of an asset purchase agreement among us, ADC and its shareholders. ADC was a water treatment chemical distributon company operatng primarily in Tennessee, Georgia and Kentucky. The results of operatons since the acquisiton date are included in our Water Treatment segment.</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aggregate annual revenue of the three businesses acquired in fscal 2022 totaled approximately $17 million, as determined using the applicable twelve-month period preceding each respectve acquisiton date. The aggregate annual revenue from the fscal 2021 acquisitons totaled approximately $25 million, as determined using the applicable twelve-month period preceding each respectve acquisiton date.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Split</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March 1, 2021, we efected a two-for-one split of our common stock and adjusted the par value from $.05 per share to $0.01 per share. At the same tme, we increased the number of authorized shares from 30 million to 60 million. Our consolidated fnancial statements, related notes, and other fnancial data contained in this report have been adjusted to give retroactve efect to the stock split for all periods presented.</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Statement on COVID-19</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pandemic caused by COVID-19, federal, state and local governments around the world implemented stringent measures to help control the spread of the virus, including, from tme to tme, quarantnes, “shelter in place” and “stay at home” orders, travel restrictons or bans, business curtailments, school closures, and other protectve measures. While most restrictons have eased since the start of the COVID-19 pandemic, certain restrictons remain in place or new restrictons may be implemented in the future.</w:t>
      </w:r>
    </w:p>
    <w:p>
      <w:pPr>
        <w:spacing w:after="0" w:line="246" w:lineRule="exact"/>
        <w:rPr>
          <w:sz w:val="20"/>
          <w:szCs w:val="20"/>
          <w:color w:val="auto"/>
        </w:rPr>
      </w:pPr>
    </w:p>
    <w:p>
      <w:pPr>
        <w:ind w:right="300"/>
        <w:spacing w:after="0" w:line="260" w:lineRule="auto"/>
        <w:rPr>
          <w:sz w:val="20"/>
          <w:szCs w:val="20"/>
          <w:color w:val="auto"/>
        </w:rPr>
      </w:pPr>
      <w:r>
        <w:rPr>
          <w:rFonts w:ascii="Calibri" w:cs="Calibri" w:eastAsia="Calibri" w:hAnsi="Calibri"/>
          <w:sz w:val="18"/>
          <w:szCs w:val="18"/>
          <w:color w:val="auto"/>
        </w:rPr>
        <w:t>All of our manufacturing facilites have qualifed as essental operatons (or the equivalent) under applicable federal and state orders. As a result, all of our manufacturing sites and facilites have contnued to operate, with no signifcant impact to our output levels.</w:t>
      </w:r>
    </w:p>
    <w:p>
      <w:pPr>
        <w:spacing w:after="0" w:line="253"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During the public health crisis, we remained focused on the health and safety of our employees, customers and suppliers and maintaining safe and reliable operatons of our manufacturing sites. As our operatons and products are essental to critcal natonal infrastructure, it is imperatve that we contnue to supply materials including the products needed to maintain safe drinking water, ingredients essental for large-scale food, pharmaceutcal and other health product manufacturing and nutriton products needed to support our country's critcal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color w:val="auto"/>
        </w:rPr>
        <w:t>Results of Operatons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certain items from our statement of income as a percentage of sales for fscal 2022 and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1680" w:type="dxa"/>
            <w:vAlign w:val="bottom"/>
            <w:gridSpan w:val="2"/>
          </w:tcPr>
          <w:p>
            <w:pPr>
              <w:ind w:left="460"/>
              <w:spacing w:after="0"/>
              <w:rPr>
                <w:sz w:val="20"/>
                <w:szCs w:val="20"/>
                <w:color w:val="auto"/>
              </w:rPr>
            </w:pPr>
            <w:r>
              <w:rPr>
                <w:rFonts w:ascii="Calibri" w:cs="Calibri" w:eastAsia="Calibri" w:hAnsi="Calibri"/>
                <w:sz w:val="14"/>
                <w:szCs w:val="14"/>
                <w:b w:val="1"/>
                <w:bCs w:val="1"/>
                <w:color w:val="auto"/>
              </w:rPr>
              <w:t>Fiscal 2022</w:t>
            </w:r>
          </w:p>
        </w:tc>
        <w:tc>
          <w:tcPr>
            <w:tcW w:w="1580" w:type="dxa"/>
            <w:vAlign w:val="bottom"/>
          </w:tcPr>
          <w:p>
            <w:pPr>
              <w:jc w:val="right"/>
              <w:ind w:right="372"/>
              <w:spacing w:after="0"/>
              <w:rPr>
                <w:sz w:val="20"/>
                <w:szCs w:val="20"/>
                <w:color w:val="auto"/>
              </w:rPr>
            </w:pPr>
            <w:r>
              <w:rPr>
                <w:rFonts w:ascii="Calibri" w:cs="Calibri" w:eastAsia="Calibri" w:hAnsi="Calibri"/>
                <w:sz w:val="14"/>
                <w:szCs w:val="14"/>
                <w:b w:val="1"/>
                <w:bCs w:val="1"/>
                <w:color w:val="auto"/>
              </w:rPr>
              <w:t>Fiscal 2021</w:t>
            </w:r>
          </w:p>
        </w:tc>
      </w:tr>
      <w:tr>
        <w:trPr>
          <w:trHeight w:val="47"/>
        </w:trPr>
        <w:tc>
          <w:tcPr>
            <w:tcW w:w="746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3"/>
        </w:trPr>
        <w:tc>
          <w:tcPr>
            <w:tcW w:w="74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100.0 %</w:t>
            </w:r>
          </w:p>
        </w:tc>
      </w:tr>
      <w:tr>
        <w:trPr>
          <w:trHeight w:val="223"/>
        </w:trPr>
        <w:tc>
          <w:tcPr>
            <w:tcW w:w="74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(81.1)%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(79.3)%</w:t>
            </w:r>
          </w:p>
        </w:tc>
      </w:tr>
      <w:tr>
        <w:trPr>
          <w:trHeight w:val="230"/>
        </w:trPr>
        <w:tc>
          <w:tcPr>
            <w:tcW w:w="746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18.9 %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20.7 %</w:t>
            </w:r>
          </w:p>
        </w:tc>
      </w:tr>
      <w:tr>
        <w:trPr>
          <w:trHeight w:val="223"/>
        </w:trPr>
        <w:tc>
          <w:tcPr>
            <w:tcW w:w="74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(11.3)%</w:t>
            </w:r>
          </w:p>
        </w:tc>
      </w:tr>
      <w:tr>
        <w:trPr>
          <w:trHeight w:val="230"/>
        </w:trPr>
        <w:tc>
          <w:tcPr>
            <w:tcW w:w="746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9.4 %</w:t>
            </w:r>
          </w:p>
        </w:tc>
      </w:tr>
      <w:tr>
        <w:trPr>
          <w:trHeight w:val="222"/>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(0.2)%</w:t>
            </w:r>
          </w:p>
        </w:tc>
        <w:tc>
          <w:tcPr>
            <w:tcW w:w="10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(0.2)%</w:t>
            </w:r>
          </w:p>
        </w:tc>
      </w:tr>
      <w:tr>
        <w:trPr>
          <w:trHeight w:val="237"/>
        </w:trPr>
        <w:tc>
          <w:tcPr>
            <w:tcW w:w="7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w:t>
            </w:r>
          </w:p>
        </w:tc>
        <w:tc>
          <w:tcPr>
            <w:tcW w:w="1680" w:type="dxa"/>
            <w:vAlign w:val="bottom"/>
            <w:gridSpan w:val="2"/>
            <w:shd w:val="clear" w:color="auto" w:fill="CCEEFF"/>
          </w:tcPr>
          <w:p>
            <w:pPr>
              <w:jc w:val="right"/>
              <w:ind w:right="120"/>
              <w:spacing w:after="0"/>
              <w:rPr>
                <w:sz w:val="20"/>
                <w:szCs w:val="20"/>
                <w:color w:val="auto"/>
              </w:rPr>
            </w:pPr>
            <w:r>
              <w:rPr>
                <w:rFonts w:ascii="Calibri" w:cs="Calibri" w:eastAsia="Calibri" w:hAnsi="Calibri"/>
                <w:sz w:val="18"/>
                <w:szCs w:val="18"/>
                <w:color w:val="auto"/>
              </w:rPr>
              <w:t>— %</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0.2 %</w:t>
            </w:r>
          </w:p>
        </w:tc>
      </w:tr>
      <w:tr>
        <w:trPr>
          <w:trHeight w:val="216"/>
        </w:trPr>
        <w:tc>
          <w:tcPr>
            <w:tcW w:w="746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1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9.0 %</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9.4 %</w:t>
            </w:r>
          </w:p>
        </w:tc>
      </w:tr>
      <w:tr>
        <w:trPr>
          <w:trHeight w:val="237"/>
        </w:trPr>
        <w:tc>
          <w:tcPr>
            <w:tcW w:w="7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provision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w:t>
            </w:r>
          </w:p>
        </w:tc>
      </w:tr>
      <w:tr>
        <w:trPr>
          <w:trHeight w:val="217"/>
        </w:trPr>
        <w:tc>
          <w:tcPr>
            <w:tcW w:w="746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6.7 %</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6.9 %</w:t>
            </w:r>
          </w:p>
        </w:tc>
      </w:tr>
      <w:tr>
        <w:trPr>
          <w:trHeight w:val="27"/>
        </w:trPr>
        <w:tc>
          <w:tcPr>
            <w:tcW w:w="7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Fiscal 2022 Compared to Fiscal 2021</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Sales were $774.5 million for fscal 2022, an increase of $177.7 million, or 30%, from sales of $596.9 million for fscal 2021. We estmated the impact of the 53rd week in fscal 2022 to be approximately $17.5 million in additonal sales.</w:t>
      </w:r>
    </w:p>
    <w:p>
      <w:pPr>
        <w:spacing w:after="0" w:line="245"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increased $113.6 million, or 42%, to $386.9 million for fscal 2022, as compared to $273.4 million for fscal 2021.</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Sales of bulk commodity products in the Industrial segment were approximately 16% of sales dollars in fscal 2022 and 14% of sales dollars in fscal 2021. We estmated the impact of the 53rd week in fscal 2022 to be approximately $10.0 million in additonal sales in our Industrial segment. In additon, the increase in sales was driven by increased selling prices on many of our products driven by higher costs on many of our raw materials, as well as increased sales of our bulk and our manufactured, blended and repackaged products.</w:t>
      </w:r>
    </w:p>
    <w:p>
      <w:pPr>
        <w:spacing w:after="0" w:line="23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Water Treatment segment sales increased $58.1 million, or 34%, to $228.1 million for fscal 2022, as compared to $170.0 million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for fscal 2021. Sales of bulk commodity products in the Water Treatment segment were approximately 9% of sales dollars in both fscal 2022 and fscal 2021. We estmated the impact of the 53rd week in fscal 2022 to be approximately $3.9 million in additonal sales in our Water Treatment segment. In additon, sales increased as a result of increased demand for our products as well as the added sales from acquisitons.</w:t>
      </w:r>
    </w:p>
    <w:p>
      <w:pPr>
        <w:spacing w:after="0" w:line="233"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i w:val="1"/>
          <w:iCs w:val="1"/>
          <w:color w:val="auto"/>
        </w:rPr>
        <w:t xml:space="preserve">Health and Nutriton Segment. </w:t>
      </w:r>
      <w:r>
        <w:rPr>
          <w:rFonts w:ascii="Calibri" w:cs="Calibri" w:eastAsia="Calibri" w:hAnsi="Calibri"/>
          <w:sz w:val="18"/>
          <w:szCs w:val="18"/>
          <w:color w:val="auto"/>
        </w:rPr>
        <w:t>Health and Nutriton segment sales increased $6.0 million, or 4%, to $159.5 million for fscal 2022, as compared to $153.5</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million for fscal 2021. We estmated the impact of the 53rd week in fscal 2022 to be approximately $3.6 million in additonal sales in our Health and Nutriton segment. In additon, sales increased as a result of an increase in sales of our specialty distributed products, which was partally ofset by the normalizing of demand for our manufactured products when compared to the temporary COVID-driven increase in demand these products experienced in the prior year.</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Gross proft increased $22.8 million, or 18%, to $146.5 million, or 19% of sales, for fscal 2022, from $123.8 million, or 21% of sales, for fscal 2021. During fscal 2022, the LIFO reserve increased, and gross profts decreased, by $15.8 million, primarily due to rising input costs. In fscal 2021, the LIFO reserve decreased, and gross profts increased, by $0.1 million. We estmated the impact of the 53rd week in fscal 2022 to be approximately $3.6 million in additonal gross proft.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spacing w:after="0" w:line="235"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increased $16.3 million, or 38%, to $59.6 million, or 15% of sales, for fscal 2022, from $43.3</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million, or 16% of sales, for fscal 2021. During fscal 2022, the LIFO reserve increased, and gross profts decreased, by $10.4 million, primarily due to rising raw material costs. In fscal 2021, the LIFO reserve decreased, and gross profts increased, by $0.2 million. We estmated the impact of the 53rd week in fscal 2022 to be approximately $1.9 million in additonal gross proft in our Industrial segment. In additon, gross proft increased as a result of the increase in sales, partally ofset by the negatve impact resultng from the increase in the LIFO reserve.</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Gross proft for the Water Treatment segment increased $7.8 million, or 17%, to $54.6 million, or 24% of sales, for fscal 2022,</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$46.8 million, or 28% of sales, for fscal 2021. During fscal 2022, the LIFO reserve increased, and gross profts decreased, by $5.4 million, primarily due to rising raw material costs. During fscal 2021, the LIFO reserve increased, and gross proft decreased, by $0.1 million. We estmated the impact of the 53rd week in fscal 2022 to be approximately $1.0 million in additonal gross proft in our Water Treatment segment. In additon, gross proft increased as a result of the increase in sales.</w:t>
      </w:r>
    </w:p>
    <w:p>
      <w:pPr>
        <w:spacing w:after="0" w:line="247"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i w:val="1"/>
          <w:iCs w:val="1"/>
          <w:color w:val="auto"/>
        </w:rPr>
        <w:t xml:space="preserve">Health and Nutriton Segment. </w:t>
      </w:r>
      <w:r>
        <w:rPr>
          <w:rFonts w:ascii="Calibri" w:cs="Calibri" w:eastAsia="Calibri" w:hAnsi="Calibri"/>
          <w:sz w:val="18"/>
          <w:szCs w:val="18"/>
          <w:color w:val="auto"/>
        </w:rPr>
        <w:t>Gross proft for our Health and Nutriton segment decreased $1.3 million, or 4%, to $32.3 million, or 20% of sales, for fscal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2022, from $33.6 million, or 22% of sales, for fscal 2021. We estmated the impact of the 53rd week in fscal 2022 to be approximately $0.7 million in additonal gross proft in our Health and Nutriton segment. This increase from the 53rd week was more than ofset by a decrease in gross proft resultng from a decline in sales of our manufactured products which generally have higher per-unit margins than our specialty distributed products.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SG&amp;A expenses increased $7.4 million to $75.3 million, or 10% of sales, for fscal 2022, from $67.9 million, or 11% of sales, for fscal 2021. We estmated the impact of the 53rd week in fscal 2022 to be approximately $1.0 million in additonal SG&amp;A expense. In additon, expenses increased in part due to the added costs from the acquired businesses in the Water Treatment segment, an increase in variable incentve compensaton, increased costs due to added personnel and other resources as we invest to grow the business, and normalizaton of travel and other variable expenses to pre-COVID levels.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Operatng Income</w:t>
      </w:r>
    </w:p>
    <w:p>
      <w:pPr>
        <w:spacing w:after="0" w:line="231" w:lineRule="exact"/>
        <w:rPr>
          <w:sz w:val="20"/>
          <w:szCs w:val="20"/>
          <w:color w:val="auto"/>
        </w:rPr>
      </w:pPr>
    </w:p>
    <w:p>
      <w:pPr>
        <w:ind w:right="180"/>
        <w:spacing w:after="0" w:line="242" w:lineRule="auto"/>
        <w:rPr>
          <w:sz w:val="20"/>
          <w:szCs w:val="20"/>
          <w:color w:val="auto"/>
        </w:rPr>
      </w:pPr>
      <w:r>
        <w:rPr>
          <w:rFonts w:ascii="Calibri" w:cs="Calibri" w:eastAsia="Calibri" w:hAnsi="Calibri"/>
          <w:sz w:val="17"/>
          <w:szCs w:val="17"/>
          <w:color w:val="auto"/>
        </w:rPr>
        <w:t>Operatng income was $71.2 million, or 9% of sales, for fscal 2022, as compared to $55.9 million, or 9% of sales, for fscal 2021 due to the combined impact of the factors discussed above. We estmated the impact of the 53rd week in fscal 2022 to be approximately $3 million in additonal operatng income.</w:t>
      </w:r>
    </w:p>
    <w:p>
      <w:pPr>
        <w:spacing w:after="0" w:line="23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Interest expense was $1.4 million for fscal 2022, a decrease of $0.1 million from interest expense of $1.5 million for fscal 2021. Lower borrowing rates compared to the prior year more than ofset the increase in outstanding borrowings in the current year.</w:t>
      </w:r>
    </w:p>
    <w:p>
      <w:pPr>
        <w:spacing w:after="0" w:line="236" w:lineRule="auto"/>
        <w:rPr>
          <w:sz w:val="20"/>
          <w:szCs w:val="20"/>
          <w:color w:val="auto"/>
        </w:rPr>
      </w:pPr>
      <w:r>
        <w:rPr>
          <w:rFonts w:ascii="Calibri" w:cs="Calibri" w:eastAsia="Calibri" w:hAnsi="Calibri"/>
          <w:sz w:val="18"/>
          <w:szCs w:val="18"/>
          <w:i w:val="1"/>
          <w:iCs w:val="1"/>
          <w:color w:val="auto"/>
        </w:rPr>
        <w:t>Income Tax Provision</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efectve tax rate was approximately 26.5% for both fscal 2022 and fscal 2021. The efectve tax rate is impacted by projected levels of annual taxable income, permanent items, and state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color w:val="auto"/>
        </w:rPr>
        <w:t>Selected Quarterly Financial Data</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Selected fnancial data for our fscal quarters is shown below. No changes have been made to previously reported informaton.</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 except per share data)</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Fiscal 2022</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60"/>
              <w:spacing w:after="0" w:line="164" w:lineRule="exact"/>
              <w:rPr>
                <w:sz w:val="20"/>
                <w:szCs w:val="20"/>
                <w:color w:val="auto"/>
              </w:rPr>
            </w:pPr>
            <w:r>
              <w:rPr>
                <w:rFonts w:ascii="Calibri" w:cs="Calibri" w:eastAsia="Calibri" w:hAnsi="Calibri"/>
                <w:sz w:val="14"/>
                <w:szCs w:val="14"/>
                <w:b w:val="1"/>
                <w:bCs w:val="1"/>
                <w:color w:val="auto"/>
              </w:rPr>
              <w:t>First</w:t>
            </w:r>
          </w:p>
        </w:tc>
        <w:tc>
          <w:tcPr>
            <w:tcW w:w="320" w:type="dxa"/>
            <w:vAlign w:val="bottom"/>
          </w:tcPr>
          <w:p>
            <w:pPr>
              <w:spacing w:after="0"/>
              <w:rPr>
                <w:sz w:val="14"/>
                <w:szCs w:val="14"/>
                <w:color w:val="auto"/>
              </w:rPr>
            </w:pPr>
          </w:p>
        </w:tc>
        <w:tc>
          <w:tcPr>
            <w:tcW w:w="126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Second</w:t>
            </w:r>
          </w:p>
        </w:tc>
        <w:tc>
          <w:tcPr>
            <w:tcW w:w="200" w:type="dxa"/>
            <w:vAlign w:val="bottom"/>
          </w:tcPr>
          <w:p>
            <w:pPr>
              <w:spacing w:after="0"/>
              <w:rPr>
                <w:sz w:val="14"/>
                <w:szCs w:val="14"/>
                <w:color w:val="auto"/>
              </w:rPr>
            </w:pPr>
          </w:p>
        </w:tc>
        <w:tc>
          <w:tcPr>
            <w:tcW w:w="1260" w:type="dxa"/>
            <w:vAlign w:val="bottom"/>
            <w:gridSpan w:val="2"/>
          </w:tcPr>
          <w:p>
            <w:pPr>
              <w:ind w:left="320"/>
              <w:spacing w:after="0" w:line="164" w:lineRule="exact"/>
              <w:rPr>
                <w:sz w:val="20"/>
                <w:szCs w:val="20"/>
                <w:color w:val="auto"/>
              </w:rPr>
            </w:pPr>
            <w:r>
              <w:rPr>
                <w:rFonts w:ascii="Calibri" w:cs="Calibri" w:eastAsia="Calibri" w:hAnsi="Calibri"/>
                <w:sz w:val="14"/>
                <w:szCs w:val="14"/>
                <w:b w:val="1"/>
                <w:bCs w:val="1"/>
                <w:color w:val="auto"/>
              </w:rPr>
              <w:t>Third</w:t>
            </w:r>
          </w:p>
        </w:tc>
        <w:tc>
          <w:tcPr>
            <w:tcW w:w="340" w:type="dxa"/>
            <w:vAlign w:val="bottom"/>
          </w:tcPr>
          <w:p>
            <w:pPr>
              <w:spacing w:after="0"/>
              <w:rPr>
                <w:sz w:val="14"/>
                <w:szCs w:val="14"/>
                <w:color w:val="auto"/>
              </w:rPr>
            </w:pPr>
          </w:p>
        </w:tc>
        <w:tc>
          <w:tcPr>
            <w:tcW w:w="124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Fourth</w:t>
            </w:r>
          </w:p>
        </w:tc>
        <w:tc>
          <w:tcPr>
            <w:tcW w:w="340" w:type="dxa"/>
            <w:vAlign w:val="bottom"/>
          </w:tcPr>
          <w:p>
            <w:pPr>
              <w:spacing w:after="0"/>
              <w:rPr>
                <w:sz w:val="14"/>
                <w:szCs w:val="14"/>
                <w:color w:val="auto"/>
              </w:rPr>
            </w:pPr>
          </w:p>
        </w:tc>
        <w:tc>
          <w:tcPr>
            <w:tcW w:w="1060" w:type="dxa"/>
            <w:vAlign w:val="bottom"/>
          </w:tcPr>
          <w:p>
            <w:pPr>
              <w:jc w:val="right"/>
              <w:ind w:right="471"/>
              <w:spacing w:after="0" w:line="164"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181,241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187,050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222,973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774,541</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Gross proft</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38,974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37,287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33,940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36,319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146,520</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 expenses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16,856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17,679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21,110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75,326</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income</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22,118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19,608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14,259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15,209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71,194</w:t>
            </w: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10,577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51,542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3" w:lineRule="exact"/>
              <w:rPr>
                <w:sz w:val="20"/>
                <w:szCs w:val="20"/>
                <w:color w:val="auto"/>
              </w:rPr>
            </w:pPr>
            <w:r>
              <w:rPr>
                <w:rFonts w:ascii="Calibri" w:cs="Calibri" w:eastAsia="Calibri" w:hAnsi="Calibri"/>
                <w:sz w:val="18"/>
                <w:szCs w:val="18"/>
                <w:color w:val="auto"/>
              </w:rPr>
              <w:t>0.79</w:t>
            </w:r>
          </w:p>
        </w:tc>
        <w:tc>
          <w:tcPr>
            <w:tcW w:w="12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0.67</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0.49</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0.51</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03" w:lineRule="exact"/>
              <w:rPr>
                <w:sz w:val="20"/>
                <w:szCs w:val="20"/>
                <w:color w:val="auto"/>
              </w:rPr>
            </w:pPr>
            <w:r>
              <w:rPr>
                <w:rFonts w:ascii="Calibri" w:cs="Calibri" w:eastAsia="Calibri" w:hAnsi="Calibri"/>
                <w:sz w:val="18"/>
                <w:szCs w:val="18"/>
                <w:color w:val="auto"/>
              </w:rPr>
              <w:t>2.46</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2.44</w:t>
            </w:r>
          </w:p>
        </w:tc>
        <w:tc>
          <w:tcPr>
            <w:tcW w:w="0" w:type="dxa"/>
            <w:vAlign w:val="bottom"/>
          </w:tcPr>
          <w:p>
            <w:pPr>
              <w:spacing w:after="0"/>
              <w:rPr>
                <w:sz w:val="1"/>
                <w:szCs w:val="1"/>
                <w:color w:val="auto"/>
              </w:rPr>
            </w:pPr>
          </w:p>
        </w:tc>
      </w:tr>
      <w:tr>
        <w:trPr>
          <w:trHeight w:val="372"/>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Fiscal 2021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60"/>
              <w:spacing w:after="0" w:line="164" w:lineRule="exact"/>
              <w:rPr>
                <w:sz w:val="20"/>
                <w:szCs w:val="20"/>
                <w:color w:val="auto"/>
              </w:rPr>
            </w:pPr>
            <w:r>
              <w:rPr>
                <w:rFonts w:ascii="Calibri" w:cs="Calibri" w:eastAsia="Calibri" w:hAnsi="Calibri"/>
                <w:sz w:val="14"/>
                <w:szCs w:val="14"/>
                <w:b w:val="1"/>
                <w:bCs w:val="1"/>
                <w:color w:val="auto"/>
              </w:rPr>
              <w:t>First</w:t>
            </w:r>
          </w:p>
        </w:tc>
        <w:tc>
          <w:tcPr>
            <w:tcW w:w="320" w:type="dxa"/>
            <w:vAlign w:val="bottom"/>
          </w:tcPr>
          <w:p>
            <w:pPr>
              <w:spacing w:after="0"/>
              <w:rPr>
                <w:sz w:val="14"/>
                <w:szCs w:val="14"/>
                <w:color w:val="auto"/>
              </w:rPr>
            </w:pPr>
          </w:p>
        </w:tc>
        <w:tc>
          <w:tcPr>
            <w:tcW w:w="126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Second</w:t>
            </w:r>
          </w:p>
        </w:tc>
        <w:tc>
          <w:tcPr>
            <w:tcW w:w="200" w:type="dxa"/>
            <w:vAlign w:val="bottom"/>
          </w:tcPr>
          <w:p>
            <w:pPr>
              <w:spacing w:after="0"/>
              <w:rPr>
                <w:sz w:val="14"/>
                <w:szCs w:val="14"/>
                <w:color w:val="auto"/>
              </w:rPr>
            </w:pPr>
          </w:p>
        </w:tc>
        <w:tc>
          <w:tcPr>
            <w:tcW w:w="1260" w:type="dxa"/>
            <w:vAlign w:val="bottom"/>
            <w:gridSpan w:val="2"/>
          </w:tcPr>
          <w:p>
            <w:pPr>
              <w:ind w:left="320"/>
              <w:spacing w:after="0" w:line="164" w:lineRule="exact"/>
              <w:rPr>
                <w:sz w:val="20"/>
                <w:szCs w:val="20"/>
                <w:color w:val="auto"/>
              </w:rPr>
            </w:pPr>
            <w:r>
              <w:rPr>
                <w:rFonts w:ascii="Calibri" w:cs="Calibri" w:eastAsia="Calibri" w:hAnsi="Calibri"/>
                <w:sz w:val="14"/>
                <w:szCs w:val="14"/>
                <w:b w:val="1"/>
                <w:bCs w:val="1"/>
                <w:color w:val="auto"/>
              </w:rPr>
              <w:t>Third</w:t>
            </w:r>
          </w:p>
        </w:tc>
        <w:tc>
          <w:tcPr>
            <w:tcW w:w="340" w:type="dxa"/>
            <w:vAlign w:val="bottom"/>
          </w:tcPr>
          <w:p>
            <w:pPr>
              <w:spacing w:after="0"/>
              <w:rPr>
                <w:sz w:val="14"/>
                <w:szCs w:val="14"/>
                <w:color w:val="auto"/>
              </w:rPr>
            </w:pPr>
          </w:p>
        </w:tc>
        <w:tc>
          <w:tcPr>
            <w:tcW w:w="124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Fourth</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ind w:left="20"/>
              <w:spacing w:after="0"/>
              <w:rPr>
                <w:sz w:val="20"/>
                <w:szCs w:val="20"/>
                <w:color w:val="auto"/>
              </w:rPr>
            </w:pPr>
            <w:r>
              <w:rPr>
                <w:rFonts w:ascii="Calibri" w:cs="Calibri" w:eastAsia="Calibri" w:hAnsi="Calibri"/>
                <w:sz w:val="18"/>
                <w:szCs w:val="18"/>
                <w:color w:val="auto"/>
              </w:rPr>
              <w:t>Sales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143,172</w:t>
            </w:r>
          </w:p>
        </w:tc>
        <w:tc>
          <w:tcPr>
            <w:tcW w:w="120" w:type="dxa"/>
            <w:vAlign w:val="bottom"/>
          </w:tcPr>
          <w:p>
            <w:pPr>
              <w:spacing w:after="0"/>
              <w:rPr>
                <w:sz w:val="18"/>
                <w:szCs w:val="18"/>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147,801</w:t>
            </w: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142,927</w:t>
            </w:r>
          </w:p>
        </w:tc>
        <w:tc>
          <w:tcPr>
            <w:tcW w:w="10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162,971</w:t>
            </w:r>
          </w:p>
        </w:tc>
        <w:tc>
          <w:tcPr>
            <w:tcW w:w="8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596,871</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Gross proft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30,976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32,797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28,239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31,750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123,762</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15,038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16,221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18,875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67,884</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Operatng income</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15,938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16,576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10,489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12,875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55,878</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11,788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12,190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9,081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40,980</w:t>
            </w:r>
          </w:p>
        </w:tc>
        <w:tc>
          <w:tcPr>
            <w:tcW w:w="0" w:type="dxa"/>
            <w:vAlign w:val="bottom"/>
          </w:tcPr>
          <w:p>
            <w:pPr>
              <w:spacing w:after="0"/>
              <w:rPr>
                <w:sz w:val="1"/>
                <w:szCs w:val="1"/>
                <w:color w:val="auto"/>
              </w:rPr>
            </w:pPr>
          </w:p>
        </w:tc>
      </w:tr>
      <w:tr>
        <w:trPr>
          <w:trHeight w:val="21"/>
        </w:trPr>
        <w:tc>
          <w:tcPr>
            <w:tcW w:w="3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Basic earnings per share</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1.95</w:t>
            </w:r>
          </w:p>
        </w:tc>
        <w:tc>
          <w:tcPr>
            <w:tcW w:w="0" w:type="dxa"/>
            <w:vAlign w:val="bottom"/>
          </w:tcPr>
          <w:p>
            <w:pPr>
              <w:spacing w:after="0"/>
              <w:rPr>
                <w:sz w:val="1"/>
                <w:szCs w:val="1"/>
                <w:color w:val="auto"/>
              </w:rPr>
            </w:pPr>
          </w:p>
        </w:tc>
      </w:tr>
      <w:tr>
        <w:trPr>
          <w:trHeight w:val="215"/>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0.55</w:t>
            </w:r>
          </w:p>
        </w:tc>
        <w:tc>
          <w:tcPr>
            <w:tcW w:w="120" w:type="dxa"/>
            <w:vAlign w:val="bottom"/>
          </w:tcPr>
          <w:p>
            <w:pPr>
              <w:spacing w:after="0"/>
              <w:rPr>
                <w:sz w:val="18"/>
                <w:szCs w:val="18"/>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0.57</w:t>
            </w: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0.37</w:t>
            </w:r>
          </w:p>
        </w:tc>
        <w:tc>
          <w:tcPr>
            <w:tcW w:w="10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0.43</w:t>
            </w:r>
          </w:p>
        </w:tc>
        <w:tc>
          <w:tcPr>
            <w:tcW w:w="8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1.93</w:t>
            </w:r>
          </w:p>
        </w:tc>
        <w:tc>
          <w:tcPr>
            <w:tcW w:w="0" w:type="dxa"/>
            <w:vAlign w:val="bottom"/>
          </w:tcPr>
          <w:p>
            <w:pPr>
              <w:spacing w:after="0"/>
              <w:rPr>
                <w:sz w:val="1"/>
                <w:szCs w:val="1"/>
                <w:color w:val="auto"/>
              </w:rPr>
            </w:pPr>
          </w:p>
        </w:tc>
      </w:tr>
      <w:tr>
        <w:trPr>
          <w:trHeight w:val="440"/>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Fiscal 2020</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60"/>
              <w:spacing w:after="0" w:line="164" w:lineRule="exact"/>
              <w:rPr>
                <w:sz w:val="20"/>
                <w:szCs w:val="20"/>
                <w:color w:val="auto"/>
              </w:rPr>
            </w:pPr>
            <w:r>
              <w:rPr>
                <w:rFonts w:ascii="Calibri" w:cs="Calibri" w:eastAsia="Calibri" w:hAnsi="Calibri"/>
                <w:sz w:val="14"/>
                <w:szCs w:val="14"/>
                <w:b w:val="1"/>
                <w:bCs w:val="1"/>
                <w:color w:val="auto"/>
              </w:rPr>
              <w:t>First</w:t>
            </w:r>
          </w:p>
        </w:tc>
        <w:tc>
          <w:tcPr>
            <w:tcW w:w="320" w:type="dxa"/>
            <w:vAlign w:val="bottom"/>
          </w:tcPr>
          <w:p>
            <w:pPr>
              <w:spacing w:after="0"/>
              <w:rPr>
                <w:sz w:val="14"/>
                <w:szCs w:val="14"/>
                <w:color w:val="auto"/>
              </w:rPr>
            </w:pPr>
          </w:p>
        </w:tc>
        <w:tc>
          <w:tcPr>
            <w:tcW w:w="126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Second</w:t>
            </w:r>
          </w:p>
        </w:tc>
        <w:tc>
          <w:tcPr>
            <w:tcW w:w="200" w:type="dxa"/>
            <w:vAlign w:val="bottom"/>
          </w:tcPr>
          <w:p>
            <w:pPr>
              <w:spacing w:after="0"/>
              <w:rPr>
                <w:sz w:val="14"/>
                <w:szCs w:val="14"/>
                <w:color w:val="auto"/>
              </w:rPr>
            </w:pPr>
          </w:p>
        </w:tc>
        <w:tc>
          <w:tcPr>
            <w:tcW w:w="1260" w:type="dxa"/>
            <w:vAlign w:val="bottom"/>
            <w:gridSpan w:val="2"/>
          </w:tcPr>
          <w:p>
            <w:pPr>
              <w:ind w:left="320"/>
              <w:spacing w:after="0" w:line="164" w:lineRule="exact"/>
              <w:rPr>
                <w:sz w:val="20"/>
                <w:szCs w:val="20"/>
                <w:color w:val="auto"/>
              </w:rPr>
            </w:pPr>
            <w:r>
              <w:rPr>
                <w:rFonts w:ascii="Calibri" w:cs="Calibri" w:eastAsia="Calibri" w:hAnsi="Calibri"/>
                <w:sz w:val="14"/>
                <w:szCs w:val="14"/>
                <w:b w:val="1"/>
                <w:bCs w:val="1"/>
                <w:color w:val="auto"/>
              </w:rPr>
              <w:t>Third</w:t>
            </w:r>
          </w:p>
        </w:tc>
        <w:tc>
          <w:tcPr>
            <w:tcW w:w="340" w:type="dxa"/>
            <w:vAlign w:val="bottom"/>
          </w:tcPr>
          <w:p>
            <w:pPr>
              <w:spacing w:after="0"/>
              <w:rPr>
                <w:sz w:val="14"/>
                <w:szCs w:val="14"/>
                <w:color w:val="auto"/>
              </w:rPr>
            </w:pPr>
          </w:p>
        </w:tc>
        <w:tc>
          <w:tcPr>
            <w:tcW w:w="124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Fourth</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147,336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140,043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120,406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132,413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540,198</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Gross proft</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28,797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27,994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21,478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22,648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100,917</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 expenses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14,836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14,817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14,702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14,891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59,246</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income</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13,961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7,757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41,671</w:t>
            </w: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9,807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4,763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28,367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3" w:lineRule="exact"/>
              <w:rPr>
                <w:sz w:val="20"/>
                <w:szCs w:val="20"/>
                <w:color w:val="auto"/>
              </w:rPr>
            </w:pPr>
            <w:r>
              <w:rPr>
                <w:rFonts w:ascii="Calibri" w:cs="Calibri" w:eastAsia="Calibri" w:hAnsi="Calibri"/>
                <w:sz w:val="18"/>
                <w:szCs w:val="18"/>
                <w:color w:val="auto"/>
              </w:rPr>
              <w:t>0.46</w:t>
            </w:r>
          </w:p>
        </w:tc>
        <w:tc>
          <w:tcPr>
            <w:tcW w:w="12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0.44</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0.22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0.23</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03" w:lineRule="exact"/>
              <w:rPr>
                <w:sz w:val="20"/>
                <w:szCs w:val="20"/>
                <w:color w:val="auto"/>
              </w:rPr>
            </w:pPr>
            <w:r>
              <w:rPr>
                <w:rFonts w:ascii="Calibri" w:cs="Calibri" w:eastAsia="Calibri" w:hAnsi="Calibri"/>
                <w:sz w:val="18"/>
                <w:szCs w:val="18"/>
                <w:color w:val="auto"/>
              </w:rPr>
              <w:t>1.34</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0.22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color w:val="auto"/>
        </w:rPr>
        <w:t>Earnings per share may not equal the face of the Consolidated Statements of Income due to rounding.</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provided by operatng actvites in fscal 2022 was $42.8 million compared to $43.8 million in fscal 2021. The decrease in cash provided by operatng actvites in fscal 2022 as compared to fscal 2021 was driven by higher inventory levels and increases in customer receivables resultng from higher sales, mostly ofset by an increase in net income and accounts payable. The inventory increase was driven by increased raw material costs as well as a conscious management decision to increase inventory levels due to increased customer demand and supply chain issues. Due to the nature of our operatons, which includes purchases of large quanttes of bulk chemicals, the tming of purchases can result in signifcant changes in working capital and the resultng operatng cash fow. Historically, our cash requirements for working capital increase during the period from March through November as caustc soda inventory levels increase as most of our barges are received during this period.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1" w:name="page22"/>
    <w:bookmarkEnd w:id="21"/>
    <w:p>
      <w:pPr>
        <w:jc w:val="both"/>
        <w:spacing w:after="0" w:line="235" w:lineRule="auto"/>
        <w:rPr>
          <w:sz w:val="20"/>
          <w:szCs w:val="20"/>
          <w:color w:val="auto"/>
        </w:rPr>
      </w:pPr>
      <w:r>
        <w:rPr>
          <w:rFonts w:ascii="Calibri" w:cs="Calibri" w:eastAsia="Calibri" w:hAnsi="Calibri"/>
          <w:sz w:val="18"/>
          <w:szCs w:val="18"/>
          <w:color w:val="auto"/>
        </w:rPr>
        <w:t>Cash used in investng actvites was $49.8 million in fscal 2022 compared to $71.4 million in fscal 2021. Capital expenditures were $28.5 million in fscal 2022 and $20.8 million in fscal 2021. Total cash used in investng actvites in fscal 2022 included an aggregate of $21.5 million for Water Treatment group acquisitons compared to $51.0 million in Water Treatment group acquisiton spending in fscal 2021. Capital expenditures in fscal 2022 included vehicles and trucks, facility improvements, and pharmaceutcal ingredient manufacturing capabilites, along with other new and replacement equipment. Capital expenditures in fscal 2021 included pharmaceutcal ingredient manufacturing capabilites, vehicles and trucks, and the purchase of a previously leased Water Treatment branch facility, along with other new and replacement equipment.</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provided by fnancing actvites was $7.4 million in fscal 2022, as compared to $26.4 million in fscal 2021. Cash provided by fnancing actvites included net debt borrowings of $27.0 million in fscal 2022, compared to net debt borrowings of $39.0 million in fscal 2021, which was used primarily to fund our acquisitons in both fscal years. We paid out cash dividends of $11.1 million in fscal 2022 and $10.0 million in fscal 2021. In fscal 2022, we used $8.5 million to repurchase shares under our board-authorized share repurchase program, and in fscal 2021, we used $4.1 million to repurchase shares under the program.</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cash balance was $3.5 million at April 3, 2022, an increase of $0.5 million as compared with March 28, 2021. Cash fows generated by operatons and fnancing actvites during fscal 2022 were ofset by the cash expended for acquisitons in fscal 2022, capital expenditures and dividend payments.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were party to an amended and restated credit agreement (the “Prior Credit Agreement”) with U.S. Bank as Sole Lead Arranger and Sole Book Runner, and other lenders from tme to tme party thereto (collectvely, the “Lenders”), whereby U.S. Bank was also serving as Administratve Agent. The Prior Credit Agreement provided us with senior secured revolving credit facilites (the “Prior Revolving Loan Facility”) totaling $150.0 million. The Prior Revolving Loan Facility included a $5.0 million leter of credit subfacility and $15.0 million swingline subfacility. The Prior Revolving Loan Facility was scheduled to terminate on November 30, 2023, and was secured by substantally all of our personal property assets and those of our subsidiaries.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March 31, 2022, we entered into a second amended and restated credit agreement (the “Credit Agreement”) with U.S. Bank Natonal Associaton (“U.S. Bank”) as Sole Lead Arranger and Sole Book Runner, and other lenders from tme to tme party thereto (collectvely, the “Lenders”), whereby U.S. Bank is also serving as Administratve Agent. The Credit Agreement refnanced the revolving loan under our previous credit agreement with U.S. Bank and provides us with senior secured revolving credit facilites (the “Revolving Loan Facility”) totaling $250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used $126.0 million of the proceeds from the Revolving Loan Facility to refnance the obligatons under the previous credit facility. We may use the remaining amount of the Revolving Loan Facility for working capital, capital expenditures, share repurchases, restricted payments and acquisitons permited under the Credit Agreement, and other general corporate purposes.</w:t>
      </w:r>
    </w:p>
    <w:p>
      <w:pPr>
        <w:spacing w:after="0" w:line="24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Borrowings under the Revolving Loan Facility bear interest at a rate per annum equal to one of the following, plus, in both cases, an applicable margin based upon our leverage rato: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Efectve Rate plus 0.5%, or (3) one-month Term SOFR for U.S. dollars plus 1.0%. The Term SOFR margin is between 0.85% and 1.35%, depending on our leverage rato. The base rate margin is between 0.00% and 0.35%, depending on our leverage rato. At April 3, 2022, the efectve interest rate on our borrowings was 1.2%.</w:t>
      </w: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Debt issuance costs paid to the Lenders are being amortzed as interest expense over the term of the Credit Agreement. As of April 3, 2022, the unamortzed balance of these costs was $0.4 million, and is refected as a reducton of debt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We were in compliance with all covenants of the Credit Agreement as of April 3, 2022 and expect to remain in compliance with all covenants for the next 12 months.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growth strategy, we have acquired businesses and may pursue acquisitons or other strategic relatonships in the future that we believe will complement or expand our existng businesses or increase our customer base. We believe we could borrow additonal funds under our current or new credit facilites or sell equity for strategic reasons or to further strengthen our fnancial positon.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 and Commercial Commitments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aggregate informaton about our contractual payment obligatons and the periods in which payments are due:</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Payments Due by Fiscal Period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0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040" w:type="dxa"/>
            <w:vAlign w:val="bottom"/>
            <w:vMerge w:val="restart"/>
          </w:tcPr>
          <w:p>
            <w:pPr>
              <w:spacing w:after="0"/>
              <w:rPr>
                <w:sz w:val="20"/>
                <w:szCs w:val="20"/>
                <w:color w:val="auto"/>
              </w:rPr>
            </w:pPr>
            <w:r>
              <w:rPr>
                <w:rFonts w:ascii="Calibri" w:cs="Calibri" w:eastAsia="Calibri" w:hAnsi="Calibri"/>
                <w:sz w:val="14"/>
                <w:szCs w:val="14"/>
                <w:b w:val="1"/>
                <w:bCs w:val="1"/>
                <w:color w:val="auto"/>
              </w:rPr>
              <w:t>Contractual Obligaton</w:t>
            </w:r>
          </w:p>
        </w:tc>
        <w:tc>
          <w:tcPr>
            <w:tcW w:w="240" w:type="dxa"/>
            <w:vAlign w:val="bottom"/>
          </w:tcPr>
          <w:p>
            <w:pPr>
              <w:spacing w:after="0"/>
              <w:rPr>
                <w:sz w:val="10"/>
                <w:szCs w:val="10"/>
                <w:color w:val="auto"/>
              </w:rPr>
            </w:pPr>
          </w:p>
        </w:tc>
        <w:tc>
          <w:tcPr>
            <w:tcW w:w="84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0"/>
                <w:szCs w:val="10"/>
                <w:color w:val="auto"/>
              </w:rPr>
            </w:pPr>
          </w:p>
        </w:tc>
        <w:tc>
          <w:tcPr>
            <w:tcW w:w="84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0"/>
                <w:szCs w:val="10"/>
                <w:color w:val="auto"/>
              </w:rPr>
            </w:pPr>
          </w:p>
        </w:tc>
        <w:tc>
          <w:tcPr>
            <w:tcW w:w="840" w:type="dxa"/>
            <w:vAlign w:val="bottom"/>
            <w:vMerge w:val="restart"/>
          </w:tcPr>
          <w:p>
            <w:pPr>
              <w:jc w:val="right"/>
              <w:ind w:right="316"/>
              <w:spacing w:after="0"/>
              <w:rPr>
                <w:sz w:val="20"/>
                <w:szCs w:val="20"/>
                <w:color w:val="auto"/>
              </w:rPr>
            </w:pPr>
            <w:r>
              <w:rPr>
                <w:rFonts w:ascii="Calibri" w:cs="Calibri" w:eastAsia="Calibri" w:hAnsi="Calibri"/>
                <w:sz w:val="14"/>
                <w:szCs w:val="14"/>
                <w:b w:val="1"/>
                <w:bCs w:val="1"/>
                <w:color w:val="auto"/>
              </w:rPr>
              <w:t>2025</w:t>
            </w:r>
          </w:p>
        </w:tc>
        <w:tc>
          <w:tcPr>
            <w:tcW w:w="200" w:type="dxa"/>
            <w:vAlign w:val="bottom"/>
          </w:tcPr>
          <w:p>
            <w:pPr>
              <w:spacing w:after="0"/>
              <w:rPr>
                <w:sz w:val="10"/>
                <w:szCs w:val="10"/>
                <w:color w:val="auto"/>
              </w:rPr>
            </w:pPr>
          </w:p>
        </w:tc>
        <w:tc>
          <w:tcPr>
            <w:tcW w:w="960" w:type="dxa"/>
            <w:vAlign w:val="bottom"/>
            <w:vMerge w:val="restart"/>
          </w:tcPr>
          <w:p>
            <w:pPr>
              <w:jc w:val="right"/>
              <w:ind w:right="316"/>
              <w:spacing w:after="0"/>
              <w:rPr>
                <w:sz w:val="20"/>
                <w:szCs w:val="20"/>
                <w:color w:val="auto"/>
              </w:rPr>
            </w:pPr>
            <w:r>
              <w:rPr>
                <w:rFonts w:ascii="Calibri" w:cs="Calibri" w:eastAsia="Calibri" w:hAnsi="Calibri"/>
                <w:sz w:val="14"/>
                <w:szCs w:val="14"/>
                <w:b w:val="1"/>
                <w:bCs w:val="1"/>
                <w:color w:val="auto"/>
              </w:rPr>
              <w:t>2026</w:t>
            </w:r>
          </w:p>
        </w:tc>
        <w:tc>
          <w:tcPr>
            <w:tcW w:w="420" w:type="dxa"/>
            <w:vAlign w:val="bottom"/>
          </w:tcPr>
          <w:p>
            <w:pPr>
              <w:spacing w:after="0"/>
              <w:rPr>
                <w:sz w:val="10"/>
                <w:szCs w:val="10"/>
                <w:color w:val="auto"/>
              </w:rPr>
            </w:pPr>
          </w:p>
        </w:tc>
        <w:tc>
          <w:tcPr>
            <w:tcW w:w="74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2027</w:t>
            </w:r>
          </w:p>
        </w:tc>
        <w:tc>
          <w:tcPr>
            <w:tcW w:w="240" w:type="dxa"/>
            <w:vAlign w:val="bottom"/>
          </w:tcPr>
          <w:p>
            <w:pPr>
              <w:spacing w:after="0"/>
              <w:rPr>
                <w:sz w:val="10"/>
                <w:szCs w:val="10"/>
                <w:color w:val="auto"/>
              </w:rPr>
            </w:pPr>
          </w:p>
        </w:tc>
        <w:tc>
          <w:tcPr>
            <w:tcW w:w="940" w:type="dxa"/>
            <w:vAlign w:val="bottom"/>
          </w:tcPr>
          <w:p>
            <w:pPr>
              <w:jc w:val="right"/>
              <w:ind w:right="158"/>
              <w:spacing w:after="0" w:line="115" w:lineRule="exact"/>
              <w:rPr>
                <w:sz w:val="20"/>
                <w:szCs w:val="20"/>
                <w:color w:val="auto"/>
              </w:rPr>
            </w:pPr>
            <w:r>
              <w:rPr>
                <w:rFonts w:ascii="Calibri" w:cs="Calibri" w:eastAsia="Calibri" w:hAnsi="Calibri"/>
                <w:sz w:val="12"/>
                <w:szCs w:val="12"/>
                <w:b w:val="1"/>
                <w:bCs w:val="1"/>
                <w:color w:val="auto"/>
              </w:rPr>
              <w:t>More than</w:t>
            </w:r>
          </w:p>
        </w:tc>
        <w:tc>
          <w:tcPr>
            <w:tcW w:w="340" w:type="dxa"/>
            <w:vAlign w:val="bottom"/>
          </w:tcPr>
          <w:p>
            <w:pPr>
              <w:spacing w:after="0"/>
              <w:rPr>
                <w:sz w:val="10"/>
                <w:szCs w:val="10"/>
                <w:color w:val="auto"/>
              </w:rPr>
            </w:pPr>
          </w:p>
        </w:tc>
        <w:tc>
          <w:tcPr>
            <w:tcW w:w="84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58"/>
              <w:spacing w:after="0"/>
              <w:rPr>
                <w:sz w:val="20"/>
                <w:szCs w:val="20"/>
                <w:color w:val="auto"/>
              </w:rPr>
            </w:pPr>
            <w:r>
              <w:rPr>
                <w:rFonts w:ascii="Calibri" w:cs="Calibri" w:eastAsia="Calibri" w:hAnsi="Calibri"/>
                <w:sz w:val="14"/>
                <w:szCs w:val="14"/>
                <w:b w:val="1"/>
                <w:bCs w:val="1"/>
                <w:color w:val="auto"/>
              </w:rPr>
              <w:t>5 Years</w:t>
            </w: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0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 thousands)</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r>
              <w:rPr>
                <w:rFonts w:ascii="Calibri" w:cs="Calibri" w:eastAsia="Calibri" w:hAnsi="Calibri"/>
                <w:sz w:val="18"/>
                <w:szCs w:val="18"/>
                <w:color w:val="auto"/>
              </w:rPr>
              <w:t>Senior secured revolver (1)</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42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8"/>
              <w:spacing w:after="0"/>
              <w:rPr>
                <w:sz w:val="20"/>
                <w:szCs w:val="20"/>
                <w:color w:val="auto"/>
              </w:rPr>
            </w:pPr>
            <w:r>
              <w:rPr>
                <w:rFonts w:ascii="Calibri" w:cs="Calibri" w:eastAsia="Calibri" w:hAnsi="Calibri"/>
                <w:sz w:val="18"/>
                <w:szCs w:val="18"/>
                <w:color w:val="auto"/>
              </w:rPr>
              <w:t>126,000</w:t>
            </w:r>
          </w:p>
        </w:tc>
        <w:tc>
          <w:tcPr>
            <w:tcW w:w="34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126,000</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Calibri" w:cs="Calibri" w:eastAsia="Calibri" w:hAnsi="Calibri"/>
                <w:sz w:val="18"/>
                <w:szCs w:val="18"/>
                <w:color w:val="auto"/>
              </w:rPr>
              <w:t>Interest payments (2)</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1,833</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1,833</w:t>
            </w:r>
          </w:p>
        </w:tc>
        <w:tc>
          <w:tcPr>
            <w:tcW w:w="3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6"/>
              <w:spacing w:after="0"/>
              <w:rPr>
                <w:sz w:val="20"/>
                <w:szCs w:val="20"/>
                <w:color w:val="auto"/>
              </w:rPr>
            </w:pPr>
            <w:r>
              <w:rPr>
                <w:rFonts w:ascii="Calibri" w:cs="Calibri" w:eastAsia="Calibri" w:hAnsi="Calibri"/>
                <w:sz w:val="18"/>
                <w:szCs w:val="18"/>
                <w:color w:val="auto"/>
              </w:rPr>
              <w:t>1,833</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1,833</w:t>
            </w:r>
          </w:p>
        </w:tc>
        <w:tc>
          <w:tcPr>
            <w:tcW w:w="42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1,833</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8"/>
              <w:spacing w:after="0"/>
              <w:rPr>
                <w:sz w:val="20"/>
                <w:szCs w:val="20"/>
                <w:color w:val="auto"/>
              </w:rPr>
            </w:pPr>
            <w:r>
              <w:rPr>
                <w:rFonts w:ascii="Calibri" w:cs="Calibri" w:eastAsia="Calibri" w:hAnsi="Calibri"/>
                <w:sz w:val="18"/>
                <w:szCs w:val="18"/>
                <w:color w:val="auto"/>
              </w:rPr>
              <w:t>152</w:t>
            </w:r>
          </w:p>
        </w:tc>
        <w:tc>
          <w:tcPr>
            <w:tcW w:w="34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9,317</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Calibri" w:cs="Calibri" w:eastAsia="Calibri" w:hAnsi="Calibri"/>
                <w:sz w:val="18"/>
                <w:szCs w:val="18"/>
                <w:color w:val="auto"/>
              </w:rPr>
              <w:t>Operatng lease obligatons (3)</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1,889</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1,515</w:t>
            </w:r>
          </w:p>
        </w:tc>
        <w:tc>
          <w:tcPr>
            <w:tcW w:w="3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6"/>
              <w:spacing w:after="0"/>
              <w:rPr>
                <w:sz w:val="20"/>
                <w:szCs w:val="20"/>
                <w:color w:val="auto"/>
              </w:rPr>
            </w:pPr>
            <w:r>
              <w:rPr>
                <w:rFonts w:ascii="Calibri" w:cs="Calibri" w:eastAsia="Calibri" w:hAnsi="Calibri"/>
                <w:sz w:val="18"/>
                <w:szCs w:val="18"/>
                <w:color w:val="auto"/>
              </w:rPr>
              <w:t>1,450</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1,388</w:t>
            </w:r>
          </w:p>
        </w:tc>
        <w:tc>
          <w:tcPr>
            <w:tcW w:w="42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1,359</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8"/>
              <w:spacing w:after="0"/>
              <w:rPr>
                <w:sz w:val="20"/>
                <w:szCs w:val="20"/>
                <w:color w:val="auto"/>
              </w:rPr>
            </w:pPr>
            <w:r>
              <w:rPr>
                <w:rFonts w:ascii="Calibri" w:cs="Calibri" w:eastAsia="Calibri" w:hAnsi="Calibri"/>
                <w:sz w:val="18"/>
                <w:szCs w:val="18"/>
                <w:color w:val="auto"/>
              </w:rPr>
              <w:t>5,171</w:t>
            </w:r>
          </w:p>
        </w:tc>
        <w:tc>
          <w:tcPr>
            <w:tcW w:w="34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12,772</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Calibri" w:cs="Calibri" w:eastAsia="Calibri" w:hAnsi="Calibri"/>
                <w:sz w:val="18"/>
                <w:szCs w:val="18"/>
                <w:color w:val="auto"/>
              </w:rPr>
              <w:t>Pension withdrawal liability (4)</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467</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467</w:t>
            </w:r>
          </w:p>
        </w:tc>
        <w:tc>
          <w:tcPr>
            <w:tcW w:w="3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6"/>
              <w:spacing w:after="0"/>
              <w:rPr>
                <w:sz w:val="20"/>
                <w:szCs w:val="20"/>
                <w:color w:val="auto"/>
              </w:rPr>
            </w:pPr>
            <w:r>
              <w:rPr>
                <w:rFonts w:ascii="Calibri" w:cs="Calibri" w:eastAsia="Calibri" w:hAnsi="Calibri"/>
                <w:sz w:val="18"/>
                <w:szCs w:val="18"/>
                <w:color w:val="auto"/>
              </w:rPr>
              <w:t>467</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467</w:t>
            </w:r>
          </w:p>
        </w:tc>
        <w:tc>
          <w:tcPr>
            <w:tcW w:w="42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467</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8"/>
              <w:spacing w:after="0"/>
              <w:rPr>
                <w:sz w:val="20"/>
                <w:szCs w:val="20"/>
                <w:color w:val="auto"/>
              </w:rPr>
            </w:pPr>
            <w:r>
              <w:rPr>
                <w:rFonts w:ascii="Calibri" w:cs="Calibri" w:eastAsia="Calibri" w:hAnsi="Calibri"/>
                <w:sz w:val="18"/>
                <w:szCs w:val="18"/>
                <w:color w:val="auto"/>
              </w:rPr>
              <w:t>3,037</w:t>
            </w:r>
          </w:p>
        </w:tc>
        <w:tc>
          <w:tcPr>
            <w:tcW w:w="34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5,372</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40" w:right="80" w:hanging="332"/>
        <w:spacing w:after="0" w:line="235" w:lineRule="auto"/>
        <w:tabs>
          <w:tab w:leader="none" w:pos="37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Represents balance outstanding as of April 3, 2022, and assumes such amount remains outstanding untl its maturity date, as periodic payments are not required under the terms of our Credit Agreement. However, it is our intenton to pay down our debt with available excess cash fow. See Note 9 of our consolidated Financial Statements for further informaton.</w:t>
      </w:r>
    </w:p>
    <w:p>
      <w:pPr>
        <w:spacing w:after="0" w:line="2" w:lineRule="exact"/>
        <w:rPr>
          <w:rFonts w:ascii="Calibri" w:cs="Calibri" w:eastAsia="Calibri" w:hAnsi="Calibri"/>
          <w:sz w:val="18"/>
          <w:szCs w:val="18"/>
          <w:color w:val="auto"/>
        </w:rPr>
      </w:pPr>
    </w:p>
    <w:p>
      <w:pPr>
        <w:ind w:left="340" w:right="80" w:hanging="332"/>
        <w:spacing w:after="0" w:line="235" w:lineRule="auto"/>
        <w:tabs>
          <w:tab w:leader="none" w:pos="37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Represents interest payments and commitment fees payable on outstanding balances under our revolver, and assumes interest rates remain unchanged from the rate as of April 3, 2022.</w:t>
      </w:r>
    </w:p>
    <w:p>
      <w:pPr>
        <w:ind w:left="360" w:hanging="352"/>
        <w:spacing w:after="0" w:line="235" w:lineRule="auto"/>
        <w:tabs>
          <w:tab w:leader="none" w:pos="3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As reported under ASC Topic 842</w:t>
      </w:r>
    </w:p>
    <w:p>
      <w:pPr>
        <w:ind w:left="360" w:hanging="352"/>
        <w:spacing w:after="0" w:line="235" w:lineRule="auto"/>
        <w:tabs>
          <w:tab w:leader="none" w:pos="3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This relates to our withdrawal from a multemployer pension plan. Payments on this obligaton will contnue through 2034.</w:t>
      </w: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Estmates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preparing the fnancial statements, we follow U.S. generally accepted accountng principles (“GAAP”). The preparaton of these fnancial statements requires us to make estmates and judgments that afect the reported amounts of assets, liabilites, sales and expenses, and related disclosure of contngent assets and liabilites. We re-evaluate our estmates on an on-going basis. Our estmates are based on historical experience and on various other assumptons that are believed to be reasonable under the circumstances. Actual results may difer from these estmates under diferent assumptons and conditons. We have determined we have no critcal accountng estmates material to our consolidated fnancial positon, results of operatons or cash fow.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color w:val="auto"/>
        </w:rPr>
        <w:t xml:space="preserve">ITEM 7A. </w:t>
      </w:r>
      <w:r>
        <w:rPr>
          <w:rFonts w:ascii="Calibri" w:cs="Calibri" w:eastAsia="Calibri" w:hAnsi="Calibri"/>
          <w:sz w:val="18"/>
          <w:szCs w:val="18"/>
          <w:b w:val="1"/>
          <w:bCs w:val="1"/>
          <w:i w:val="1"/>
          <w:iCs w:val="1"/>
          <w:color w:val="auto"/>
        </w:rPr>
        <w:t>QUANTITATIVE AND QUALITATIVE DISCLOSURE ABOUT MARKET RISK</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the risk inherent in the cyclical nature of commodity chemical prices. However, we do not currently purchase forward contracts or otherwise engage in hedging actvites with respect to the purchase of commodity chemicals. We atempt to pass changes in the cost of our materials on to our customers; however, there are no assurances that we will be able to pass on the increases in the future.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exposed to market risks related to interest rates. Our exposure to changes in interest rates is limited to borrowings under our credit facility. A 25-basis point change in interest rates on the variable-rate porton of debt not covered by the interest rate swap would potentally increase or decrease annual interest expense by approximately $0.3 million. Other types of market risk, such as foreign currency risk, do not arise in the normal course of our business actvites.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8940" w:type="dxa"/>
            <w:vAlign w:val="bottom"/>
            <w:gridSpan w:val="10"/>
          </w:tcPr>
          <w:p>
            <w:pPr>
              <w:spacing w:after="0"/>
              <w:rPr>
                <w:sz w:val="20"/>
                <w:szCs w:val="20"/>
                <w:color w:val="auto"/>
              </w:rPr>
            </w:pPr>
            <w:r>
              <w:rPr>
                <w:rFonts w:ascii="Calibri" w:cs="Calibri" w:eastAsia="Calibri" w:hAnsi="Calibri"/>
                <w:sz w:val="18"/>
                <w:szCs w:val="18"/>
                <w:b w:val="1"/>
                <w:bCs w:val="1"/>
                <w:color w:val="auto"/>
              </w:rPr>
              <w:t xml:space="preserve">ITEM 8. </w:t>
            </w:r>
            <w:r>
              <w:rPr>
                <w:rFonts w:ascii="Calibri" w:cs="Calibri" w:eastAsia="Calibri" w:hAnsi="Calibri"/>
                <w:sz w:val="18"/>
                <w:szCs w:val="18"/>
                <w:b w:val="1"/>
                <w:bCs w:val="1"/>
                <w:i w:val="1"/>
                <w:iCs w:val="1"/>
                <w:color w:val="auto"/>
              </w:rPr>
              <w:t>FINANCIAL STATEMENTS AND SUPPLEMENTARY DATA</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gridSpan w:val="3"/>
          </w:tcPr>
          <w:p>
            <w:pPr>
              <w:jc w:val="center"/>
              <w:ind w:right="1400"/>
              <w:spacing w:after="0"/>
              <w:rPr>
                <w:sz w:val="20"/>
                <w:szCs w:val="20"/>
                <w:color w:val="auto"/>
              </w:rPr>
            </w:pPr>
            <w:r>
              <w:rPr>
                <w:rFonts w:ascii="Calibri" w:cs="Calibri" w:eastAsia="Calibri" w:hAnsi="Calibri"/>
                <w:sz w:val="18"/>
                <w:szCs w:val="18"/>
                <w:b w:val="1"/>
                <w:bCs w:val="1"/>
                <w:color w:val="auto"/>
                <w:w w:val="96"/>
              </w:rPr>
              <w:t>Index to Consolidated Financial Statements</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8920" w:type="dxa"/>
            <w:vAlign w:val="bottom"/>
            <w:gridSpan w:val="9"/>
          </w:tcPr>
          <w:p>
            <w:pPr>
              <w:spacing w:after="0" w:line="199" w:lineRule="exact"/>
              <w:rPr>
                <w:sz w:val="20"/>
                <w:szCs w:val="20"/>
                <w:color w:val="auto"/>
              </w:rPr>
            </w:pPr>
            <w:r>
              <w:rPr>
                <w:rFonts w:ascii="Calibri" w:cs="Calibri" w:eastAsia="Calibri" w:hAnsi="Calibri"/>
                <w:sz w:val="18"/>
                <w:szCs w:val="18"/>
                <w:color w:val="0000FF"/>
              </w:rPr>
              <w:t xml:space="preserve">Report of Independent Registered Public Accountng Firm </w:t>
            </w:r>
            <w:r>
              <w:rPr>
                <w:rFonts w:ascii="Calibri" w:cs="Calibri" w:eastAsia="Calibri" w:hAnsi="Calibri"/>
                <w:sz w:val="18"/>
                <w:szCs w:val="18"/>
                <w:color w:val="3051F2"/>
              </w:rPr>
              <w:t>(PCAOB ID: 248)</w:t>
            </w:r>
          </w:p>
        </w:tc>
        <w:tc>
          <w:tcPr>
            <w:tcW w:w="2300" w:type="dxa"/>
            <w:vAlign w:val="bottom"/>
            <w:gridSpan w:val="3"/>
          </w:tcPr>
          <w:p>
            <w:pPr>
              <w:jc w:val="right"/>
              <w:ind w:right="380"/>
              <w:spacing w:after="0" w:line="199" w:lineRule="exact"/>
              <w:rPr>
                <w:sz w:val="20"/>
                <w:szCs w:val="20"/>
                <w:color w:val="auto"/>
              </w:rPr>
            </w:pPr>
            <w:r>
              <w:rPr>
                <w:rFonts w:ascii="Calibri" w:cs="Calibri" w:eastAsia="Calibri" w:hAnsi="Calibri"/>
                <w:sz w:val="18"/>
                <w:szCs w:val="18"/>
                <w:color w:val="0000FF"/>
              </w:rPr>
              <w:t>23</w:t>
            </w: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3051F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920" w:type="dxa"/>
            <w:vAlign w:val="bottom"/>
            <w:gridSpan w:val="9"/>
          </w:tcPr>
          <w:p>
            <w:pPr>
              <w:spacing w:after="0"/>
              <w:rPr>
                <w:sz w:val="20"/>
                <w:szCs w:val="20"/>
                <w:color w:val="auto"/>
              </w:rPr>
            </w:pPr>
            <w:r>
              <w:rPr>
                <w:rFonts w:ascii="Calibri" w:cs="Calibri" w:eastAsia="Calibri" w:hAnsi="Calibri"/>
                <w:sz w:val="18"/>
                <w:szCs w:val="18"/>
                <w:color w:val="0000FF"/>
              </w:rPr>
              <w:t xml:space="preserve">Report of Independent Registered Public Accountng Firm </w:t>
            </w:r>
            <w:r>
              <w:rPr>
                <w:rFonts w:ascii="Calibri" w:cs="Calibri" w:eastAsia="Calibri" w:hAnsi="Calibri"/>
                <w:sz w:val="18"/>
                <w:szCs w:val="18"/>
                <w:color w:val="3051F2"/>
              </w:rPr>
              <w:t>(PCAOB ID: 185)</w:t>
            </w: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25</w:t>
            </w: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3051F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gridSpan w:val="7"/>
          </w:tcPr>
          <w:p>
            <w:pPr>
              <w:spacing w:after="0"/>
              <w:rPr>
                <w:sz w:val="20"/>
                <w:szCs w:val="20"/>
                <w:color w:val="auto"/>
              </w:rPr>
            </w:pPr>
            <w:r>
              <w:rPr>
                <w:rFonts w:ascii="Calibri" w:cs="Calibri" w:eastAsia="Calibri" w:hAnsi="Calibri"/>
                <w:sz w:val="18"/>
                <w:szCs w:val="18"/>
                <w:color w:val="0000FF"/>
              </w:rPr>
              <w:t>Consolidated Balance Sheets</w:t>
            </w:r>
          </w:p>
        </w:tc>
        <w:tc>
          <w:tcPr>
            <w:tcW w:w="11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26</w:t>
            </w: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920" w:type="dxa"/>
            <w:vAlign w:val="bottom"/>
            <w:gridSpan w:val="9"/>
          </w:tcPr>
          <w:p>
            <w:pPr>
              <w:spacing w:after="0"/>
              <w:rPr>
                <w:sz w:val="20"/>
                <w:szCs w:val="20"/>
                <w:color w:val="auto"/>
              </w:rPr>
            </w:pPr>
            <w:r>
              <w:rPr>
                <w:rFonts w:ascii="Calibri" w:cs="Calibri" w:eastAsia="Calibri" w:hAnsi="Calibri"/>
                <w:sz w:val="18"/>
                <w:szCs w:val="18"/>
                <w:color w:val="0000FF"/>
              </w:rPr>
              <w:t>Consolidated Statements of Income</w:t>
            </w: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27</w:t>
            </w:r>
          </w:p>
        </w:tc>
      </w:tr>
      <w:tr>
        <w:trPr>
          <w:trHeight w:val="20"/>
        </w:trPr>
        <w:tc>
          <w:tcPr>
            <w:tcW w:w="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gridSpan w:val="6"/>
          </w:tcPr>
          <w:p>
            <w:pPr>
              <w:spacing w:after="0"/>
              <w:rPr>
                <w:sz w:val="20"/>
                <w:szCs w:val="20"/>
                <w:color w:val="auto"/>
              </w:rPr>
            </w:pPr>
            <w:r>
              <w:rPr>
                <w:rFonts w:ascii="Calibri" w:cs="Calibri" w:eastAsia="Calibri" w:hAnsi="Calibri"/>
                <w:sz w:val="18"/>
                <w:szCs w:val="18"/>
                <w:color w:val="0000FF"/>
                <w:w w:val="96"/>
              </w:rPr>
              <w:t>Consolidated Statements of Comprehensive Income</w:t>
            </w:r>
          </w:p>
        </w:tc>
        <w:tc>
          <w:tcPr>
            <w:tcW w:w="5220" w:type="dxa"/>
            <w:vAlign w:val="bottom"/>
            <w:gridSpan w:val="3"/>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28</w:t>
            </w: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gridSpan w:val="5"/>
          </w:tcPr>
          <w:p>
            <w:pPr>
              <w:spacing w:after="0"/>
              <w:rPr>
                <w:sz w:val="20"/>
                <w:szCs w:val="20"/>
                <w:color w:val="auto"/>
              </w:rPr>
            </w:pPr>
            <w:r>
              <w:rPr>
                <w:rFonts w:ascii="Calibri" w:cs="Calibri" w:eastAsia="Calibri" w:hAnsi="Calibri"/>
                <w:sz w:val="18"/>
                <w:szCs w:val="18"/>
                <w:color w:val="0000FF"/>
                <w:w w:val="96"/>
              </w:rPr>
              <w:t>Consolidated Statements of Shareholders’ Equity</w:t>
            </w:r>
          </w:p>
        </w:tc>
        <w:tc>
          <w:tcPr>
            <w:tcW w:w="220" w:type="dxa"/>
            <w:vAlign w:val="bottom"/>
          </w:tcPr>
          <w:p>
            <w:pPr>
              <w:spacing w:after="0"/>
              <w:rPr>
                <w:sz w:val="22"/>
                <w:szCs w:val="22"/>
                <w:color w:val="auto"/>
              </w:rPr>
            </w:pPr>
          </w:p>
        </w:tc>
        <w:tc>
          <w:tcPr>
            <w:tcW w:w="5220" w:type="dxa"/>
            <w:vAlign w:val="bottom"/>
            <w:gridSpan w:val="3"/>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29</w:t>
            </w: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00" w:type="dxa"/>
            <w:vAlign w:val="bottom"/>
            <w:gridSpan w:val="3"/>
          </w:tcPr>
          <w:p>
            <w:pPr>
              <w:spacing w:after="0"/>
              <w:rPr>
                <w:sz w:val="20"/>
                <w:szCs w:val="20"/>
                <w:color w:val="auto"/>
              </w:rPr>
            </w:pPr>
            <w:r>
              <w:rPr>
                <w:rFonts w:ascii="Calibri" w:cs="Calibri" w:eastAsia="Calibri" w:hAnsi="Calibri"/>
                <w:sz w:val="18"/>
                <w:szCs w:val="18"/>
                <w:color w:val="0000FF"/>
                <w:w w:val="96"/>
              </w:rPr>
              <w:t>Consolidated Statements of Cash Flows</w:t>
            </w:r>
          </w:p>
        </w:tc>
        <w:tc>
          <w:tcPr>
            <w:tcW w:w="680" w:type="dxa"/>
            <w:vAlign w:val="bottom"/>
            <w:gridSpan w:val="2"/>
          </w:tcPr>
          <w:p>
            <w:pPr>
              <w:spacing w:after="0"/>
              <w:rPr>
                <w:sz w:val="22"/>
                <w:szCs w:val="22"/>
                <w:color w:val="auto"/>
              </w:rPr>
            </w:pPr>
          </w:p>
        </w:tc>
        <w:tc>
          <w:tcPr>
            <w:tcW w:w="5440" w:type="dxa"/>
            <w:vAlign w:val="bottom"/>
            <w:gridSpan w:val="4"/>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30</w:t>
            </w: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920" w:type="dxa"/>
            <w:vAlign w:val="bottom"/>
            <w:gridSpan w:val="9"/>
          </w:tcPr>
          <w:p>
            <w:pPr>
              <w:spacing w:after="0"/>
              <w:rPr>
                <w:sz w:val="20"/>
                <w:szCs w:val="20"/>
                <w:color w:val="auto"/>
              </w:rPr>
            </w:pPr>
            <w:r>
              <w:rPr>
                <w:rFonts w:ascii="Calibri" w:cs="Calibri" w:eastAsia="Calibri" w:hAnsi="Calibri"/>
                <w:sz w:val="18"/>
                <w:szCs w:val="18"/>
                <w:color w:val="0000FF"/>
              </w:rPr>
              <w:t>Notes to Consolidated Financial Statements</w:t>
            </w: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31</w:t>
            </w:r>
          </w:p>
        </w:tc>
      </w:tr>
      <w:tr>
        <w:trPr>
          <w:trHeight w:val="915"/>
        </w:trPr>
        <w:tc>
          <w:tcPr>
            <w:tcW w:w="20" w:type="dxa"/>
            <w:vAlign w:val="bottom"/>
          </w:tcPr>
          <w:p>
            <w:pPr>
              <w:spacing w:after="0"/>
              <w:rPr>
                <w:sz w:val="24"/>
                <w:szCs w:val="24"/>
                <w:color w:val="auto"/>
              </w:rPr>
            </w:pPr>
          </w:p>
        </w:tc>
        <w:tc>
          <w:tcPr>
            <w:tcW w:w="3100" w:type="dxa"/>
            <w:vAlign w:val="bottom"/>
            <w:tcBorders>
              <w:top w:val="single" w:sz="8" w:color="0000FF"/>
            </w:tcBorders>
            <w:gridSpan w:val="4"/>
          </w:tcPr>
          <w:p>
            <w:pPr>
              <w:spacing w:after="0"/>
              <w:rPr>
                <w:sz w:val="24"/>
                <w:szCs w:val="24"/>
                <w:color w:val="auto"/>
              </w:rPr>
            </w:pPr>
          </w:p>
        </w:tc>
        <w:tc>
          <w:tcPr>
            <w:tcW w:w="5820" w:type="dxa"/>
            <w:vAlign w:val="bottom"/>
            <w:gridSpan w:val="5"/>
          </w:tcPr>
          <w:p>
            <w:pPr>
              <w:jc w:val="right"/>
              <w:ind w:right="3220"/>
              <w:spacing w:after="0"/>
              <w:rPr>
                <w:sz w:val="20"/>
                <w:szCs w:val="20"/>
                <w:color w:val="auto"/>
              </w:rPr>
            </w:pPr>
            <w:r>
              <w:rPr>
                <w:rFonts w:ascii="Calibri" w:cs="Calibri" w:eastAsia="Calibri" w:hAnsi="Calibri"/>
                <w:sz w:val="18"/>
                <w:szCs w:val="18"/>
                <w:color w:val="auto"/>
              </w:rPr>
              <w:t>22</w:t>
            </w:r>
          </w:p>
        </w:tc>
        <w:tc>
          <w:tcPr>
            <w:tcW w:w="17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38"/>
        </w:trPr>
        <w:tc>
          <w:tcPr>
            <w:tcW w:w="20" w:type="dxa"/>
            <w:vAlign w:val="bottom"/>
            <w:tcBorders>
              <w:bottom w:val="single" w:sz="8" w:color="9A9A9A"/>
            </w:tcBorders>
          </w:tcPr>
          <w:p>
            <w:pPr>
              <w:spacing w:after="0"/>
              <w:rPr>
                <w:sz w:val="12"/>
                <w:szCs w:val="12"/>
                <w:color w:val="auto"/>
              </w:rPr>
            </w:pPr>
          </w:p>
        </w:tc>
        <w:tc>
          <w:tcPr>
            <w:tcW w:w="20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4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5" w:name="page26"/>
    <w:bookmarkEnd w:id="25"/>
    <w:p>
      <w:pPr>
        <w:jc w:val="center"/>
        <w:ind w:right="-19"/>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Board of Directors and Shareholders</w:t>
      </w:r>
    </w:p>
    <w:p>
      <w:pPr>
        <w:spacing w:after="0" w:line="235" w:lineRule="auto"/>
        <w:rPr>
          <w:sz w:val="20"/>
          <w:szCs w:val="20"/>
          <w:color w:val="auto"/>
        </w:rPr>
      </w:pPr>
      <w:r>
        <w:rPr>
          <w:rFonts w:ascii="Calibri" w:cs="Calibri" w:eastAsia="Calibri" w:hAnsi="Calibri"/>
          <w:sz w:val="18"/>
          <w:szCs w:val="18"/>
          <w:b w:val="1"/>
          <w:bCs w:val="1"/>
          <w:color w:val="auto"/>
        </w:rPr>
        <w:t>Hawkins, Inc.</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 on internal control over fnancial reportng</w:t>
      </w:r>
    </w:p>
    <w:p>
      <w:pPr>
        <w:ind w:right="40"/>
        <w:spacing w:after="0" w:line="217" w:lineRule="auto"/>
        <w:rPr>
          <w:sz w:val="20"/>
          <w:szCs w:val="20"/>
          <w:color w:val="auto"/>
        </w:rPr>
      </w:pPr>
      <w:r>
        <w:rPr>
          <w:rFonts w:ascii="Calibri" w:cs="Calibri" w:eastAsia="Calibri" w:hAnsi="Calibri"/>
          <w:sz w:val="18"/>
          <w:szCs w:val="18"/>
          <w:color w:val="auto"/>
        </w:rPr>
        <w:t xml:space="preserve">We have audited the internal control over fnancial reportng of Hawkins, Inc. (a Minnesota corporaton) and subsidiaries (the “Company”) as of April 3, 2022, based on criteria established in the 2013 </w:t>
      </w:r>
      <w:r>
        <w:rPr>
          <w:rFonts w:ascii="Calibri" w:cs="Calibri" w:eastAsia="Calibri" w:hAnsi="Calibri"/>
          <w:sz w:val="18"/>
          <w:szCs w:val="18"/>
          <w:i w:val="1"/>
          <w:iCs w:val="1"/>
          <w:color w:val="auto"/>
        </w:rPr>
        <w:t>Internal Control—Integrated Framework</w:t>
      </w:r>
      <w:r>
        <w:rPr>
          <w:rFonts w:ascii="Calibri" w:cs="Calibri" w:eastAsia="Calibri" w:hAnsi="Calibri"/>
          <w:sz w:val="18"/>
          <w:szCs w:val="18"/>
          <w:color w:val="auto"/>
        </w:rPr>
        <w:t xml:space="preserve"> issued by the Commitee of Sponsoring Organizatons of the Treadway Commission (“COSO”). In our opinion, the Company maintained, in all material respects, efectve internal control over fnancial reportng as of April 3, 2022, based on criteria established in the 2013 </w:t>
      </w:r>
      <w:r>
        <w:rPr>
          <w:rFonts w:ascii="Calibri" w:cs="Calibri" w:eastAsia="Calibri" w:hAnsi="Calibri"/>
          <w:sz w:val="18"/>
          <w:szCs w:val="18"/>
          <w:i w:val="1"/>
          <w:iCs w:val="1"/>
          <w:color w:val="auto"/>
        </w:rPr>
        <w:t>Internal Control—Integrated Framework</w:t>
      </w:r>
      <w:r>
        <w:rPr>
          <w:rFonts w:ascii="Calibri" w:cs="Calibri" w:eastAsia="Calibri" w:hAnsi="Calibri"/>
          <w:sz w:val="18"/>
          <w:szCs w:val="18"/>
          <w:color w:val="auto"/>
        </w:rPr>
        <w:t xml:space="preserve"> issued by COSO.</w:t>
      </w:r>
    </w:p>
    <w:p>
      <w:pPr>
        <w:spacing w:after="0" w:line="232" w:lineRule="exact"/>
        <w:rPr>
          <w:sz w:val="20"/>
          <w:szCs w:val="20"/>
          <w:color w:val="auto"/>
        </w:rPr>
      </w:pPr>
    </w:p>
    <w:p>
      <w:pPr>
        <w:jc w:val="both"/>
        <w:ind w:right="420"/>
        <w:spacing w:after="0" w:line="220"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consolidated fnancial statements of the Company as of and for the year ended April 3, 2022, and our report dated May 18, 2022 expressed an unqualifed opinion on those fnancial statements.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w:t>
      </w:r>
    </w:p>
    <w:p>
      <w:pPr>
        <w:ind w:right="20"/>
        <w:spacing w:after="0" w:line="212"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Report on Internal Control Over Financial Reportng (“Management’s Report”).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19" w:lineRule="exact"/>
        <w:rPr>
          <w:sz w:val="20"/>
          <w:szCs w:val="20"/>
          <w:color w:val="auto"/>
        </w:rPr>
      </w:pPr>
    </w:p>
    <w:p>
      <w:pPr>
        <w:ind w:right="140"/>
        <w:spacing w:after="0" w:line="21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 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17" w:lineRule="exact"/>
        <w:rPr>
          <w:sz w:val="20"/>
          <w:szCs w:val="20"/>
          <w:color w:val="auto"/>
        </w:rPr>
      </w:pPr>
    </w:p>
    <w:p>
      <w:pPr>
        <w:ind w:right="140"/>
        <w:spacing w:after="0" w:line="215" w:lineRule="auto"/>
        <w:rPr>
          <w:sz w:val="20"/>
          <w:szCs w:val="20"/>
          <w:color w:val="auto"/>
        </w:rPr>
      </w:pPr>
      <w:r>
        <w:rPr>
          <w:rFonts w:ascii="Calibri" w:cs="Calibri" w:eastAsia="Calibri" w:hAnsi="Calibri"/>
          <w:sz w:val="18"/>
          <w:szCs w:val="18"/>
          <w:color w:val="auto"/>
        </w:rPr>
        <w:t>Our audit of, and opinion on, the Company’s internal control over fnancial reportng does not include the internal control over fnancial reportng of NAPCO Chemical Company, Inc. (“NAPCO”), a wholly-owned subsidiary, whose fnancial statements refect total assets and revenues consttutng less than 4% and less than 1%, respectvely, of the related consolidated fnancial statement amounts as of and for the year ended April 3, 2022. As indicated in Management’s Report, NAPCO was acquired during fscal 2022. Management’s asserton on the efectveness of the Company’s internal control over fnancial reportng excluded internal control over fnancial reportng of NAPCO.</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and limitatons of internal control over fnancial reportng</w:t>
      </w:r>
    </w:p>
    <w:p>
      <w:pPr>
        <w:spacing w:after="0" w:line="223"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217" w:lineRule="exact"/>
        <w:rPr>
          <w:sz w:val="20"/>
          <w:szCs w:val="20"/>
          <w:color w:val="auto"/>
        </w:rPr>
      </w:pPr>
    </w:p>
    <w:p>
      <w:pPr>
        <w:ind w:right="220"/>
        <w:spacing w:after="0" w:line="21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Minneapolis, Minnesota</w:t>
      </w:r>
    </w:p>
    <w:p>
      <w:pPr>
        <w:spacing w:after="0" w:line="235" w:lineRule="auto"/>
        <w:rPr>
          <w:sz w:val="20"/>
          <w:szCs w:val="20"/>
          <w:color w:val="auto"/>
        </w:rPr>
      </w:pPr>
      <w:r>
        <w:rPr>
          <w:rFonts w:ascii="Calibri" w:cs="Calibri" w:eastAsia="Calibri" w:hAnsi="Calibri"/>
          <w:sz w:val="18"/>
          <w:szCs w:val="18"/>
          <w:color w:val="auto"/>
        </w:rPr>
        <w:t>May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6" w:name="page27"/>
    <w:bookmarkEnd w:id="26"/>
    <w:p>
      <w:pPr>
        <w:jc w:val="center"/>
        <w:ind w:right="-39"/>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Board of Directors and Shareholders</w:t>
      </w:r>
    </w:p>
    <w:p>
      <w:pPr>
        <w:spacing w:after="0" w:line="235" w:lineRule="auto"/>
        <w:rPr>
          <w:sz w:val="20"/>
          <w:szCs w:val="20"/>
          <w:color w:val="auto"/>
        </w:rPr>
      </w:pPr>
      <w:r>
        <w:rPr>
          <w:rFonts w:ascii="Calibri" w:cs="Calibri" w:eastAsia="Calibri" w:hAnsi="Calibri"/>
          <w:sz w:val="18"/>
          <w:szCs w:val="18"/>
          <w:b w:val="1"/>
          <w:bCs w:val="1"/>
          <w:color w:val="auto"/>
        </w:rPr>
        <w:t>Hawkins, Inc.</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 on the fnancial statement</w:t>
      </w:r>
      <w:r>
        <w:rPr>
          <w:rFonts w:ascii="Calibri" w:cs="Calibri" w:eastAsia="Calibri" w:hAnsi="Calibri"/>
          <w:sz w:val="18"/>
          <w:szCs w:val="18"/>
          <w:b w:val="1"/>
          <w:bCs w:val="1"/>
          <w:color w:val="auto"/>
        </w:rPr>
        <w:t>s</w:t>
      </w:r>
    </w:p>
    <w:p>
      <w:pPr>
        <w:spacing w:after="0" w:line="211" w:lineRule="auto"/>
        <w:rPr>
          <w:sz w:val="20"/>
          <w:szCs w:val="20"/>
          <w:color w:val="auto"/>
        </w:rPr>
      </w:pPr>
      <w:r>
        <w:rPr>
          <w:rFonts w:ascii="Calibri" w:cs="Calibri" w:eastAsia="Calibri" w:hAnsi="Calibri"/>
          <w:sz w:val="18"/>
          <w:szCs w:val="18"/>
          <w:color w:val="auto"/>
        </w:rPr>
        <w:t>We have audited the accompanying consolidated balance sheets of Hawkins, Inc. (a Minnesota corporaton) and subsidiaries (the “Company”) as of April 3, 2022 and March 28, 2021 and the related consolidated statements of income, comprehensive income, shareholders’ equity, and cash fows for the years then ended, and the related notes and fnancial statement schedule included under Item 15(a) (collectvely referred to as the “fnancial statements”). In our opinion, the fnancial statements present fairly, in all material respects, the fnancial positon of the Company as of April 3, 2022 and March 28, 2021, and the results of its operatons and its cash fows for the years then ended, in conformity with accountng principles generally accepted in the United States of America.</w:t>
      </w:r>
    </w:p>
    <w:p>
      <w:pPr>
        <w:spacing w:after="0" w:line="232" w:lineRule="exact"/>
        <w:rPr>
          <w:sz w:val="20"/>
          <w:szCs w:val="20"/>
          <w:color w:val="auto"/>
        </w:rPr>
      </w:pPr>
    </w:p>
    <w:p>
      <w:pPr>
        <w:ind w:right="260"/>
        <w:spacing w:after="0" w:line="228" w:lineRule="auto"/>
        <w:rPr>
          <w:sz w:val="20"/>
          <w:szCs w:val="20"/>
          <w:color w:val="auto"/>
        </w:rPr>
      </w:pPr>
      <w:r>
        <w:rPr>
          <w:rFonts w:ascii="Calibri" w:cs="Calibri" w:eastAsia="Calibri" w:hAnsi="Calibri"/>
          <w:sz w:val="17"/>
          <w:szCs w:val="17"/>
          <w:color w:val="auto"/>
        </w:rPr>
        <w:t xml:space="preserve">We also have audited, in accordance with the standards of the Public Company Accountng Oversight Board (United States) (“PCAOB”), the Company’s internal control over fnancial reportng as of April 3, 2022 based on criteria established in the 2013 </w:t>
      </w:r>
      <w:r>
        <w:rPr>
          <w:rFonts w:ascii="Calibri" w:cs="Calibri" w:eastAsia="Calibri" w:hAnsi="Calibri"/>
          <w:sz w:val="17"/>
          <w:szCs w:val="17"/>
          <w:i w:val="1"/>
          <w:iCs w:val="1"/>
          <w:color w:val="auto"/>
        </w:rPr>
        <w:t>Internal Control—Integrated Framework</w:t>
      </w:r>
      <w:r>
        <w:rPr>
          <w:rFonts w:ascii="Calibri" w:cs="Calibri" w:eastAsia="Calibri" w:hAnsi="Calibri"/>
          <w:sz w:val="17"/>
          <w:szCs w:val="17"/>
          <w:color w:val="auto"/>
        </w:rPr>
        <w:t xml:space="preserve"> issued by the Commitee of Sponsoring Organizatons of the Treadway Commission (“COSO”), and our report dated May 18, 2022 expressed an unqualifed opinion.</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w:t>
      </w:r>
    </w:p>
    <w:p>
      <w:pPr>
        <w:spacing w:after="0" w:line="228" w:lineRule="auto"/>
        <w:rPr>
          <w:sz w:val="20"/>
          <w:szCs w:val="20"/>
          <w:color w:val="auto"/>
        </w:rPr>
      </w:pPr>
      <w:r>
        <w:rPr>
          <w:rFonts w:ascii="Calibri" w:cs="Calibri" w:eastAsia="Calibri" w:hAnsi="Calibri"/>
          <w:sz w:val="17"/>
          <w:szCs w:val="17"/>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20" w:lineRule="exact"/>
        <w:rPr>
          <w:sz w:val="20"/>
          <w:szCs w:val="20"/>
          <w:color w:val="auto"/>
        </w:rPr>
      </w:pPr>
    </w:p>
    <w:p>
      <w:pPr>
        <w:ind w:right="100"/>
        <w:spacing w:after="0" w:line="216"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Critcal audit maters</w:t>
      </w:r>
    </w:p>
    <w:p>
      <w:pPr>
        <w:jc w:val="both"/>
        <w:ind w:right="20"/>
        <w:spacing w:after="0" w:line="211" w:lineRule="auto"/>
        <w:rPr>
          <w:sz w:val="20"/>
          <w:szCs w:val="20"/>
          <w:color w:val="auto"/>
        </w:rPr>
      </w:pPr>
      <w:r>
        <w:rPr>
          <w:rFonts w:ascii="Calibri" w:cs="Calibri" w:eastAsia="Calibri" w:hAnsi="Calibri"/>
          <w:sz w:val="18"/>
          <w:szCs w:val="18"/>
          <w:color w:val="auto"/>
        </w:rPr>
        <w:t>Critcal audit maters are maters arising from the current period audit of the fnancial statements that were communicated or required to be communicated to the audit commitee and that: (1) relate to accounts or disclosures that are material to the fnancial statements and (2) involved our especially challenging, subjectve, or complex judgments. We determined that there are no critcal audit maters.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2021.</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Minneapolis, Minnesota</w:t>
      </w:r>
    </w:p>
    <w:p>
      <w:pPr>
        <w:spacing w:after="0" w:line="235" w:lineRule="auto"/>
        <w:rPr>
          <w:sz w:val="20"/>
          <w:szCs w:val="20"/>
          <w:color w:val="auto"/>
        </w:rPr>
      </w:pPr>
      <w:r>
        <w:rPr>
          <w:rFonts w:ascii="Calibri" w:cs="Calibri" w:eastAsia="Calibri" w:hAnsi="Calibri"/>
          <w:sz w:val="18"/>
          <w:szCs w:val="18"/>
          <w:color w:val="auto"/>
        </w:rPr>
        <w:t>May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0" w:right="379" w:bottom="1440" w:gutter="0" w:footer="0" w:header="0"/>
        </w:sectPr>
      </w:pPr>
    </w:p>
    <w:bookmarkStart w:id="27" w:name="page28"/>
    <w:bookmarkEnd w:id="27"/>
    <w:p>
      <w:pPr>
        <w:jc w:val="center"/>
        <w:ind w:right="-139"/>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Board of Directors and Shareholders</w:t>
      </w:r>
    </w:p>
    <w:p>
      <w:pPr>
        <w:spacing w:after="0" w:line="235" w:lineRule="auto"/>
        <w:rPr>
          <w:sz w:val="20"/>
          <w:szCs w:val="20"/>
          <w:color w:val="auto"/>
        </w:rPr>
      </w:pPr>
      <w:r>
        <w:rPr>
          <w:rFonts w:ascii="Calibri" w:cs="Calibri" w:eastAsia="Calibri" w:hAnsi="Calibri"/>
          <w:sz w:val="18"/>
          <w:szCs w:val="18"/>
          <w:b w:val="1"/>
          <w:bCs w:val="1"/>
          <w:color w:val="auto"/>
        </w:rPr>
        <w:t>Hawkins, Inc.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 on the Consolidated Financial Statements</w:t>
      </w:r>
    </w:p>
    <w:p>
      <w:pPr>
        <w:spacing w:after="0" w:line="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have audited the accompanying consolidated statements of income, comprehensive income, shareholders’ equity, and cash fows of Hawkins, Inc. and subsidiaries (the Company) for the year ended March 29, 2020 and the related notes and fnancial statement schedule II (collectvely, the consolidated fnancial statements). In our opinion, the consolidated fnancial statements present fairly, in all material respects, the results of operatons of the Company and its cash fows for the year ended March 29, 2020, in conformity with U.S. generally accepted accountng principles.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w:t>
      </w:r>
    </w:p>
    <w:p>
      <w:pPr>
        <w:spacing w:after="0" w:line="1"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These consolidated fnancial statements are the responsibility of the Company’s management. Our responsibility is to express an opinion on these consolidated fnancial statements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246"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We conducted our audit in accordance with the standards of the PCAOB. Those standards require that we plan and perform the audit to obtain reasonable assurance about whether the consolidated fnancial statements are free of material misstatement, whether due to error or fraud. Our audit included performing procedures to assess the risks of material misstatement of the consolidated fnancial statements, whether due to error or fraud, and performing procedures that respond to those risks. Such procedures included examining, on a test basis, evidence regarding the amounts and disclosures in the consolidated fnancial statements. Our audit also included evaluatng the accountng principles used and signifcant estmates made by management, as well as evaluatng the overall presentaton of the consolidated fnancial statements. We believe that our audit provides a reasonable basis for our opinion.</w:t>
      </w: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/s/ KPMG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We served as the Company’s auditor from 2009 to 2020.</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Minneapolis, Minnesota</w:t>
      </w:r>
    </w:p>
    <w:p>
      <w:pPr>
        <w:spacing w:after="0" w:line="235" w:lineRule="auto"/>
        <w:rPr>
          <w:sz w:val="20"/>
          <w:szCs w:val="20"/>
          <w:color w:val="auto"/>
        </w:rPr>
      </w:pPr>
      <w:r>
        <w:rPr>
          <w:rFonts w:ascii="Calibri" w:cs="Calibri" w:eastAsia="Calibri" w:hAnsi="Calibri"/>
          <w:sz w:val="18"/>
          <w:szCs w:val="18"/>
          <w:color w:val="auto"/>
        </w:rPr>
        <w:t>May 20, 2020, except as to the stock split and par value adjustments as described in Note 1, which are as of June 2, 2021</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81" w:right="45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spacing w:after="0" w:line="236" w:lineRule="auto"/>
        <w:rPr>
          <w:sz w:val="20"/>
          <w:szCs w:val="20"/>
          <w:color w:val="auto"/>
        </w:rPr>
      </w:pPr>
      <w:r>
        <w:rPr>
          <w:rFonts w:ascii="Calibri" w:cs="Calibri" w:eastAsia="Calibri" w:hAnsi="Calibri"/>
          <w:sz w:val="18"/>
          <w:szCs w:val="18"/>
          <w:b w:val="1"/>
          <w:bCs w:val="1"/>
          <w:color w:val="auto"/>
        </w:rPr>
        <w:t>(In thousands, except share and per-share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alibri" w:cs="Calibri" w:eastAsia="Calibri" w:hAnsi="Calibri"/>
                <w:sz w:val="14"/>
                <w:szCs w:val="14"/>
                <w:b w:val="1"/>
                <w:bCs w:val="1"/>
                <w:color w:val="auto"/>
              </w:rPr>
              <w:t>April 3, 2022</w:t>
            </w:r>
          </w:p>
        </w:tc>
        <w:tc>
          <w:tcPr>
            <w:tcW w:w="260" w:type="dxa"/>
            <w:vAlign w:val="bottom"/>
          </w:tcPr>
          <w:p>
            <w:pPr>
              <w:spacing w:after="0"/>
              <w:rPr>
                <w:sz w:val="14"/>
                <w:szCs w:val="14"/>
                <w:color w:val="auto"/>
              </w:rPr>
            </w:pPr>
          </w:p>
        </w:tc>
        <w:tc>
          <w:tcPr>
            <w:tcW w:w="1540" w:type="dxa"/>
            <w:vAlign w:val="bottom"/>
          </w:tcPr>
          <w:p>
            <w:pPr>
              <w:jc w:val="right"/>
              <w:ind w:right="359"/>
              <w:spacing w:after="0"/>
              <w:rPr>
                <w:sz w:val="20"/>
                <w:szCs w:val="20"/>
                <w:color w:val="auto"/>
              </w:rPr>
            </w:pPr>
            <w:r>
              <w:rPr>
                <w:rFonts w:ascii="Calibri" w:cs="Calibri" w:eastAsia="Calibri" w:hAnsi="Calibri"/>
                <w:sz w:val="14"/>
                <w:szCs w:val="14"/>
                <w:b w:val="1"/>
                <w:bCs w:val="1"/>
                <w:color w:val="auto"/>
              </w:rPr>
              <w:t>March 28, 2021</w:t>
            </w:r>
          </w:p>
        </w:tc>
      </w:tr>
      <w:tr>
        <w:trPr>
          <w:trHeight w:val="47"/>
        </w:trPr>
        <w:tc>
          <w:tcPr>
            <w:tcW w:w="75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176"/>
        </w:trPr>
        <w:tc>
          <w:tcPr>
            <w:tcW w:w="75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r>
      <w:tr>
        <w:trPr>
          <w:trHeight w:val="193"/>
        </w:trPr>
        <w:tc>
          <w:tcPr>
            <w:tcW w:w="75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3,496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2,998</w:t>
            </w:r>
          </w:p>
        </w:tc>
      </w:tr>
      <w:tr>
        <w:trPr>
          <w:trHeight w:val="193"/>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Trade accounts receivables, net</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122,826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90,603</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Inventories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94,985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63,864</w:t>
            </w:r>
          </w:p>
        </w:tc>
      </w:tr>
      <w:tr>
        <w:trPr>
          <w:trHeight w:val="193"/>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6,431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5,542</w:t>
            </w:r>
          </w:p>
        </w:tc>
      </w:tr>
      <w:tr>
        <w:trPr>
          <w:trHeight w:val="23"/>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9"/>
        </w:trPr>
        <w:tc>
          <w:tcPr>
            <w:tcW w:w="754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current assets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227,738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163,007</w:t>
            </w:r>
          </w:p>
        </w:tc>
      </w:tr>
      <w:tr>
        <w:trPr>
          <w:trHeight w:val="193"/>
        </w:trPr>
        <w:tc>
          <w:tcPr>
            <w:tcW w:w="75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Land</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16,640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15,235</w:t>
            </w:r>
          </w:p>
        </w:tc>
      </w:tr>
      <w:tr>
        <w:trPr>
          <w:trHeight w:val="193"/>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Buildings and improvements</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118,369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120,410</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Machinery and equipment</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114,763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109,353</w:t>
            </w:r>
          </w:p>
        </w:tc>
      </w:tr>
      <w:tr>
        <w:trPr>
          <w:trHeight w:val="193"/>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Transportaton equipment</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43,968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37,646</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Ofce furniture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17,760</w:t>
            </w:r>
          </w:p>
        </w:tc>
      </w:tr>
      <w:tr>
        <w:trPr>
          <w:trHeight w:val="187"/>
        </w:trPr>
        <w:tc>
          <w:tcPr>
            <w:tcW w:w="75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304,055</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300,404</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754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Less accumulated depreciaton</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142,209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155,792</w:t>
            </w:r>
          </w:p>
        </w:tc>
      </w:tr>
      <w:tr>
        <w:trPr>
          <w:trHeight w:val="187"/>
        </w:trPr>
        <w:tc>
          <w:tcPr>
            <w:tcW w:w="7540" w:type="dxa"/>
            <w:vAlign w:val="bottom"/>
          </w:tcPr>
          <w:p>
            <w:pPr>
              <w:ind w:left="1120"/>
              <w:spacing w:after="0" w:line="174" w:lineRule="exact"/>
              <w:rPr>
                <w:sz w:val="20"/>
                <w:szCs w:val="20"/>
                <w:color w:val="auto"/>
              </w:rPr>
            </w:pPr>
            <w:r>
              <w:rPr>
                <w:rFonts w:ascii="Calibri" w:cs="Calibri" w:eastAsia="Calibri" w:hAnsi="Calibri"/>
                <w:sz w:val="16"/>
                <w:szCs w:val="16"/>
                <w:color w:val="auto"/>
              </w:rPr>
              <w:t>Net property, plant, and equipment</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161,846</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144,612</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193"/>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Right-of-use assets</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10,606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11,630</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Goodwill</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77,401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70,720</w:t>
            </w:r>
          </w:p>
        </w:tc>
      </w:tr>
      <w:tr>
        <w:trPr>
          <w:trHeight w:val="193"/>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Intangible assets, net</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80,193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76,368</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plan asset</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6,783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5,726</w:t>
            </w:r>
          </w:p>
        </w:tc>
      </w:tr>
      <w:tr>
        <w:trPr>
          <w:trHeight w:val="194"/>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2,761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487</w:t>
            </w:r>
          </w:p>
        </w:tc>
      </w:tr>
      <w:tr>
        <w:trPr>
          <w:trHeight w:val="22"/>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0"/>
        </w:trPr>
        <w:tc>
          <w:tcPr>
            <w:tcW w:w="754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other assets</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177,744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164,931</w:t>
            </w:r>
          </w:p>
        </w:tc>
      </w:tr>
      <w:tr>
        <w:trPr>
          <w:trHeight w:val="187"/>
        </w:trPr>
        <w:tc>
          <w:tcPr>
            <w:tcW w:w="7540" w:type="dxa"/>
            <w:vAlign w:val="bottom"/>
          </w:tcPr>
          <w:p>
            <w:pPr>
              <w:ind w:left="1120"/>
              <w:spacing w:after="0" w:line="174" w:lineRule="exact"/>
              <w:rPr>
                <w:sz w:val="20"/>
                <w:szCs w:val="20"/>
                <w:color w:val="auto"/>
              </w:rPr>
            </w:pPr>
            <w:r>
              <w:rPr>
                <w:rFonts w:ascii="Calibri" w:cs="Calibri" w:eastAsia="Calibri" w:hAnsi="Calibri"/>
                <w:sz w:val="16"/>
                <w:szCs w:val="16"/>
                <w:color w:val="auto"/>
              </w:rPr>
              <w:t>Total assets</w:t>
            </w: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567,328</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472,550</w:t>
            </w:r>
          </w:p>
        </w:tc>
      </w:tr>
      <w:tr>
        <w:trPr>
          <w:trHeight w:val="23"/>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3"/>
        </w:trPr>
        <w:tc>
          <w:tcPr>
            <w:tcW w:w="75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r>
      <w:tr>
        <w:trPr>
          <w:trHeight w:val="193"/>
        </w:trPr>
        <w:tc>
          <w:tcPr>
            <w:tcW w:w="75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Accounts payable — trade</w:t>
            </w: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66,693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37,313</w:t>
            </w:r>
          </w:p>
        </w:tc>
      </w:tr>
      <w:tr>
        <w:trPr>
          <w:trHeight w:val="194"/>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19,034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18,048</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Current porton of long-term debt</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9,913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9,907</w:t>
            </w:r>
          </w:p>
        </w:tc>
      </w:tr>
      <w:tr>
        <w:trPr>
          <w:trHeight w:val="194"/>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Short-term lease liability</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1,657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1,587</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Container deposits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1,452</w:t>
            </w:r>
          </w:p>
        </w:tc>
      </w:tr>
      <w:tr>
        <w:trPr>
          <w:trHeight w:val="193"/>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current liabilites</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2,611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2,155</w:t>
            </w:r>
          </w:p>
        </w:tc>
      </w:tr>
      <w:tr>
        <w:trPr>
          <w:trHeight w:val="23"/>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0"/>
        </w:trPr>
        <w:tc>
          <w:tcPr>
            <w:tcW w:w="754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current liabilites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101,466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70,462</w:t>
            </w:r>
          </w:p>
        </w:tc>
      </w:tr>
      <w:tr>
        <w:trPr>
          <w:trHeight w:val="193"/>
        </w:trPr>
        <w:tc>
          <w:tcPr>
            <w:tcW w:w="75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 LESS CURRENT PORTION</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115,644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88,845</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9,143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10,231</w:t>
            </w:r>
          </w:p>
        </w:tc>
      </w:tr>
      <w:tr>
        <w:trPr>
          <w:trHeight w:val="193"/>
        </w:trPr>
        <w:tc>
          <w:tcPr>
            <w:tcW w:w="754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4,276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4,631</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23,422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24,445</w:t>
            </w:r>
          </w:p>
        </w:tc>
      </w:tr>
      <w:tr>
        <w:trPr>
          <w:trHeight w:val="194"/>
        </w:trPr>
        <w:tc>
          <w:tcPr>
            <w:tcW w:w="75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8,402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7,322</w:t>
            </w: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75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2,374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1,368</w:t>
            </w:r>
          </w:p>
        </w:tc>
      </w:tr>
      <w:tr>
        <w:trPr>
          <w:trHeight w:val="187"/>
        </w:trPr>
        <w:tc>
          <w:tcPr>
            <w:tcW w:w="7540" w:type="dxa"/>
            <w:vAlign w:val="bottom"/>
          </w:tcPr>
          <w:p>
            <w:pPr>
              <w:ind w:left="1120"/>
              <w:spacing w:after="0" w:line="174" w:lineRule="exact"/>
              <w:rPr>
                <w:sz w:val="20"/>
                <w:szCs w:val="20"/>
                <w:color w:val="auto"/>
              </w:rPr>
            </w:pPr>
            <w:r>
              <w:rPr>
                <w:rFonts w:ascii="Calibri" w:cs="Calibri" w:eastAsia="Calibri" w:hAnsi="Calibri"/>
                <w:sz w:val="16"/>
                <w:szCs w:val="16"/>
                <w:color w:val="auto"/>
              </w:rPr>
              <w:t>Total liabilites</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264,727</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207,304</w:t>
            </w:r>
          </w:p>
        </w:tc>
      </w:tr>
      <w:tr>
        <w:trPr>
          <w:trHeight w:val="22"/>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COMMITMENTS AND CONTINGENCIES (Note 13)</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194"/>
        </w:trPr>
        <w:tc>
          <w:tcPr>
            <w:tcW w:w="7540" w:type="dxa"/>
            <w:vAlign w:val="bottom"/>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7"/>
        </w:trPr>
        <w:tc>
          <w:tcPr>
            <w:tcW w:w="7540" w:type="dxa"/>
            <w:vAlign w:val="bottom"/>
            <w:shd w:val="clear" w:color="auto" w:fill="CCEEFF"/>
          </w:tcPr>
          <w:p>
            <w:pPr>
              <w:ind w:left="360"/>
              <w:spacing w:after="0" w:line="157" w:lineRule="exact"/>
              <w:rPr>
                <w:sz w:val="20"/>
                <w:szCs w:val="20"/>
                <w:color w:val="auto"/>
              </w:rPr>
            </w:pPr>
            <w:r>
              <w:rPr>
                <w:rFonts w:ascii="Calibri" w:cs="Calibri" w:eastAsia="Calibri" w:hAnsi="Calibri"/>
                <w:sz w:val="16"/>
                <w:szCs w:val="16"/>
                <w:color w:val="auto"/>
              </w:rPr>
              <w:t>Common shares; authorized: 60,000,000 shares of $0.01 par value; 20,889,777 and 20,969,746 shares</w:t>
            </w:r>
          </w:p>
        </w:tc>
        <w:tc>
          <w:tcPr>
            <w:tcW w:w="3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01"/>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issued and outstanding for 2022 and 2021, respectvely</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210</w:t>
            </w:r>
          </w:p>
        </w:tc>
      </w:tr>
      <w:tr>
        <w:trPr>
          <w:trHeight w:val="194"/>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Additonal paid-in capital</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46,717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51,138</w:t>
            </w:r>
          </w:p>
        </w:tc>
      </w:tr>
      <w:tr>
        <w:trPr>
          <w:trHeight w:val="22"/>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Retained earnings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254,384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213,898</w:t>
            </w:r>
          </w:p>
        </w:tc>
      </w:tr>
      <w:tr>
        <w:trPr>
          <w:trHeight w:val="194"/>
        </w:trPr>
        <w:tc>
          <w:tcPr>
            <w:tcW w:w="7540" w:type="dxa"/>
            <w:vAlign w:val="bottom"/>
          </w:tcPr>
          <w:p>
            <w:pPr>
              <w:ind w:left="36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30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1,291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9"/>
        </w:trPr>
        <w:tc>
          <w:tcPr>
            <w:tcW w:w="754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shareholders’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302,601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265,246</w:t>
            </w:r>
          </w:p>
        </w:tc>
      </w:tr>
      <w:tr>
        <w:trPr>
          <w:trHeight w:val="187"/>
        </w:trPr>
        <w:tc>
          <w:tcPr>
            <w:tcW w:w="7540" w:type="dxa"/>
            <w:vAlign w:val="bottom"/>
          </w:tcPr>
          <w:p>
            <w:pPr>
              <w:ind w:left="1120"/>
              <w:spacing w:after="0" w:line="174" w:lineRule="exact"/>
              <w:rPr>
                <w:sz w:val="20"/>
                <w:szCs w:val="20"/>
                <w:color w:val="auto"/>
              </w:rPr>
            </w:pPr>
            <w:r>
              <w:rPr>
                <w:rFonts w:ascii="Calibri" w:cs="Calibri" w:eastAsia="Calibri" w:hAnsi="Calibri"/>
                <w:sz w:val="16"/>
                <w:szCs w:val="16"/>
                <w:color w:val="auto"/>
              </w:rPr>
              <w:t>Total liabilites and shareholders’ equity</w:t>
            </w: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567,328</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472,550</w:t>
            </w:r>
          </w:p>
        </w:tc>
      </w:tr>
      <w:tr>
        <w:trPr>
          <w:trHeight w:val="23"/>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consolidated fnancial statements.</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INCOME</w:t>
      </w:r>
    </w:p>
    <w:p>
      <w:pPr>
        <w:spacing w:after="0" w:line="236" w:lineRule="auto"/>
        <w:rPr>
          <w:sz w:val="20"/>
          <w:szCs w:val="20"/>
          <w:color w:val="auto"/>
        </w:rPr>
      </w:pPr>
      <w:r>
        <w:rPr>
          <w:rFonts w:ascii="Calibri" w:cs="Calibri" w:eastAsia="Calibri" w:hAnsi="Calibri"/>
          <w:sz w:val="18"/>
          <w:szCs w:val="18"/>
          <w:b w:val="1"/>
          <w:bCs w:val="1"/>
          <w:color w:val="auto"/>
        </w:rPr>
        <w:t>(In thousands, except share and per-share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Fiscal Year Ended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47"/>
        </w:trPr>
        <w:tc>
          <w:tcPr>
            <w:tcW w:w="58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163"/>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160"/>
              <w:spacing w:after="0" w:line="164" w:lineRule="exact"/>
              <w:rPr>
                <w:sz w:val="20"/>
                <w:szCs w:val="20"/>
                <w:color w:val="auto"/>
              </w:rPr>
            </w:pPr>
            <w:r>
              <w:rPr>
                <w:rFonts w:ascii="Calibri" w:cs="Calibri" w:eastAsia="Calibri" w:hAnsi="Calibri"/>
                <w:sz w:val="14"/>
                <w:szCs w:val="14"/>
                <w:b w:val="1"/>
                <w:bCs w:val="1"/>
                <w:color w:val="auto"/>
              </w:rPr>
              <w:t>April 03, 2022</w:t>
            </w:r>
          </w:p>
        </w:tc>
        <w:tc>
          <w:tcPr>
            <w:tcW w:w="240" w:type="dxa"/>
            <w:vAlign w:val="bottom"/>
          </w:tcPr>
          <w:p>
            <w:pPr>
              <w:spacing w:after="0"/>
              <w:rPr>
                <w:sz w:val="14"/>
                <w:szCs w:val="14"/>
                <w:color w:val="auto"/>
              </w:rPr>
            </w:pPr>
          </w:p>
        </w:tc>
        <w:tc>
          <w:tcPr>
            <w:tcW w:w="1600" w:type="dxa"/>
            <w:vAlign w:val="bottom"/>
            <w:gridSpan w:val="2"/>
          </w:tcPr>
          <w:p>
            <w:pPr>
              <w:jc w:val="center"/>
              <w:ind w:right="360"/>
              <w:spacing w:after="0" w:line="164" w:lineRule="exact"/>
              <w:rPr>
                <w:sz w:val="20"/>
                <w:szCs w:val="20"/>
                <w:color w:val="auto"/>
              </w:rPr>
            </w:pPr>
            <w:r>
              <w:rPr>
                <w:rFonts w:ascii="Calibri" w:cs="Calibri" w:eastAsia="Calibri" w:hAnsi="Calibri"/>
                <w:sz w:val="14"/>
                <w:szCs w:val="14"/>
                <w:b w:val="1"/>
                <w:bCs w:val="1"/>
                <w:color w:val="auto"/>
              </w:rPr>
              <w:t>March 28, 2021</w:t>
            </w:r>
          </w:p>
        </w:tc>
        <w:tc>
          <w:tcPr>
            <w:tcW w:w="260" w:type="dxa"/>
            <w:vAlign w:val="bottom"/>
          </w:tcPr>
          <w:p>
            <w:pPr>
              <w:spacing w:after="0"/>
              <w:rPr>
                <w:sz w:val="14"/>
                <w:szCs w:val="14"/>
                <w:color w:val="auto"/>
              </w:rPr>
            </w:pPr>
          </w:p>
        </w:tc>
        <w:tc>
          <w:tcPr>
            <w:tcW w:w="1460" w:type="dxa"/>
            <w:vAlign w:val="bottom"/>
          </w:tcPr>
          <w:p>
            <w:pPr>
              <w:jc w:val="right"/>
              <w:ind w:right="311"/>
              <w:spacing w:after="0" w:line="164" w:lineRule="exact"/>
              <w:rPr>
                <w:sz w:val="20"/>
                <w:szCs w:val="20"/>
                <w:color w:val="auto"/>
              </w:rPr>
            </w:pPr>
            <w:r>
              <w:rPr>
                <w:rFonts w:ascii="Calibri" w:cs="Calibri" w:eastAsia="Calibri" w:hAnsi="Calibri"/>
                <w:sz w:val="14"/>
                <w:szCs w:val="14"/>
                <w:b w:val="1"/>
                <w:bCs w:val="1"/>
                <w:color w:val="auto"/>
              </w:rPr>
              <w:t>March 29, 2020</w:t>
            </w:r>
          </w:p>
        </w:tc>
      </w:tr>
      <w:tr>
        <w:trPr>
          <w:trHeight w:val="33"/>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58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2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774,541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596,871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540,198</w:t>
            </w:r>
          </w:p>
        </w:tc>
      </w:tr>
      <w:tr>
        <w:trPr>
          <w:trHeight w:val="223"/>
        </w:trPr>
        <w:tc>
          <w:tcPr>
            <w:tcW w:w="58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(628,021)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(473,109)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(439,281)</w:t>
            </w:r>
          </w:p>
        </w:tc>
      </w:tr>
      <w:tr>
        <w:trPr>
          <w:trHeight w:val="229"/>
        </w:trPr>
        <w:tc>
          <w:tcPr>
            <w:tcW w:w="58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146,520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123,762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100,917</w:t>
            </w:r>
          </w:p>
        </w:tc>
      </w:tr>
      <w:tr>
        <w:trPr>
          <w:trHeight w:val="223"/>
        </w:trPr>
        <w:tc>
          <w:tcPr>
            <w:tcW w:w="58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(75,326)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(67,884)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(59,246)</w:t>
            </w:r>
          </w:p>
        </w:tc>
      </w:tr>
      <w:tr>
        <w:trPr>
          <w:trHeight w:val="229"/>
        </w:trPr>
        <w:tc>
          <w:tcPr>
            <w:tcW w:w="58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55,878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41,671</w:t>
            </w:r>
          </w:p>
        </w:tc>
      </w:tr>
      <w:tr>
        <w:trPr>
          <w:trHeight w:val="222"/>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28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(1,467)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(2,511)</w:t>
            </w:r>
          </w:p>
        </w:tc>
      </w:tr>
      <w:tr>
        <w:trPr>
          <w:trHeight w:val="237"/>
        </w:trPr>
        <w:tc>
          <w:tcPr>
            <w:tcW w:w="58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(expense)</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1,440</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(204)</w:t>
            </w:r>
          </w:p>
        </w:tc>
      </w:tr>
      <w:tr>
        <w:trPr>
          <w:trHeight w:val="216"/>
        </w:trPr>
        <w:tc>
          <w:tcPr>
            <w:tcW w:w="580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2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69,979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55,851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38,956</w:t>
            </w:r>
          </w:p>
        </w:tc>
      </w:tr>
      <w:tr>
        <w:trPr>
          <w:trHeight w:val="237"/>
        </w:trPr>
        <w:tc>
          <w:tcPr>
            <w:tcW w:w="58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(18,437)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(14,871)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(10,589)</w:t>
            </w:r>
          </w:p>
        </w:tc>
      </w:tr>
      <w:tr>
        <w:trPr>
          <w:trHeight w:val="217"/>
        </w:trPr>
        <w:tc>
          <w:tcPr>
            <w:tcW w:w="580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51,542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40,980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28,367</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3"/>
        </w:trPr>
        <w:tc>
          <w:tcPr>
            <w:tcW w:w="5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2"/>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outstanding-basic</w:t>
            </w:r>
          </w:p>
        </w:tc>
        <w:tc>
          <w:tcPr>
            <w:tcW w:w="28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20,947,234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21,024,344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21,159,978</w:t>
            </w:r>
          </w:p>
        </w:tc>
      </w:tr>
      <w:tr>
        <w:trPr>
          <w:trHeight w:val="237"/>
        </w:trPr>
        <w:tc>
          <w:tcPr>
            <w:tcW w:w="58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outstanding-diluted</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21,135,258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21,260,296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21,308,800</w:t>
            </w:r>
          </w:p>
        </w:tc>
      </w:tr>
      <w:tr>
        <w:trPr>
          <w:trHeight w:val="270"/>
        </w:trPr>
        <w:tc>
          <w:tcPr>
            <w:tcW w:w="5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58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2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1.34</w:t>
            </w:r>
          </w:p>
        </w:tc>
      </w:tr>
      <w:tr>
        <w:trPr>
          <w:trHeight w:val="222"/>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2.44</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1.93</w:t>
            </w:r>
          </w:p>
        </w:tc>
        <w:tc>
          <w:tcPr>
            <w:tcW w:w="12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1.33</w:t>
            </w:r>
          </w:p>
        </w:tc>
      </w:tr>
      <w:tr>
        <w:trPr>
          <w:trHeight w:val="277"/>
        </w:trPr>
        <w:tc>
          <w:tcPr>
            <w:tcW w:w="5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15"/>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0.52250</w:t>
            </w:r>
          </w:p>
        </w:tc>
        <w:tc>
          <w:tcPr>
            <w:tcW w:w="100" w:type="dxa"/>
            <w:vAlign w:val="bottom"/>
          </w:tcPr>
          <w:p>
            <w:pPr>
              <w:spacing w:after="0"/>
              <w:rPr>
                <w:sz w:val="18"/>
                <w:szCs w:val="18"/>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0.47125</w:t>
            </w:r>
          </w:p>
        </w:tc>
        <w:tc>
          <w:tcPr>
            <w:tcW w:w="12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0.46125</w:t>
            </w:r>
          </w:p>
        </w:tc>
      </w:tr>
    </w:tbl>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2" w:right="39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w:t>
      </w:r>
    </w:p>
    <w:p>
      <w:pP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Fiscal Year Ended</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7"/>
        </w:trPr>
        <w:tc>
          <w:tcPr>
            <w:tcW w:w="6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63"/>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line="164" w:lineRule="exact"/>
              <w:rPr>
                <w:sz w:val="20"/>
                <w:szCs w:val="20"/>
                <w:color w:val="auto"/>
              </w:rPr>
            </w:pPr>
            <w:r>
              <w:rPr>
                <w:rFonts w:ascii="Calibri" w:cs="Calibri" w:eastAsia="Calibri" w:hAnsi="Calibri"/>
                <w:sz w:val="14"/>
                <w:szCs w:val="14"/>
                <w:b w:val="1"/>
                <w:bCs w:val="1"/>
                <w:color w:val="auto"/>
              </w:rPr>
              <w:t>April 3, 2022</w:t>
            </w:r>
          </w:p>
        </w:tc>
        <w:tc>
          <w:tcPr>
            <w:tcW w:w="220" w:type="dxa"/>
            <w:vAlign w:val="bottom"/>
          </w:tcPr>
          <w:p>
            <w:pPr>
              <w:spacing w:after="0"/>
              <w:rPr>
                <w:sz w:val="14"/>
                <w:szCs w:val="14"/>
                <w:color w:val="auto"/>
              </w:rPr>
            </w:pPr>
          </w:p>
        </w:tc>
        <w:tc>
          <w:tcPr>
            <w:tcW w:w="1540" w:type="dxa"/>
            <w:vAlign w:val="bottom"/>
            <w:gridSpan w:val="2"/>
          </w:tcPr>
          <w:p>
            <w:pPr>
              <w:ind w:left="140"/>
              <w:spacing w:after="0" w:line="164" w:lineRule="exact"/>
              <w:rPr>
                <w:sz w:val="20"/>
                <w:szCs w:val="20"/>
                <w:color w:val="auto"/>
              </w:rPr>
            </w:pPr>
            <w:r>
              <w:rPr>
                <w:rFonts w:ascii="Calibri" w:cs="Calibri" w:eastAsia="Calibri" w:hAnsi="Calibri"/>
                <w:sz w:val="14"/>
                <w:szCs w:val="14"/>
                <w:b w:val="1"/>
                <w:bCs w:val="1"/>
                <w:color w:val="auto"/>
              </w:rPr>
              <w:t>March 28, 2021</w:t>
            </w:r>
          </w:p>
        </w:tc>
        <w:tc>
          <w:tcPr>
            <w:tcW w:w="220" w:type="dxa"/>
            <w:vAlign w:val="bottom"/>
          </w:tcPr>
          <w:p>
            <w:pPr>
              <w:spacing w:after="0"/>
              <w:rPr>
                <w:sz w:val="14"/>
                <w:szCs w:val="14"/>
                <w:color w:val="auto"/>
              </w:rPr>
            </w:pPr>
          </w:p>
        </w:tc>
        <w:tc>
          <w:tcPr>
            <w:tcW w:w="1420" w:type="dxa"/>
            <w:vAlign w:val="bottom"/>
          </w:tcPr>
          <w:p>
            <w:pPr>
              <w:jc w:val="right"/>
              <w:ind w:right="274"/>
              <w:spacing w:after="0" w:line="164" w:lineRule="exact"/>
              <w:rPr>
                <w:sz w:val="20"/>
                <w:szCs w:val="20"/>
                <w:color w:val="auto"/>
              </w:rPr>
            </w:pPr>
            <w:r>
              <w:rPr>
                <w:rFonts w:ascii="Calibri" w:cs="Calibri" w:eastAsia="Calibri" w:hAnsi="Calibri"/>
                <w:sz w:val="14"/>
                <w:szCs w:val="14"/>
                <w:b w:val="1"/>
                <w:bCs w:val="1"/>
                <w:color w:val="auto"/>
              </w:rPr>
              <w:t>March 29, 2020</w:t>
            </w:r>
          </w:p>
        </w:tc>
      </w:tr>
      <w:tr>
        <w:trPr>
          <w:trHeight w:val="33"/>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2"/>
        </w:trPr>
        <w:tc>
          <w:tcPr>
            <w:tcW w:w="61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51,542</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40,980</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28,367</w:t>
            </w:r>
          </w:p>
        </w:tc>
      </w:tr>
      <w:tr>
        <w:trPr>
          <w:trHeight w:val="237"/>
        </w:trPr>
        <w:tc>
          <w:tcPr>
            <w:tcW w:w="61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comprehensive income, net of tax:</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3"/>
        </w:trPr>
        <w:tc>
          <w:tcPr>
            <w:tcW w:w="610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Unrealized gain (loss) on interest rate swap</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(396)</w:t>
            </w:r>
          </w:p>
        </w:tc>
      </w:tr>
      <w:tr>
        <w:trPr>
          <w:trHeight w:val="223"/>
        </w:trPr>
        <w:tc>
          <w:tcPr>
            <w:tcW w:w="610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(396)</w:t>
            </w:r>
          </w:p>
        </w:tc>
      </w:tr>
      <w:tr>
        <w:trPr>
          <w:trHeight w:val="229"/>
        </w:trPr>
        <w:tc>
          <w:tcPr>
            <w:tcW w:w="6100" w:type="dxa"/>
            <w:vAlign w:val="bottom"/>
          </w:tcPr>
          <w:p>
            <w:pPr>
              <w:ind w:left="20"/>
              <w:spacing w:after="0"/>
              <w:rPr>
                <w:sz w:val="20"/>
                <w:szCs w:val="20"/>
                <w:color w:val="auto"/>
              </w:rPr>
            </w:pPr>
            <w:r>
              <w:rPr>
                <w:rFonts w:ascii="Calibri" w:cs="Calibri" w:eastAsia="Calibri" w:hAnsi="Calibri"/>
                <w:sz w:val="18"/>
                <w:szCs w:val="18"/>
                <w:color w:val="auto"/>
              </w:rPr>
              <w:t>Total comprehensive income</w:t>
            </w: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52,833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41,059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27,971</w:t>
            </w:r>
          </w:p>
        </w:tc>
      </w:tr>
      <w:tr>
        <w:trPr>
          <w:trHeight w:val="21"/>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color w:val="auto"/>
        </w:rPr>
        <w:t>HAWKINS, INC.</w:t>
      </w:r>
    </w:p>
    <w:p>
      <w:pPr>
        <w:spacing w:after="0" w:line="1" w:lineRule="exact"/>
        <w:rPr>
          <w:sz w:val="20"/>
          <w:szCs w:val="20"/>
          <w:color w:val="auto"/>
        </w:rPr>
      </w:pPr>
    </w:p>
    <w:p>
      <w:pPr>
        <w:ind w:right="1180"/>
        <w:spacing w:after="0" w:line="235" w:lineRule="auto"/>
        <w:rPr>
          <w:sz w:val="20"/>
          <w:szCs w:val="20"/>
          <w:color w:val="auto"/>
        </w:rPr>
      </w:pPr>
      <w:r>
        <w:rPr>
          <w:rFonts w:ascii="Calibri" w:cs="Calibri" w:eastAsia="Calibri" w:hAnsi="Calibri"/>
          <w:sz w:val="18"/>
          <w:szCs w:val="18"/>
          <w:b w:val="1"/>
          <w:bCs w:val="1"/>
          <w:color w:val="auto"/>
        </w:rPr>
        <w:t>CONSOLIDATED STATEMENTS OF SHAREHOLDERS’ EQUITY (In thousands, except share data)</w:t>
      </w:r>
    </w:p>
    <w:p>
      <w:pPr>
        <w:spacing w:after="0" w:line="103" w:lineRule="exact"/>
        <w:rPr>
          <w:sz w:val="20"/>
          <w:szCs w:val="20"/>
          <w:color w:val="auto"/>
        </w:rPr>
      </w:pPr>
    </w:p>
    <w:p>
      <w:pPr>
        <w:ind w:left="3940"/>
        <w:spacing w:after="0"/>
        <w:rPr>
          <w:sz w:val="20"/>
          <w:szCs w:val="20"/>
          <w:color w:val="auto"/>
        </w:rPr>
      </w:pPr>
      <w:r>
        <w:rPr>
          <w:rFonts w:ascii="Calibri" w:cs="Calibri" w:eastAsia="Calibri" w:hAnsi="Calibri"/>
          <w:sz w:val="14"/>
          <w:szCs w:val="1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29845</wp:posOffset>
            </wp:positionV>
            <wp:extent cx="16287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0"/>
          <w:szCs w:val="20"/>
          <w:color w:val="auto"/>
        </w:rPr>
      </w:pPr>
    </w:p>
    <w:p>
      <w:pPr>
        <w:jc w:val="both"/>
        <w:ind w:left="3560"/>
        <w:spacing w:after="0"/>
        <w:tabs>
          <w:tab w:leader="none" w:pos="4820" w:val="left"/>
        </w:tabs>
        <w:rPr>
          <w:sz w:val="20"/>
          <w:szCs w:val="20"/>
          <w:color w:val="auto"/>
        </w:rPr>
      </w:pPr>
      <w:r>
        <w:rPr>
          <w:rFonts w:ascii="Calibri" w:cs="Calibri" w:eastAsia="Calibri" w:hAnsi="Calibri"/>
          <w:sz w:val="14"/>
          <w:szCs w:val="14"/>
          <w:b w:val="1"/>
          <w:bCs w:val="1"/>
          <w:color w:val="auto"/>
        </w:rPr>
        <w:t>Shares</w:t>
      </w:r>
      <w:r>
        <w:rPr>
          <w:sz w:val="20"/>
          <w:szCs w:val="20"/>
          <w:color w:val="auto"/>
        </w:rPr>
        <w:tab/>
      </w:r>
      <w:r>
        <w:rPr>
          <w:rFonts w:ascii="Calibri" w:cs="Calibri" w:eastAsia="Calibri" w:hAnsi="Calibri"/>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jc w:val="center"/>
              <w:ind w:right="308"/>
              <w:spacing w:after="0"/>
              <w:rPr>
                <w:sz w:val="20"/>
                <w:szCs w:val="20"/>
                <w:color w:val="auto"/>
              </w:rPr>
            </w:pPr>
            <w:r>
              <w:rPr>
                <w:rFonts w:ascii="Calibri" w:cs="Calibri" w:eastAsia="Calibri" w:hAnsi="Calibri"/>
                <w:sz w:val="14"/>
                <w:szCs w:val="14"/>
                <w:b w:val="1"/>
                <w:bCs w:val="1"/>
                <w:color w:val="auto"/>
              </w:rPr>
              <w:t>Additonal</w:t>
            </w:r>
          </w:p>
        </w:tc>
        <w:tc>
          <w:tcPr>
            <w:tcW w:w="1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alibri" w:cs="Calibri" w:eastAsia="Calibri" w:hAnsi="Calibri"/>
                <w:sz w:val="14"/>
                <w:szCs w:val="14"/>
                <w:b w:val="1"/>
                <w:bCs w:val="1"/>
                <w:color w:val="auto"/>
              </w:rPr>
              <w:t>Accumulated Other</w:t>
            </w:r>
          </w:p>
        </w:tc>
        <w:tc>
          <w:tcPr>
            <w:tcW w:w="1020" w:type="dxa"/>
            <w:vAlign w:val="bottom"/>
          </w:tcPr>
          <w:p>
            <w:pPr>
              <w:jc w:val="center"/>
              <w:ind w:left="148"/>
              <w:spacing w:after="0"/>
              <w:rPr>
                <w:sz w:val="20"/>
                <w:szCs w:val="20"/>
                <w:color w:val="auto"/>
              </w:rPr>
            </w:pPr>
            <w:r>
              <w:rPr>
                <w:rFonts w:ascii="Calibri" w:cs="Calibri" w:eastAsia="Calibri" w:hAnsi="Calibri"/>
                <w:sz w:val="14"/>
                <w:szCs w:val="14"/>
                <w:b w:val="1"/>
                <w:bCs w:val="1"/>
                <w:color w:val="auto"/>
                <w:w w:val="94"/>
              </w:rPr>
              <w:t>Total</w:t>
            </w:r>
          </w:p>
        </w:tc>
      </w:tr>
      <w:tr>
        <w:trPr>
          <w:trHeight w:val="136"/>
        </w:trPr>
        <w:tc>
          <w:tcPr>
            <w:tcW w:w="1020" w:type="dxa"/>
            <w:vAlign w:val="bottom"/>
          </w:tcPr>
          <w:p>
            <w:pPr>
              <w:jc w:val="center"/>
              <w:ind w:right="308"/>
              <w:spacing w:after="0" w:line="136" w:lineRule="exact"/>
              <w:rPr>
                <w:sz w:val="20"/>
                <w:szCs w:val="20"/>
                <w:color w:val="auto"/>
              </w:rPr>
            </w:pPr>
            <w:r>
              <w:rPr>
                <w:rFonts w:ascii="Calibri" w:cs="Calibri" w:eastAsia="Calibri" w:hAnsi="Calibri"/>
                <w:sz w:val="14"/>
                <w:szCs w:val="14"/>
                <w:b w:val="1"/>
                <w:bCs w:val="1"/>
                <w:color w:val="auto"/>
                <w:w w:val="98"/>
              </w:rPr>
              <w:t>Paid-in</w:t>
            </w:r>
          </w:p>
        </w:tc>
        <w:tc>
          <w:tcPr>
            <w:tcW w:w="1180" w:type="dxa"/>
            <w:vAlign w:val="bottom"/>
          </w:tcPr>
          <w:p>
            <w:pPr>
              <w:ind w:left="380"/>
              <w:spacing w:after="0" w:line="136" w:lineRule="exact"/>
              <w:rPr>
                <w:sz w:val="20"/>
                <w:szCs w:val="20"/>
                <w:color w:val="auto"/>
              </w:rPr>
            </w:pPr>
            <w:r>
              <w:rPr>
                <w:rFonts w:ascii="Calibri" w:cs="Calibri" w:eastAsia="Calibri" w:hAnsi="Calibri"/>
                <w:sz w:val="14"/>
                <w:szCs w:val="14"/>
                <w:b w:val="1"/>
                <w:bCs w:val="1"/>
                <w:color w:val="auto"/>
              </w:rPr>
              <w:t>Retained</w:t>
            </w:r>
          </w:p>
        </w:tc>
        <w:tc>
          <w:tcPr>
            <w:tcW w:w="1640" w:type="dxa"/>
            <w:vAlign w:val="bottom"/>
          </w:tcPr>
          <w:p>
            <w:pPr>
              <w:jc w:val="center"/>
              <w:spacing w:after="0" w:line="136" w:lineRule="exact"/>
              <w:rPr>
                <w:sz w:val="20"/>
                <w:szCs w:val="20"/>
                <w:color w:val="auto"/>
              </w:rPr>
            </w:pPr>
            <w:r>
              <w:rPr>
                <w:rFonts w:ascii="Calibri" w:cs="Calibri" w:eastAsia="Calibri" w:hAnsi="Calibri"/>
                <w:sz w:val="14"/>
                <w:szCs w:val="14"/>
                <w:b w:val="1"/>
                <w:bCs w:val="1"/>
                <w:color w:val="auto"/>
              </w:rPr>
              <w:t>Comprehensive</w:t>
            </w:r>
          </w:p>
        </w:tc>
        <w:tc>
          <w:tcPr>
            <w:tcW w:w="1020" w:type="dxa"/>
            <w:vAlign w:val="bottom"/>
          </w:tcPr>
          <w:p>
            <w:pPr>
              <w:jc w:val="center"/>
              <w:ind w:left="128"/>
              <w:spacing w:after="0" w:line="136" w:lineRule="exact"/>
              <w:rPr>
                <w:sz w:val="20"/>
                <w:szCs w:val="20"/>
                <w:color w:val="auto"/>
              </w:rPr>
            </w:pPr>
            <w:r>
              <w:rPr>
                <w:rFonts w:ascii="Calibri" w:cs="Calibri" w:eastAsia="Calibri" w:hAnsi="Calibri"/>
                <w:sz w:val="14"/>
                <w:szCs w:val="14"/>
                <w:b w:val="1"/>
                <w:bCs w:val="1"/>
                <w:color w:val="auto"/>
              </w:rPr>
              <w:t>Shareholders’</w:t>
            </w:r>
          </w:p>
        </w:tc>
      </w:tr>
      <w:tr>
        <w:trPr>
          <w:trHeight w:val="183"/>
        </w:trPr>
        <w:tc>
          <w:tcPr>
            <w:tcW w:w="1020" w:type="dxa"/>
            <w:vAlign w:val="bottom"/>
          </w:tcPr>
          <w:p>
            <w:pPr>
              <w:jc w:val="center"/>
              <w:ind w:right="308"/>
              <w:spacing w:after="0"/>
              <w:rPr>
                <w:sz w:val="20"/>
                <w:szCs w:val="20"/>
                <w:color w:val="auto"/>
              </w:rPr>
            </w:pPr>
            <w:r>
              <w:rPr>
                <w:rFonts w:ascii="Calibri" w:cs="Calibri" w:eastAsia="Calibri" w:hAnsi="Calibri"/>
                <w:sz w:val="14"/>
                <w:szCs w:val="14"/>
                <w:b w:val="1"/>
                <w:bCs w:val="1"/>
                <w:color w:val="auto"/>
                <w:w w:val="98"/>
              </w:rPr>
              <w:t>Capital</w:t>
            </w:r>
          </w:p>
        </w:tc>
        <w:tc>
          <w:tcPr>
            <w:tcW w:w="1180" w:type="dxa"/>
            <w:vAlign w:val="bottom"/>
          </w:tcPr>
          <w:p>
            <w:pPr>
              <w:ind w:left="380"/>
              <w:spacing w:after="0"/>
              <w:rPr>
                <w:sz w:val="20"/>
                <w:szCs w:val="20"/>
                <w:color w:val="auto"/>
              </w:rPr>
            </w:pPr>
            <w:r>
              <w:rPr>
                <w:rFonts w:ascii="Calibri" w:cs="Calibri" w:eastAsia="Calibri" w:hAnsi="Calibri"/>
                <w:sz w:val="14"/>
                <w:szCs w:val="14"/>
                <w:b w:val="1"/>
                <w:bCs w:val="1"/>
                <w:color w:val="auto"/>
              </w:rPr>
              <w:t>Earnings</w:t>
            </w:r>
          </w:p>
        </w:tc>
        <w:tc>
          <w:tcPr>
            <w:tcW w:w="1640" w:type="dxa"/>
            <w:vAlign w:val="bottom"/>
          </w:tcPr>
          <w:p>
            <w:pPr>
              <w:jc w:val="center"/>
              <w:spacing w:after="0"/>
              <w:rPr>
                <w:sz w:val="20"/>
                <w:szCs w:val="20"/>
                <w:color w:val="auto"/>
              </w:rPr>
            </w:pPr>
            <w:r>
              <w:rPr>
                <w:rFonts w:ascii="Calibri" w:cs="Calibri" w:eastAsia="Calibri" w:hAnsi="Calibri"/>
                <w:sz w:val="14"/>
                <w:szCs w:val="14"/>
                <w:b w:val="1"/>
                <w:bCs w:val="1"/>
                <w:color w:val="auto"/>
              </w:rPr>
              <w:t>Income (Loss)</w:t>
            </w:r>
          </w:p>
        </w:tc>
        <w:tc>
          <w:tcPr>
            <w:tcW w:w="1020" w:type="dxa"/>
            <w:vAlign w:val="bottom"/>
          </w:tcPr>
          <w:p>
            <w:pPr>
              <w:jc w:val="center"/>
              <w:ind w:left="148"/>
              <w:spacing w:after="0"/>
              <w:rPr>
                <w:sz w:val="20"/>
                <w:szCs w:val="20"/>
                <w:color w:val="auto"/>
              </w:rPr>
            </w:pPr>
            <w:r>
              <w:rPr>
                <w:rFonts w:ascii="Calibri" w:cs="Calibri" w:eastAsia="Calibri" w:hAnsi="Calibri"/>
                <w:sz w:val="14"/>
                <w:szCs w:val="14"/>
                <w:b w:val="1"/>
                <w:bCs w:val="1"/>
                <w:color w:val="auto"/>
                <w:w w:val="97"/>
              </w:rPr>
              <w:t>Equity</w:t>
            </w:r>
          </w:p>
        </w:tc>
      </w:tr>
    </w:tbl>
    <w:p>
      <w:pPr>
        <w:spacing w:after="0" w:line="13" w:lineRule="exact"/>
        <w:rPr>
          <w:sz w:val="20"/>
          <w:szCs w:val="20"/>
          <w:color w:val="auto"/>
        </w:rPr>
      </w:pPr>
    </w:p>
    <w:p>
      <w:pPr>
        <w:sectPr>
          <w:pgSz w:w="11900" w:h="16838" w:orient="portrait"/>
          <w:cols w:equalWidth="0" w:num="2">
            <w:col w:w="5380" w:space="720"/>
            <w:col w:w="5120"/>
          </w:cols>
          <w:pgMar w:left="320" w:top="922" w:right="359" w:bottom="1440" w:gutter="0" w:footer="0" w:header="0"/>
        </w:sectPr>
      </w:pPr>
    </w:p>
    <w:tbl>
      <w:tblPr>
        <w:tblLayout w:type="fixed"/>
        <w:tblInd w:w="0" w:type="dxa"/>
        <w:tblCellMar>
          <w:top w:w="0" w:type="dxa"/>
          <w:left w:w="0" w:type="dxa"/>
          <w:bottom w:w="0" w:type="dxa"/>
          <w:right w:w="0" w:type="dxa"/>
        </w:tblCellMar>
      </w:tblPr>
      <w:tr>
        <w:trPr>
          <w:trHeight w:val="261"/>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7"/>
                <w:szCs w:val="17"/>
                <w:color w:val="auto"/>
              </w:rPr>
              <w:t>BALANCE — March 31, 2019</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21,184,900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Calibri" w:cs="Calibri" w:eastAsia="Calibri" w:hAnsi="Calibri"/>
                <w:sz w:val="17"/>
                <w:szCs w:val="17"/>
                <w:color w:val="auto"/>
                <w:w w:val="9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Calibri" w:cs="Calibri" w:eastAsia="Calibri" w:hAnsi="Calibri"/>
                <w:sz w:val="17"/>
                <w:szCs w:val="17"/>
                <w:color w:val="auto"/>
                <w:w w:val="9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52,927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Calibri" w:cs="Calibri" w:eastAsia="Calibri" w:hAnsi="Calibri"/>
                <w:sz w:val="17"/>
                <w:szCs w:val="17"/>
                <w:color w:val="auto"/>
                <w:w w:val="9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164,405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Calibri" w:cs="Calibri" w:eastAsia="Calibri" w:hAnsi="Calibri"/>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217,861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360"/>
              <w:spacing w:after="0" w:line="205" w:lineRule="exact"/>
              <w:rPr>
                <w:sz w:val="20"/>
                <w:szCs w:val="20"/>
                <w:color w:val="auto"/>
              </w:rPr>
            </w:pPr>
            <w:r>
              <w:rPr>
                <w:rFonts w:ascii="Calibri" w:cs="Calibri" w:eastAsia="Calibri" w:hAnsi="Calibri"/>
                <w:sz w:val="17"/>
                <w:szCs w:val="17"/>
                <w:color w:val="auto"/>
              </w:rPr>
              <w:t>Cash dividends declared</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vMerge w:val="continue"/>
          </w:tcPr>
          <w:p>
            <w:pPr>
              <w:spacing w:after="0"/>
              <w:rPr>
                <w:sz w:val="16"/>
                <w:szCs w:val="16"/>
                <w:color w:val="auto"/>
              </w:rPr>
            </w:pPr>
          </w:p>
        </w:tc>
        <w:tc>
          <w:tcPr>
            <w:tcW w:w="122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85" w:lineRule="exact"/>
              <w:rPr>
                <w:sz w:val="20"/>
                <w:szCs w:val="20"/>
                <w:color w:val="auto"/>
              </w:rPr>
            </w:pPr>
            <w:r>
              <w:rPr>
                <w:rFonts w:ascii="Calibri" w:cs="Calibri" w:eastAsia="Calibri" w:hAnsi="Calibri"/>
                <w:sz w:val="17"/>
                <w:szCs w:val="17"/>
                <w:color w:val="auto"/>
              </w:rPr>
              <w:t>(9,825)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line="185" w:lineRule="exact"/>
              <w:rPr>
                <w:sz w:val="20"/>
                <w:szCs w:val="20"/>
                <w:color w:val="auto"/>
              </w:rPr>
            </w:pPr>
            <w:r>
              <w:rPr>
                <w:rFonts w:ascii="Calibri" w:cs="Calibri" w:eastAsia="Calibri" w:hAnsi="Calibri"/>
                <w:sz w:val="17"/>
                <w:szCs w:val="17"/>
                <w:color w:val="auto"/>
              </w:rPr>
              <w:t>(9,825)</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Share-based compensaton expense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2,273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2,273</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Vestng of restricted stock</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71,944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surrendered for payroll taxes</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(18,320)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(343)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(343)</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ESPP shares issued</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77,100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1,399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1,400</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repurchased</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(291,166)</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(5,851)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(5,853)</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Other comprehensive loss, net of tax</w:t>
            </w:r>
          </w:p>
        </w:tc>
        <w:tc>
          <w:tcPr>
            <w:tcW w:w="13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Calibri" w:cs="Calibri" w:eastAsia="Calibri" w:hAnsi="Calibri"/>
                <w:sz w:val="17"/>
                <w:szCs w:val="17"/>
                <w:color w:val="auto"/>
              </w:rPr>
              <w:t>(396)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(396)</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tcBorders>
              <w:bottom w:val="single" w:sz="8" w:color="CCEEFF"/>
            </w:tcBorders>
            <w:shd w:val="clear" w:color="auto" w:fill="CCEEFF"/>
          </w:tcPr>
          <w:p>
            <w:pPr>
              <w:ind w:left="680"/>
              <w:spacing w:after="0" w:line="205" w:lineRule="exact"/>
              <w:rPr>
                <w:sz w:val="20"/>
                <w:szCs w:val="20"/>
                <w:color w:val="auto"/>
              </w:rPr>
            </w:pPr>
            <w:r>
              <w:rPr>
                <w:rFonts w:ascii="Calibri" w:cs="Calibri" w:eastAsia="Calibri" w:hAnsi="Calibri"/>
                <w:sz w:val="17"/>
                <w:szCs w:val="17"/>
                <w:color w:val="auto"/>
              </w:rPr>
              <w:t>Net Income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28,367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28,367</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85" w:lineRule="exact"/>
              <w:rPr>
                <w:sz w:val="20"/>
                <w:szCs w:val="20"/>
                <w:color w:val="auto"/>
              </w:rPr>
            </w:pPr>
            <w:r>
              <w:rPr>
                <w:rFonts w:ascii="Calibri" w:cs="Calibri" w:eastAsia="Calibri" w:hAnsi="Calibri"/>
                <w:sz w:val="17"/>
                <w:szCs w:val="17"/>
                <w:color w:val="auto"/>
              </w:rPr>
              <w:t>BALANCE — March 29, 2020</w:t>
            </w:r>
          </w:p>
        </w:tc>
        <w:tc>
          <w:tcPr>
            <w:tcW w:w="12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21,024,458</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15"/>
              <w:spacing w:after="0" w:line="198" w:lineRule="exact"/>
              <w:rPr>
                <w:sz w:val="20"/>
                <w:szCs w:val="20"/>
                <w:color w:val="auto"/>
              </w:rPr>
            </w:pPr>
            <w:r>
              <w:rPr>
                <w:rFonts w:ascii="Calibri" w:cs="Calibri" w:eastAsia="Calibri" w:hAnsi="Calibri"/>
                <w:sz w:val="17"/>
                <w:szCs w:val="17"/>
                <w:color w:val="auto"/>
                <w:w w:val="92"/>
              </w:rPr>
              <w:t>$</w:t>
            </w:r>
          </w:p>
        </w:tc>
        <w:tc>
          <w:tcPr>
            <w:tcW w:w="7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211</w:t>
            </w: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8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50,405</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90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182,947</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75"/>
              <w:spacing w:after="0" w:line="198" w:lineRule="exact"/>
              <w:rPr>
                <w:sz w:val="20"/>
                <w:szCs w:val="20"/>
                <w:color w:val="auto"/>
              </w:rPr>
            </w:pPr>
            <w:r>
              <w:rPr>
                <w:rFonts w:ascii="Calibri" w:cs="Calibri" w:eastAsia="Calibri" w:hAnsi="Calibri"/>
                <w:sz w:val="17"/>
                <w:szCs w:val="17"/>
                <w:color w:val="auto"/>
              </w:rPr>
              <w:t>$</w:t>
            </w:r>
          </w:p>
        </w:tc>
        <w:tc>
          <w:tcPr>
            <w:tcW w:w="8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(79)</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233,484</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Borders>
              <w:bottom w:val="single" w:sz="8" w:color="CCEEFF"/>
            </w:tcBorders>
            <w:shd w:val="clear" w:color="auto" w:fill="CCEEFF"/>
          </w:tcPr>
          <w:p>
            <w:pPr>
              <w:ind w:left="360"/>
              <w:spacing w:after="0" w:line="185" w:lineRule="exact"/>
              <w:rPr>
                <w:sz w:val="20"/>
                <w:szCs w:val="20"/>
                <w:color w:val="auto"/>
              </w:rPr>
            </w:pPr>
            <w:r>
              <w:rPr>
                <w:rFonts w:ascii="Calibri" w:cs="Calibri" w:eastAsia="Calibri" w:hAnsi="Calibri"/>
                <w:sz w:val="17"/>
                <w:szCs w:val="17"/>
                <w:color w:val="auto"/>
              </w:rPr>
              <w:t>Cash dividends declared and paid</w:t>
            </w:r>
          </w:p>
        </w:tc>
        <w:tc>
          <w:tcPr>
            <w:tcW w:w="122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(10,029)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(10,029)</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Share-based compensaton expense</w:t>
            </w:r>
          </w:p>
        </w:tc>
        <w:tc>
          <w:tcPr>
            <w:tcW w:w="13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3,343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3,343</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Vestng of restricted stock</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26,542</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Shares surrendered for payroll taxes</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(3,314)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(54)</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ESPP shares issued</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88,148</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1,582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1,583</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Shares repurchased</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(166,088)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(4,138)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(4,140)</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Other comprehensive loss, net of tax</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79</w:t>
            </w:r>
          </w:p>
        </w:tc>
        <w:tc>
          <w:tcPr>
            <w:tcW w:w="0" w:type="dxa"/>
            <w:vAlign w:val="bottom"/>
          </w:tcPr>
          <w:p>
            <w:pPr>
              <w:spacing w:after="0"/>
              <w:rPr>
                <w:sz w:val="1"/>
                <w:szCs w:val="1"/>
                <w:color w:val="auto"/>
              </w:rPr>
            </w:pPr>
          </w:p>
        </w:tc>
      </w:tr>
      <w:tr>
        <w:trPr>
          <w:trHeight w:val="204"/>
        </w:trPr>
        <w:tc>
          <w:tcPr>
            <w:tcW w:w="3140" w:type="dxa"/>
            <w:vAlign w:val="bottom"/>
          </w:tcPr>
          <w:p>
            <w:pPr>
              <w:ind w:left="680"/>
              <w:spacing w:after="0" w:line="205" w:lineRule="exact"/>
              <w:rPr>
                <w:sz w:val="20"/>
                <w:szCs w:val="20"/>
                <w:color w:val="auto"/>
              </w:rPr>
            </w:pPr>
            <w:r>
              <w:rPr>
                <w:rFonts w:ascii="Calibri" w:cs="Calibri" w:eastAsia="Calibri" w:hAnsi="Calibri"/>
                <w:sz w:val="17"/>
                <w:szCs w:val="17"/>
                <w:color w:val="auto"/>
              </w:rPr>
              <w:t>Net income</w:t>
            </w:r>
          </w:p>
        </w:tc>
        <w:tc>
          <w:tcPr>
            <w:tcW w:w="13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Calibri" w:cs="Calibri" w:eastAsia="Calibri" w:hAnsi="Calibri"/>
                <w:sz w:val="17"/>
                <w:szCs w:val="17"/>
                <w:color w:val="auto"/>
              </w:rPr>
              <w:t>40,980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40,980</w:t>
            </w:r>
          </w:p>
        </w:tc>
        <w:tc>
          <w:tcPr>
            <w:tcW w:w="0" w:type="dxa"/>
            <w:vAlign w:val="bottom"/>
          </w:tcPr>
          <w:p>
            <w:pPr>
              <w:spacing w:after="0"/>
              <w:rPr>
                <w:sz w:val="1"/>
                <w:szCs w:val="1"/>
                <w:color w:val="auto"/>
              </w:rPr>
            </w:pPr>
          </w:p>
        </w:tc>
      </w:tr>
      <w:tr>
        <w:trPr>
          <w:trHeight w:val="25"/>
        </w:trPr>
        <w:tc>
          <w:tcPr>
            <w:tcW w:w="3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20"/>
              <w:spacing w:after="0" w:line="185" w:lineRule="exact"/>
              <w:rPr>
                <w:sz w:val="20"/>
                <w:szCs w:val="20"/>
                <w:color w:val="auto"/>
              </w:rPr>
            </w:pPr>
            <w:r>
              <w:rPr>
                <w:rFonts w:ascii="Calibri" w:cs="Calibri" w:eastAsia="Calibri" w:hAnsi="Calibri"/>
                <w:sz w:val="17"/>
                <w:szCs w:val="17"/>
                <w:color w:val="auto"/>
              </w:rPr>
              <w:t>BALANCE — March 28, 2021</w:t>
            </w:r>
          </w:p>
        </w:tc>
        <w:tc>
          <w:tcPr>
            <w:tcW w:w="122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20,969,746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5"/>
              <w:spacing w:after="0" w:line="198" w:lineRule="exact"/>
              <w:rPr>
                <w:sz w:val="20"/>
                <w:szCs w:val="20"/>
                <w:color w:val="auto"/>
              </w:rPr>
            </w:pPr>
            <w:r>
              <w:rPr>
                <w:rFonts w:ascii="Calibri" w:cs="Calibri" w:eastAsia="Calibri" w:hAnsi="Calibri"/>
                <w:sz w:val="17"/>
                <w:szCs w:val="17"/>
                <w:color w:val="auto"/>
                <w:w w:val="92"/>
              </w:rPr>
              <w:t>$</w:t>
            </w:r>
          </w:p>
        </w:tc>
        <w:tc>
          <w:tcPr>
            <w:tcW w:w="72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51,138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90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213,898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5"/>
              <w:spacing w:after="0" w:line="198" w:lineRule="exact"/>
              <w:rPr>
                <w:sz w:val="20"/>
                <w:szCs w:val="20"/>
                <w:color w:val="auto"/>
              </w:rPr>
            </w:pPr>
            <w:r>
              <w:rPr>
                <w:rFonts w:ascii="Calibri" w:cs="Calibri" w:eastAsia="Calibri" w:hAnsi="Calibri"/>
                <w:sz w:val="17"/>
                <w:szCs w:val="17"/>
                <w:color w:val="auto"/>
              </w:rPr>
              <w:t>$</w:t>
            </w:r>
          </w:p>
        </w:tc>
        <w:tc>
          <w:tcPr>
            <w:tcW w:w="84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265,246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360"/>
              <w:spacing w:after="0" w:line="205" w:lineRule="exact"/>
              <w:rPr>
                <w:sz w:val="20"/>
                <w:szCs w:val="20"/>
                <w:color w:val="auto"/>
              </w:rPr>
            </w:pPr>
            <w:r>
              <w:rPr>
                <w:rFonts w:ascii="Calibri" w:cs="Calibri" w:eastAsia="Calibri" w:hAnsi="Calibri"/>
                <w:sz w:val="17"/>
                <w:szCs w:val="17"/>
                <w:color w:val="auto"/>
              </w:rPr>
              <w:t>Cash dividends declared and paid</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40" w:type="dxa"/>
            <w:vAlign w:val="bottom"/>
            <w:vMerge w:val="continue"/>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alibri" w:cs="Calibri" w:eastAsia="Calibri" w:hAnsi="Calibri"/>
                <w:sz w:val="17"/>
                <w:szCs w:val="17"/>
                <w:color w:val="auto"/>
              </w:rPr>
              <w:t>(11,056)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alibri" w:cs="Calibri" w:eastAsia="Calibri" w:hAnsi="Calibri"/>
                <w:sz w:val="17"/>
                <w:szCs w:val="17"/>
                <w:color w:val="auto"/>
              </w:rPr>
              <w:t>(11,056)</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Share-based compensaton expense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3,818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3,818</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Vestng of restricted stock</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134,230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surrendered for payroll taxes</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(45,390)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(1,467)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(1,467)</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ESPP shares issued</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71,692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1,772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1,772</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repurchased</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(240,501)</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(8,543)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(8,545)</w:t>
            </w:r>
          </w:p>
        </w:tc>
        <w:tc>
          <w:tcPr>
            <w:tcW w:w="0" w:type="dxa"/>
            <w:vAlign w:val="bottom"/>
          </w:tcPr>
          <w:p>
            <w:pPr>
              <w:spacing w:after="0"/>
              <w:rPr>
                <w:sz w:val="1"/>
                <w:szCs w:val="1"/>
                <w:color w:val="auto"/>
              </w:rPr>
            </w:pPr>
          </w:p>
        </w:tc>
      </w:tr>
      <w:tr>
        <w:trPr>
          <w:trHeight w:val="162"/>
        </w:trPr>
        <w:tc>
          <w:tcPr>
            <w:tcW w:w="3140" w:type="dxa"/>
            <w:vAlign w:val="bottom"/>
          </w:tcPr>
          <w:p>
            <w:pPr>
              <w:ind w:left="360"/>
              <w:spacing w:after="0" w:line="162" w:lineRule="exact"/>
              <w:rPr>
                <w:sz w:val="20"/>
                <w:szCs w:val="20"/>
                <w:color w:val="auto"/>
              </w:rPr>
            </w:pPr>
            <w:r>
              <w:rPr>
                <w:rFonts w:ascii="Calibri" w:cs="Calibri" w:eastAsia="Calibri" w:hAnsi="Calibri"/>
                <w:sz w:val="17"/>
                <w:szCs w:val="17"/>
                <w:color w:val="auto"/>
              </w:rPr>
              <w:t>Other comprehensive income, net of</w:t>
            </w:r>
          </w:p>
        </w:tc>
        <w:tc>
          <w:tcPr>
            <w:tcW w:w="134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7"/>
                <w:szCs w:val="17"/>
                <w:color w:val="auto"/>
              </w:rPr>
              <w:t>1,291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7"/>
                <w:szCs w:val="17"/>
                <w:color w:val="auto"/>
              </w:rPr>
              <w:t>1,291</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tax</w:t>
            </w:r>
          </w:p>
        </w:tc>
        <w:tc>
          <w:tcPr>
            <w:tcW w:w="13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140" w:type="dxa"/>
            <w:vAlign w:val="bottom"/>
            <w:tcBorders>
              <w:bottom w:val="single" w:sz="8" w:color="CCEEFF"/>
            </w:tcBorders>
            <w:shd w:val="clear" w:color="auto" w:fill="CCEEFF"/>
          </w:tcPr>
          <w:p>
            <w:pPr>
              <w:ind w:left="680"/>
              <w:spacing w:after="0" w:line="205" w:lineRule="exact"/>
              <w:rPr>
                <w:sz w:val="20"/>
                <w:szCs w:val="20"/>
                <w:color w:val="auto"/>
              </w:rPr>
            </w:pPr>
            <w:r>
              <w:rPr>
                <w:rFonts w:ascii="Calibri" w:cs="Calibri" w:eastAsia="Calibri" w:hAnsi="Calibri"/>
                <w:sz w:val="17"/>
                <w:szCs w:val="17"/>
                <w:color w:val="auto"/>
              </w:rPr>
              <w:t>Net income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51,542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51,542</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85" w:lineRule="exact"/>
              <w:rPr>
                <w:sz w:val="20"/>
                <w:szCs w:val="20"/>
                <w:color w:val="auto"/>
              </w:rPr>
            </w:pPr>
            <w:r>
              <w:rPr>
                <w:rFonts w:ascii="Calibri" w:cs="Calibri" w:eastAsia="Calibri" w:hAnsi="Calibri"/>
                <w:sz w:val="17"/>
                <w:szCs w:val="17"/>
                <w:color w:val="auto"/>
              </w:rPr>
              <w:t>BALANCE — April 3, 2022</w:t>
            </w:r>
          </w:p>
        </w:tc>
        <w:tc>
          <w:tcPr>
            <w:tcW w:w="12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20,889,777</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15"/>
              <w:spacing w:after="0" w:line="198" w:lineRule="exact"/>
              <w:rPr>
                <w:sz w:val="20"/>
                <w:szCs w:val="20"/>
                <w:color w:val="auto"/>
              </w:rPr>
            </w:pPr>
            <w:r>
              <w:rPr>
                <w:rFonts w:ascii="Calibri" w:cs="Calibri" w:eastAsia="Calibri" w:hAnsi="Calibri"/>
                <w:sz w:val="17"/>
                <w:szCs w:val="17"/>
                <w:color w:val="auto"/>
                <w:w w:val="92"/>
              </w:rPr>
              <w:t>$</w:t>
            </w:r>
          </w:p>
        </w:tc>
        <w:tc>
          <w:tcPr>
            <w:tcW w:w="7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209</w:t>
            </w: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8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46,717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90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254,384</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75"/>
              <w:spacing w:after="0" w:line="198" w:lineRule="exact"/>
              <w:rPr>
                <w:sz w:val="20"/>
                <w:szCs w:val="20"/>
                <w:color w:val="auto"/>
              </w:rPr>
            </w:pPr>
            <w:r>
              <w:rPr>
                <w:rFonts w:ascii="Calibri" w:cs="Calibri" w:eastAsia="Calibri" w:hAnsi="Calibri"/>
                <w:sz w:val="17"/>
                <w:szCs w:val="17"/>
                <w:color w:val="auto"/>
              </w:rPr>
              <w:t>$</w:t>
            </w:r>
          </w:p>
        </w:tc>
        <w:tc>
          <w:tcPr>
            <w:tcW w:w="8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1,291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302,601</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bookmarkStart w:id="32" w:name="page33"/>
    <w:bookmarkEnd w:id="32"/>
    <w:p>
      <w:pPr>
        <w:ind w:left="660"/>
        <w:spacing w:after="0"/>
        <w:rPr>
          <w:sz w:val="20"/>
          <w:szCs w:val="20"/>
          <w:color w:val="auto"/>
        </w:rPr>
      </w:pPr>
      <w:r>
        <w:rPr>
          <w:rFonts w:ascii="Calibri" w:cs="Calibri" w:eastAsia="Calibri" w:hAnsi="Calibri"/>
          <w:sz w:val="18"/>
          <w:szCs w:val="18"/>
          <w:b w:val="1"/>
          <w:bCs w:val="1"/>
          <w:color w:val="auto"/>
        </w:rPr>
        <w:t>HAWKINS, INC.</w:t>
      </w:r>
    </w:p>
    <w:p>
      <w:pPr>
        <w:ind w:left="660"/>
        <w:spacing w:after="0" w:line="235" w:lineRule="auto"/>
        <w:rPr>
          <w:sz w:val="20"/>
          <w:szCs w:val="20"/>
          <w:color w:val="auto"/>
        </w:rPr>
      </w:pPr>
      <w:r>
        <w:rPr>
          <w:rFonts w:ascii="Calibri" w:cs="Calibri" w:eastAsia="Calibri" w:hAnsi="Calibri"/>
          <w:sz w:val="18"/>
          <w:szCs w:val="18"/>
          <w:b w:val="1"/>
          <w:bCs w:val="1"/>
          <w:color w:val="auto"/>
        </w:rPr>
        <w:t>CONSOLIDATED STATEMENTS OF CASH FLOWS</w:t>
      </w:r>
    </w:p>
    <w:p>
      <w:pPr>
        <w:ind w:left="660"/>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Fiscal Year Ended</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5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160"/>
              <w:spacing w:after="0" w:line="164" w:lineRule="exact"/>
              <w:rPr>
                <w:sz w:val="20"/>
                <w:szCs w:val="20"/>
                <w:color w:val="auto"/>
              </w:rPr>
            </w:pPr>
            <w:r>
              <w:rPr>
                <w:rFonts w:ascii="Calibri" w:cs="Calibri" w:eastAsia="Calibri" w:hAnsi="Calibri"/>
                <w:sz w:val="14"/>
                <w:szCs w:val="14"/>
                <w:b w:val="1"/>
                <w:bCs w:val="1"/>
                <w:color w:val="auto"/>
              </w:rPr>
              <w:t>April 3, 2022</w:t>
            </w: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4" w:lineRule="exact"/>
              <w:rPr>
                <w:sz w:val="20"/>
                <w:szCs w:val="20"/>
                <w:color w:val="auto"/>
              </w:rPr>
            </w:pPr>
            <w:r>
              <w:rPr>
                <w:rFonts w:ascii="Calibri" w:cs="Calibri" w:eastAsia="Calibri" w:hAnsi="Calibri"/>
                <w:sz w:val="14"/>
                <w:szCs w:val="14"/>
                <w:b w:val="1"/>
                <w:bCs w:val="1"/>
                <w:color w:val="auto"/>
              </w:rPr>
              <w:t>March 28, 2021</w:t>
            </w:r>
          </w:p>
        </w:tc>
        <w:tc>
          <w:tcPr>
            <w:tcW w:w="200" w:type="dxa"/>
            <w:vAlign w:val="bottom"/>
          </w:tcPr>
          <w:p>
            <w:pPr>
              <w:spacing w:after="0"/>
              <w:rPr>
                <w:sz w:val="14"/>
                <w:szCs w:val="14"/>
                <w:color w:val="auto"/>
              </w:rPr>
            </w:pPr>
          </w:p>
        </w:tc>
        <w:tc>
          <w:tcPr>
            <w:tcW w:w="1380" w:type="dxa"/>
            <w:vAlign w:val="bottom"/>
          </w:tcPr>
          <w:p>
            <w:pPr>
              <w:jc w:val="right"/>
              <w:ind w:right="259"/>
              <w:spacing w:after="0" w:line="164" w:lineRule="exact"/>
              <w:rPr>
                <w:sz w:val="20"/>
                <w:szCs w:val="20"/>
                <w:color w:val="auto"/>
              </w:rPr>
            </w:pPr>
            <w:r>
              <w:rPr>
                <w:rFonts w:ascii="Calibri" w:cs="Calibri" w:eastAsia="Calibri" w:hAnsi="Calibri"/>
                <w:sz w:val="14"/>
                <w:szCs w:val="14"/>
                <w:b w:val="1"/>
                <w:bCs w:val="1"/>
                <w:color w:val="auto"/>
              </w:rPr>
              <w:t>March 29, 2020</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5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w:t>
            </w: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51,542</w:t>
            </w:r>
          </w:p>
        </w:tc>
        <w:tc>
          <w:tcPr>
            <w:tcW w:w="12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40,980</w:t>
            </w:r>
          </w:p>
        </w:tc>
        <w:tc>
          <w:tcPr>
            <w:tcW w:w="12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28,367</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 provided by operatng actvites: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6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24,129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22,669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21,584</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1,899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2,033</w:t>
            </w:r>
          </w:p>
        </w:tc>
        <w:tc>
          <w:tcPr>
            <w:tcW w:w="0" w:type="dxa"/>
            <w:vAlign w:val="bottom"/>
          </w:tcPr>
          <w:p>
            <w:pPr>
              <w:spacing w:after="0"/>
              <w:rPr>
                <w:sz w:val="1"/>
                <w:szCs w:val="1"/>
                <w:color w:val="auto"/>
              </w:rPr>
            </w:pPr>
          </w:p>
        </w:tc>
      </w:tr>
      <w:tr>
        <w:trPr>
          <w:trHeight w:val="193"/>
        </w:trPr>
        <w:tc>
          <w:tcPr>
            <w:tcW w:w="5560" w:type="dxa"/>
            <w:vAlign w:val="bottom"/>
          </w:tcPr>
          <w:p>
            <w:pPr>
              <w:ind w:left="680"/>
              <w:spacing w:after="0" w:line="193" w:lineRule="exact"/>
              <w:rPr>
                <w:sz w:val="20"/>
                <w:szCs w:val="20"/>
                <w:color w:val="auto"/>
              </w:rPr>
            </w:pPr>
            <w:r>
              <w:rPr>
                <w:rFonts w:ascii="Calibri" w:cs="Calibri" w:eastAsia="Calibri" w:hAnsi="Calibri"/>
                <w:sz w:val="16"/>
                <w:szCs w:val="16"/>
                <w:color w:val="auto"/>
              </w:rPr>
              <w:t>(Gain) loss on deferred compensaton assets</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(1,440)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233</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Deferred 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(1,501)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(1,421)</w:t>
            </w:r>
          </w:p>
        </w:tc>
        <w:tc>
          <w:tcPr>
            <w:tcW w:w="0" w:type="dxa"/>
            <w:vAlign w:val="bottom"/>
          </w:tcPr>
          <w:p>
            <w:pPr>
              <w:spacing w:after="0"/>
              <w:rPr>
                <w:sz w:val="1"/>
                <w:szCs w:val="1"/>
                <w:color w:val="auto"/>
              </w:rPr>
            </w:pPr>
          </w:p>
        </w:tc>
      </w:tr>
      <w:tr>
        <w:trPr>
          <w:trHeight w:val="193"/>
        </w:trPr>
        <w:tc>
          <w:tcPr>
            <w:tcW w:w="5560" w:type="dxa"/>
            <w:vAlign w:val="bottom"/>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3,818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3,343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2,273</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545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656</w:t>
            </w:r>
          </w:p>
        </w:tc>
        <w:tc>
          <w:tcPr>
            <w:tcW w:w="0" w:type="dxa"/>
            <w:vAlign w:val="bottom"/>
          </w:tcPr>
          <w:p>
            <w:pPr>
              <w:spacing w:after="0"/>
              <w:rPr>
                <w:sz w:val="1"/>
                <w:szCs w:val="1"/>
                <w:color w:val="auto"/>
              </w:rPr>
            </w:pPr>
          </w:p>
        </w:tc>
      </w:tr>
      <w:tr>
        <w:trPr>
          <w:trHeight w:val="157"/>
        </w:trPr>
        <w:tc>
          <w:tcPr>
            <w:tcW w:w="5560" w:type="dxa"/>
            <w:vAlign w:val="bottom"/>
          </w:tcPr>
          <w:p>
            <w:pPr>
              <w:ind w:left="840"/>
              <w:spacing w:after="0" w:line="157" w:lineRule="exact"/>
              <w:rPr>
                <w:sz w:val="20"/>
                <w:szCs w:val="20"/>
                <w:color w:val="auto"/>
              </w:rPr>
            </w:pPr>
            <w:r>
              <w:rPr>
                <w:rFonts w:ascii="Calibri" w:cs="Calibri" w:eastAsia="Calibri" w:hAnsi="Calibri"/>
                <w:sz w:val="16"/>
                <w:szCs w:val="16"/>
                <w:color w:val="auto"/>
              </w:rPr>
              <w:t>Changes in operatng accounts (using) providing cash, net of</w:t>
            </w: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560" w:type="dxa"/>
            <w:vAlign w:val="bottom"/>
          </w:tcPr>
          <w:p>
            <w:pPr>
              <w:ind w:left="840"/>
              <w:spacing w:after="0" w:line="193" w:lineRule="exact"/>
              <w:rPr>
                <w:sz w:val="20"/>
                <w:szCs w:val="20"/>
                <w:color w:val="auto"/>
              </w:rPr>
            </w:pPr>
            <w:r>
              <w:rPr>
                <w:rFonts w:ascii="Calibri" w:cs="Calibri" w:eastAsia="Calibri" w:hAnsi="Calibri"/>
                <w:sz w:val="16"/>
                <w:szCs w:val="16"/>
                <w:color w:val="auto"/>
              </w:rPr>
              <w:t>acquisitons: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(30,526)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(21,323)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(3,387)</w:t>
            </w:r>
          </w:p>
        </w:tc>
        <w:tc>
          <w:tcPr>
            <w:tcW w:w="0" w:type="dxa"/>
            <w:vAlign w:val="bottom"/>
          </w:tcPr>
          <w:p>
            <w:pPr>
              <w:spacing w:after="0"/>
              <w:rPr>
                <w:sz w:val="1"/>
                <w:szCs w:val="1"/>
                <w:color w:val="auto"/>
              </w:rPr>
            </w:pPr>
          </w:p>
        </w:tc>
      </w:tr>
      <w:tr>
        <w:trPr>
          <w:trHeight w:val="193"/>
        </w:trPr>
        <w:tc>
          <w:tcPr>
            <w:tcW w:w="5560" w:type="dxa"/>
            <w:vAlign w:val="bottom"/>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(30,034)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(7,960)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6,045</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25,138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4,228</w:t>
            </w:r>
          </w:p>
        </w:tc>
        <w:tc>
          <w:tcPr>
            <w:tcW w:w="0" w:type="dxa"/>
            <w:vAlign w:val="bottom"/>
          </w:tcPr>
          <w:p>
            <w:pPr>
              <w:spacing w:after="0"/>
              <w:rPr>
                <w:sz w:val="1"/>
                <w:szCs w:val="1"/>
                <w:color w:val="auto"/>
              </w:rPr>
            </w:pPr>
          </w:p>
        </w:tc>
      </w:tr>
      <w:tr>
        <w:trPr>
          <w:trHeight w:val="193"/>
        </w:trPr>
        <w:tc>
          <w:tcPr>
            <w:tcW w:w="5560" w:type="dxa"/>
            <w:vAlign w:val="bottom"/>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2,723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7,554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663</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(1,907)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(2,025)</w:t>
            </w:r>
          </w:p>
        </w:tc>
        <w:tc>
          <w:tcPr>
            <w:tcW w:w="0" w:type="dxa"/>
            <w:vAlign w:val="bottom"/>
          </w:tcPr>
          <w:p>
            <w:pPr>
              <w:spacing w:after="0"/>
              <w:rPr>
                <w:sz w:val="1"/>
                <w:szCs w:val="1"/>
                <w:color w:val="auto"/>
              </w:rPr>
            </w:pPr>
          </w:p>
        </w:tc>
      </w:tr>
      <w:tr>
        <w:trPr>
          <w:trHeight w:val="193"/>
        </w:trPr>
        <w:tc>
          <w:tcPr>
            <w:tcW w:w="5560" w:type="dxa"/>
            <w:vAlign w:val="bottom"/>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586</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(1,919)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(933)</w:t>
            </w:r>
          </w:p>
        </w:tc>
        <w:tc>
          <w:tcPr>
            <w:tcW w:w="0" w:type="dxa"/>
            <w:vAlign w:val="bottom"/>
          </w:tcPr>
          <w:p>
            <w:pPr>
              <w:spacing w:after="0"/>
              <w:rPr>
                <w:sz w:val="1"/>
                <w:szCs w:val="1"/>
                <w:color w:val="auto"/>
              </w:rPr>
            </w:pPr>
          </w:p>
        </w:tc>
      </w:tr>
      <w:tr>
        <w:trPr>
          <w:trHeight w:val="187"/>
        </w:trPr>
        <w:tc>
          <w:tcPr>
            <w:tcW w:w="556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42,837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43,793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58,902</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Additons to property, plant, and equipment</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(28,512)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(20,794)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(24,549)</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(21,546)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(51,000)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302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346</w:t>
            </w:r>
          </w:p>
        </w:tc>
        <w:tc>
          <w:tcPr>
            <w:tcW w:w="0" w:type="dxa"/>
            <w:vAlign w:val="bottom"/>
          </w:tcPr>
          <w:p>
            <w:pPr>
              <w:spacing w:after="0"/>
              <w:rPr>
                <w:sz w:val="1"/>
                <w:szCs w:val="1"/>
                <w:color w:val="auto"/>
              </w:rPr>
            </w:pPr>
          </w:p>
        </w:tc>
      </w:tr>
      <w:tr>
        <w:trPr>
          <w:trHeight w:val="23"/>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(49,756)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(71,432)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(24,203)</w:t>
            </w:r>
          </w:p>
        </w:tc>
        <w:tc>
          <w:tcPr>
            <w:tcW w:w="0" w:type="dxa"/>
            <w:vAlign w:val="bottom"/>
          </w:tcPr>
          <w:p>
            <w:pPr>
              <w:spacing w:after="0"/>
              <w:rPr>
                <w:sz w:val="1"/>
                <w:szCs w:val="1"/>
                <w:color w:val="auto"/>
              </w:rPr>
            </w:pPr>
          </w:p>
        </w:tc>
      </w:tr>
      <w:tr>
        <w:trPr>
          <w:trHeight w:val="194"/>
        </w:trPr>
        <w:tc>
          <w:tcPr>
            <w:tcW w:w="556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paid</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(11,056)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(10,029)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(9,825)</w:t>
            </w:r>
          </w:p>
        </w:tc>
        <w:tc>
          <w:tcPr>
            <w:tcW w:w="0" w:type="dxa"/>
            <w:vAlign w:val="bottom"/>
          </w:tcPr>
          <w:p>
            <w:pPr>
              <w:spacing w:after="0"/>
              <w:rPr>
                <w:sz w:val="1"/>
                <w:szCs w:val="1"/>
                <w:color w:val="auto"/>
              </w:rPr>
            </w:pPr>
          </w:p>
        </w:tc>
      </w:tr>
      <w:tr>
        <w:trPr>
          <w:trHeight w:val="193"/>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1,772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1,583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1,400</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(343)</w:t>
            </w:r>
          </w:p>
        </w:tc>
        <w:tc>
          <w:tcPr>
            <w:tcW w:w="0" w:type="dxa"/>
            <w:vAlign w:val="bottom"/>
          </w:tcPr>
          <w:p>
            <w:pPr>
              <w:spacing w:after="0"/>
              <w:rPr>
                <w:sz w:val="1"/>
                <w:szCs w:val="1"/>
                <w:color w:val="auto"/>
              </w:rPr>
            </w:pPr>
          </w:p>
        </w:tc>
      </w:tr>
      <w:tr>
        <w:trPr>
          <w:trHeight w:val="194"/>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(8,545)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(4,140)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(5,853)</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for debt issuance costs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4"/>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Payments on senior secured revolving loan</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(15,000)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(37,000)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(44,000)</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Borrowings on senior secured revolving loan</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42,000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76,000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19,000</w:t>
            </w:r>
          </w:p>
        </w:tc>
        <w:tc>
          <w:tcPr>
            <w:tcW w:w="0" w:type="dxa"/>
            <w:vAlign w:val="bottom"/>
          </w:tcPr>
          <w:p>
            <w:pPr>
              <w:spacing w:after="0"/>
              <w:rPr>
                <w:sz w:val="1"/>
                <w:szCs w:val="1"/>
                <w:color w:val="auto"/>
              </w:rPr>
            </w:pPr>
          </w:p>
        </w:tc>
      </w:tr>
      <w:tr>
        <w:trPr>
          <w:trHeight w:val="187"/>
        </w:trPr>
        <w:tc>
          <w:tcPr>
            <w:tcW w:w="556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(used in) fnancing actvites</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7,417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26,360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(39,621)</w:t>
            </w:r>
          </w:p>
        </w:tc>
        <w:tc>
          <w:tcPr>
            <w:tcW w:w="0" w:type="dxa"/>
            <w:vAlign w:val="bottom"/>
          </w:tcPr>
          <w:p>
            <w:pPr>
              <w:spacing w:after="0"/>
              <w:rPr>
                <w:sz w:val="1"/>
                <w:szCs w:val="1"/>
                <w:color w:val="auto"/>
              </w:rPr>
            </w:pPr>
          </w:p>
        </w:tc>
      </w:tr>
      <w:tr>
        <w:trPr>
          <w:trHeight w:val="23"/>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shd w:val="clear" w:color="auto" w:fill="CCEEFF"/>
          </w:tcPr>
          <w:p>
            <w:pPr>
              <w:ind w:left="180"/>
              <w:spacing w:after="0" w:line="174" w:lineRule="exact"/>
              <w:rPr>
                <w:sz w:val="20"/>
                <w:szCs w:val="20"/>
                <w:color w:val="auto"/>
              </w:rPr>
            </w:pPr>
            <w:r>
              <w:rPr>
                <w:rFonts w:ascii="Calibri" w:cs="Calibri" w:eastAsia="Calibri" w:hAnsi="Calibri"/>
                <w:sz w:val="16"/>
                <w:szCs w:val="16"/>
                <w:color w:val="auto"/>
              </w:rPr>
              <w:t>NET INCREASE (DECREASE) IN CASH AND CASH EQUIVALENTS</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498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(1,279)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(4,922)</w:t>
            </w:r>
          </w:p>
        </w:tc>
        <w:tc>
          <w:tcPr>
            <w:tcW w:w="0" w:type="dxa"/>
            <w:vAlign w:val="bottom"/>
          </w:tcPr>
          <w:p>
            <w:pPr>
              <w:spacing w:after="0"/>
              <w:rPr>
                <w:sz w:val="1"/>
                <w:szCs w:val="1"/>
                <w:color w:val="auto"/>
              </w:rPr>
            </w:pPr>
          </w:p>
        </w:tc>
      </w:tr>
      <w:tr>
        <w:trPr>
          <w:trHeight w:val="194"/>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CASH AND CASH EQUIVALENTS - beginning of year</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2,998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4,277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9,199</w:t>
            </w:r>
          </w:p>
        </w:tc>
        <w:tc>
          <w:tcPr>
            <w:tcW w:w="0" w:type="dxa"/>
            <w:vAlign w:val="bottom"/>
          </w:tcPr>
          <w:p>
            <w:pPr>
              <w:spacing w:after="0"/>
              <w:rPr>
                <w:sz w:val="1"/>
                <w:szCs w:val="1"/>
                <w:color w:val="auto"/>
              </w:rPr>
            </w:pPr>
          </w:p>
        </w:tc>
      </w:tr>
      <w:tr>
        <w:trPr>
          <w:trHeight w:val="22"/>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5560" w:type="dxa"/>
            <w:vAlign w:val="bottom"/>
            <w:tcBorders>
              <w:bottom w:val="single" w:sz="8" w:color="CCEEFF"/>
            </w:tcBorders>
            <w:shd w:val="clear" w:color="auto" w:fill="CCEEFF"/>
          </w:tcPr>
          <w:p>
            <w:pPr>
              <w:ind w:left="360"/>
              <w:spacing w:after="0" w:line="174" w:lineRule="exact"/>
              <w:rPr>
                <w:sz w:val="20"/>
                <w:szCs w:val="20"/>
                <w:color w:val="auto"/>
              </w:rPr>
            </w:pPr>
            <w:r>
              <w:rPr>
                <w:rFonts w:ascii="Calibri" w:cs="Calibri" w:eastAsia="Calibri" w:hAnsi="Calibri"/>
                <w:sz w:val="16"/>
                <w:szCs w:val="16"/>
                <w:color w:val="auto"/>
              </w:rPr>
              <w:t>CASH AND CASH EQUIVALENTS - end of year</w:t>
            </w:r>
          </w:p>
        </w:tc>
        <w:tc>
          <w:tcPr>
            <w:tcW w:w="280" w:type="dxa"/>
            <w:vAlign w:val="bottom"/>
            <w:tcBorders>
              <w:bottom w:val="single" w:sz="8" w:color="CCEEFF"/>
            </w:tcBorders>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rPr>
              <w:t>$</w:t>
            </w: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3,496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4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2,998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4,277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180"/>
              <w:spacing w:after="0" w:line="180" w:lineRule="exact"/>
              <w:rPr>
                <w:sz w:val="20"/>
                <w:szCs w:val="20"/>
                <w:color w:val="auto"/>
              </w:rPr>
            </w:pPr>
            <w:r>
              <w:rPr>
                <w:rFonts w:ascii="Calibri" w:cs="Calibri" w:eastAsia="Calibri" w:hAnsi="Calibri"/>
                <w:sz w:val="16"/>
                <w:szCs w:val="16"/>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during the year for income taxes</w:t>
            </w:r>
          </w:p>
        </w:tc>
        <w:tc>
          <w:tcPr>
            <w:tcW w:w="2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w:t>
            </w: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19,726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15,783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11,415</w:t>
            </w:r>
          </w:p>
        </w:tc>
        <w:tc>
          <w:tcPr>
            <w:tcW w:w="0" w:type="dxa"/>
            <w:vAlign w:val="bottom"/>
          </w:tcPr>
          <w:p>
            <w:pPr>
              <w:spacing w:after="0"/>
              <w:rPr>
                <w:sz w:val="1"/>
                <w:szCs w:val="1"/>
                <w:color w:val="auto"/>
              </w:rPr>
            </w:pPr>
          </w:p>
        </w:tc>
      </w:tr>
      <w:tr>
        <w:trPr>
          <w:trHeight w:val="194"/>
        </w:trPr>
        <w:tc>
          <w:tcPr>
            <w:tcW w:w="556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1,197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1,288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2,413</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60" w:type="dxa"/>
            <w:vAlign w:val="bottom"/>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626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1,041</w:t>
            </w:r>
          </w:p>
        </w:tc>
        <w:tc>
          <w:tcPr>
            <w:tcW w:w="0" w:type="dxa"/>
            <w:vAlign w:val="bottom"/>
          </w:tcPr>
          <w:p>
            <w:pPr>
              <w:spacing w:after="0"/>
              <w:rPr>
                <w:sz w:val="1"/>
                <w:szCs w:val="1"/>
                <w:color w:val="auto"/>
              </w:rPr>
            </w:pPr>
          </w:p>
        </w:tc>
      </w:tr>
      <w:tr>
        <w:trPr>
          <w:trHeight w:val="22"/>
        </w:trPr>
        <w:tc>
          <w:tcPr>
            <w:tcW w:w="55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347"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679" w:right="1019" w:bottom="1440" w:gutter="0" w:footer="0" w:header="0"/>
        </w:sectPr>
      </w:pPr>
    </w:p>
    <w:bookmarkStart w:id="33" w:name="page34"/>
    <w:bookmarkEnd w:id="33"/>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7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 Nature of Business and Signifcant Accountng Policies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Nature of Business - </w:t>
      </w:r>
      <w:r>
        <w:rPr>
          <w:rFonts w:ascii="Calibri" w:cs="Calibri" w:eastAsia="Calibri" w:hAnsi="Calibri"/>
          <w:sz w:val="18"/>
          <w:szCs w:val="18"/>
          <w:color w:val="auto"/>
        </w:rPr>
        <w:t>We have three reportable segments: Industrial, Water Treatment and Health and Nutriton. The Industrial Group specializes in providing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industrial chemicals, products and services to industries such as agriculture, chemical processing, electronics, energy, food, pharmaceutcal and platng. This group also manufactures and sells certain food-grade products, including liquid phosphates, lactates and other blended products. The Water Treatment Group specializes in providing chemicals, products, equipment, services and solutons for potable water, municipal and industrial wastewater, industrial process water and non-residental swimming pool water. This group has the resources and fexibility to treat systems ranging in size from a single small well to a mult-million-gallon-per-day facility. Our Health and Nutriton Group specializes in providing ingredient distributon, processing and formulaton solutons to manufacturers of nutraceutcal, functonal food and beverage, personal care, dietary supplement and other nutritonal food, health and wellness products. This group ofers a diverse product portolio including minerals, botanicals and herbs, vitamins and amino acids, excipients, joint products, sweeteners and enzymes.</w:t>
      </w:r>
    </w:p>
    <w:p>
      <w:pPr>
        <w:spacing w:after="0" w:line="2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Fiscal Year - </w:t>
      </w:r>
      <w:r>
        <w:rPr>
          <w:rFonts w:ascii="Calibri" w:cs="Calibri" w:eastAsia="Calibri" w:hAnsi="Calibri"/>
          <w:sz w:val="18"/>
          <w:szCs w:val="18"/>
          <w:color w:val="auto"/>
        </w:rPr>
        <w:t>Our fscal year is a 52 or 53-week year ending on the Sunday closest to March 31. Our fscal 2022 was 53 weeks and our fscal 2021 fscal 2020</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were both 52 weeks. Fiscal 2023 will be 52 weeks.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Principles of Consolidaton - </w:t>
      </w:r>
      <w:r>
        <w:rPr>
          <w:rFonts w:ascii="Calibri" w:cs="Calibri" w:eastAsia="Calibri" w:hAnsi="Calibri"/>
          <w:sz w:val="18"/>
          <w:szCs w:val="18"/>
          <w:color w:val="auto"/>
        </w:rPr>
        <w:t>The consolidated fnancial statements include the accounts of Hawkins, Inc. and its wholly-owned subsidiaries. All intercompany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transactons and accounts have been eliminated.</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Estmates </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preparaton of fnancial statements in conformity with U.S. generally accepted accountng principles (“GAAP”) requires management to make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estmates and assumptons that afect the reported amounts of assets and liabilites, partcularly receivables, inventories, property, plant and equipment, right-of-use assets, goodwill, intangibles, accrued expenses, short-term and long-term lease liability, income taxes and related accounts and the reported amounts of revenues and expenses during the reportng period. Actual results could difer from those estmates.</w:t>
      </w:r>
    </w:p>
    <w:p>
      <w:pPr>
        <w:spacing w:after="0" w:line="24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auto"/>
        </w:rPr>
        <w:t xml:space="preserve">Revenue Recogniton - </w:t>
      </w:r>
      <w:r>
        <w:rPr>
          <w:rFonts w:ascii="Calibri" w:cs="Calibri" w:eastAsia="Calibri" w:hAnsi="Calibri"/>
          <w:sz w:val="17"/>
          <w:szCs w:val="17"/>
          <w:color w:val="auto"/>
        </w:rPr>
        <w:t>Revenue is measured as the amount of consideraton we expect to receive in exchange for transferring products. Revenue is</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recognized when we satsfy our performance obligatons under the contract. We recognize revenue upon transfer of control of the promised products to the customer, with revenue recognized at the point in tme the customer obtains control of the products. Net sales include products and shipping charges, net of estmates for product returns and any related sales rebates. We estmate product returns based on historical return rates. Using probability assessments, we estmate sales rebates expected to be paid over the term of the contract. The majority of our contracts have a single performance obligaton and are short term in nature. Sales taxes that are collected from customers and remited to governmental authorites are accounted for on a net basis and therefore are excluded from net sales. We ofer certain customers cash discounts and volume rebates as sales incentves. The discounts and volume rebates are recorded as a reducton in sales at the tme revenue is recognized in an amount estmated based on historical experience and contractual obligatons.</w:t>
      </w:r>
    </w:p>
    <w:p>
      <w:pPr>
        <w:spacing w:after="0" w:line="23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Shipping and Handling - </w:t>
      </w:r>
      <w:r>
        <w:rPr>
          <w:rFonts w:ascii="Calibri" w:cs="Calibri" w:eastAsia="Calibri" w:hAnsi="Calibri"/>
          <w:sz w:val="18"/>
          <w:szCs w:val="18"/>
          <w:color w:val="auto"/>
        </w:rPr>
        <w:t>All shipping and handling amounts billed to customers are included in revenues. Costs incurred related to the shipping and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handling of products are 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4" w:name="page35"/>
    <w:bookmarkEnd w:id="34"/>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Fair Value Measurements - </w:t>
      </w:r>
      <w:r>
        <w:rPr>
          <w:rFonts w:ascii="Calibri" w:cs="Calibri" w:eastAsia="Calibri" w:hAnsi="Calibri"/>
          <w:sz w:val="18"/>
          <w:szCs w:val="18"/>
          <w:color w:val="auto"/>
        </w:rPr>
        <w:t>The fnancial assets and liabilites that are re-measured and reported at fair value for each reportng period are an interest rate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swap and marketable securites. There are no fair value measurements with respect to nonfnancial assets or liabilites that are recognized or disclosed at fair value in our consolidated fnancial statements on a recurring basis.</w:t>
      </w:r>
    </w:p>
    <w:p>
      <w:pPr>
        <w:spacing w:after="0" w:line="24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Assets and liabilites measured at fair value are classifed using the following hierarchy, which is based upon the transparency of inputs to the valuaton as of the measurement date:</w:t>
      </w:r>
    </w:p>
    <w:p>
      <w:pPr>
        <w:spacing w:after="0" w:line="240" w:lineRule="exact"/>
        <w:rPr>
          <w:sz w:val="20"/>
          <w:szCs w:val="20"/>
          <w:color w:val="auto"/>
        </w:rPr>
      </w:pPr>
    </w:p>
    <w:p>
      <w:pPr>
        <w:ind w:left="460"/>
        <w:spacing w:after="0"/>
        <w:rPr>
          <w:sz w:val="20"/>
          <w:szCs w:val="20"/>
          <w:color w:val="auto"/>
        </w:rPr>
      </w:pPr>
      <w:r>
        <w:rPr>
          <w:rFonts w:ascii="Calibri" w:cs="Calibri" w:eastAsia="Calibri" w:hAnsi="Calibri"/>
          <w:sz w:val="18"/>
          <w:szCs w:val="18"/>
          <w:i w:val="1"/>
          <w:iCs w:val="1"/>
          <w:color w:val="auto"/>
        </w:rPr>
        <w:t xml:space="preserve">Level 1: </w:t>
      </w:r>
      <w:r>
        <w:rPr>
          <w:rFonts w:ascii="Calibri" w:cs="Calibri" w:eastAsia="Calibri" w:hAnsi="Calibri"/>
          <w:sz w:val="18"/>
          <w:szCs w:val="18"/>
          <w:color w:val="auto"/>
        </w:rPr>
        <w:t>Valuaton is based on quoted prices in actve markets for identcal assets or liabilites.</w:t>
      </w:r>
    </w:p>
    <w:p>
      <w:pPr>
        <w:spacing w:after="0" w:line="244" w:lineRule="exact"/>
        <w:rPr>
          <w:sz w:val="20"/>
          <w:szCs w:val="20"/>
          <w:color w:val="auto"/>
        </w:rPr>
      </w:pPr>
    </w:p>
    <w:p>
      <w:pPr>
        <w:jc w:val="both"/>
        <w:ind w:left="220" w:firstLine="243"/>
        <w:spacing w:after="0" w:line="235" w:lineRule="auto"/>
        <w:rPr>
          <w:sz w:val="20"/>
          <w:szCs w:val="20"/>
          <w:color w:val="auto"/>
        </w:rPr>
      </w:pPr>
      <w:r>
        <w:rPr>
          <w:rFonts w:ascii="Calibri" w:cs="Calibri" w:eastAsia="Calibri" w:hAnsi="Calibri"/>
          <w:sz w:val="18"/>
          <w:szCs w:val="18"/>
          <w:i w:val="1"/>
          <w:iCs w:val="1"/>
          <w:color w:val="auto"/>
        </w:rPr>
        <w:t xml:space="preserve">Level 2: </w:t>
      </w:r>
      <w:r>
        <w:rPr>
          <w:rFonts w:ascii="Calibri" w:cs="Calibri" w:eastAsia="Calibri" w:hAnsi="Calibri"/>
          <w:sz w:val="18"/>
          <w:szCs w:val="18"/>
          <w:color w:val="auto"/>
        </w:rPr>
        <w:t>Valuaton is based on quoted prices in actve markets for similar assets or liabilites, or quoted prices for identcal or similar assets or liabilites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 markets that are not actve, or inputs other than quoted prices that are observable or can be corroborated by observable market data for the asset or liability.</w:t>
      </w:r>
    </w:p>
    <w:p>
      <w:pPr>
        <w:spacing w:after="0" w:line="165" w:lineRule="exact"/>
        <w:rPr>
          <w:sz w:val="20"/>
          <w:szCs w:val="20"/>
          <w:color w:val="auto"/>
        </w:rPr>
      </w:pPr>
    </w:p>
    <w:p>
      <w:pPr>
        <w:jc w:val="both"/>
        <w:ind w:left="220" w:right="20" w:firstLine="243"/>
        <w:spacing w:after="0" w:line="235" w:lineRule="auto"/>
        <w:rPr>
          <w:sz w:val="20"/>
          <w:szCs w:val="20"/>
          <w:color w:val="auto"/>
        </w:rPr>
      </w:pPr>
      <w:r>
        <w:rPr>
          <w:rFonts w:ascii="Calibri" w:cs="Calibri" w:eastAsia="Calibri" w:hAnsi="Calibri"/>
          <w:sz w:val="18"/>
          <w:szCs w:val="18"/>
          <w:i w:val="1"/>
          <w:iCs w:val="1"/>
          <w:color w:val="auto"/>
        </w:rPr>
        <w:t xml:space="preserve">Level 3: </w:t>
      </w:r>
      <w:r>
        <w:rPr>
          <w:rFonts w:ascii="Calibri" w:cs="Calibri" w:eastAsia="Calibri" w:hAnsi="Calibri"/>
          <w:sz w:val="18"/>
          <w:szCs w:val="18"/>
          <w:color w:val="auto"/>
        </w:rPr>
        <w:t>Valuaton is based upon unobservable inputs for the asset or liability that are supported by litle or no market actvity. These fair values 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determined using pricing models for which the assumptons utlize management’s estmates or market partcipant assumptons.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making fair value measurements, observable market data must be used when available. When inputs used to measure fair value fall within diferent levels of the hierarchy, the level within which the fair value measurement is categorized is based on the lowest level input that is signifcant to the fair value measurement.</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Cash Equivalents - </w:t>
      </w:r>
      <w:r>
        <w:rPr>
          <w:rFonts w:ascii="Calibri" w:cs="Calibri" w:eastAsia="Calibri" w:hAnsi="Calibri"/>
          <w:sz w:val="18"/>
          <w:szCs w:val="18"/>
          <w:color w:val="auto"/>
        </w:rPr>
        <w:t>Cash equivalents include all liquid debt instruments (primarily cash funds and money market accounts) purchased with an original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maturity of three months or less. The cash balances, maintained at large commercial banking insttutons with strong credit ratngs, may, at tmes, exceed federally insured limits.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Trade Receivables and Concentratons of Credit Risk - </w:t>
      </w:r>
      <w:r>
        <w:rPr>
          <w:rFonts w:ascii="Calibri" w:cs="Calibri" w:eastAsia="Calibri" w:hAnsi="Calibri"/>
          <w:sz w:val="18"/>
          <w:szCs w:val="18"/>
          <w:color w:val="auto"/>
        </w:rPr>
        <w:t>Financial instruments, which potentally subject us to a concentraton of credit risk, principally consist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 trade receivables. We sell our principal products to a large number of customers in many diferent industries. As of April 3, 2022, we had a signifcant concentraton of credit risk, with a single customer representng approximately 13% of our total trade receivables. There are no other concentratons of credit risk with other single customers from a partcular service or geographic area that would signifcantly impact us in the near term.</w:t>
      </w:r>
    </w:p>
    <w:p>
      <w:pPr>
        <w:spacing w:after="0" w:line="24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To reduce credit risk, we routnely assess the fnancial strength of our customers. Receivables are reported net of an allowance for credit losses as determined by management at the end of each reportng period. Our receivable allowance in based on an estmate of expected credit losses, with the estmate based on a number of qualitatve and quanttatve factors that, based on collecton experience, may have an impact on repayment risk and ability to collect.</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Inventories - </w:t>
      </w:r>
      <w:r>
        <w:rPr>
          <w:rFonts w:ascii="Calibri" w:cs="Calibri" w:eastAsia="Calibri" w:hAnsi="Calibri"/>
          <w:sz w:val="18"/>
          <w:szCs w:val="18"/>
          <w:color w:val="auto"/>
        </w:rPr>
        <w:t>Inventories, consistng primarily of fnished goods, are primarily valued at the lower of cost or net realizable value, with cost for approximately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73% of our inventory determined using the last-in, frst-out (“LIFO”) method. Cost for the other 27% of our total inventory is determined using the frst-in, frst-out (“FIFO”) method.</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Leases </w:t>
      </w:r>
      <w:r>
        <w:rPr>
          <w:rFonts w:ascii="Calibri" w:cs="Calibri" w:eastAsia="Calibri" w:hAnsi="Calibri"/>
          <w:sz w:val="18"/>
          <w:szCs w:val="18"/>
          <w:color w:val="auto"/>
        </w:rPr>
        <w:t>- We determine if an arrangement is a lease at incepton. Right-of-use ("ROU") assets include operatng leases. Lease liabilites for operatng leases 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classifed in "short-term lease liabilites" and "long-term lease liabilites" in our consolidated balance sheet.</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ROU assets and related liabilites are recognized at commencement date based on the present value of the lease payments over the lease term. As most of our leases do not provide an implicit rate, we use our incremental borrowing rate based on the informaton available at commencement date in determining the present value of lease payments. Lease terms may include optons to extend or terminate the lease when it is reasonably certain that we will exercise that opton. Lease expense for lease payments is recognized on a straight-line basis over the lease term.</w:t>
      </w:r>
    </w:p>
    <w:p>
      <w:pPr>
        <w:spacing w:after="0" w:line="24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5" w:name="page36"/>
    <w:bookmarkEnd w:id="35"/>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Property, Plant and Equipment - </w:t>
      </w:r>
      <w:r>
        <w:rPr>
          <w:rFonts w:ascii="Calibri" w:cs="Calibri" w:eastAsia="Calibri" w:hAnsi="Calibri"/>
          <w:sz w:val="18"/>
          <w:szCs w:val="18"/>
          <w:color w:val="auto"/>
        </w:rPr>
        <w:t>Property is stated at cost and depreciated or amortzed over the lives of the assets, using the straight-line method. Estmated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lives are: 10 to 40 years for buildings and improvements; 3 to 20 years for machinery and equipment; and 3 to 10 years for transportaton equipment and ofce furniture and equipment including computer systems. Leasehold improvements are amortzed over the lesser of their estmated useful lives or the remaining lease term. Depreciaton and amortzaton expense is recorded in our Consolidated Statement of Income within cost of goods sold and selling, general and administratve expense, depending on the use of the underlying asset. We recorded depreciaton expense of $17.7 million for fscal 2022, $16.8 million for fscal 2021 and $16.5 million for fscal 2020.</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Signifcant improvements that add to productve capacity or extend the lives of propertes are capitalized. Costs for repairs and maintenance are charged to expense as incurred. When property is retred or otherwise disposed of, the cost and related accumulated depreciaton or amortzaton are removed from the accounts and any related gains or losses are included in income.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signifcant reductons in projected future cash fows. The assessment of possible impairment is based on our ability to recover the carrying value of the asset group from the expected future pre-tax cash fows (undiscounted) of the related asset group. If these cash fows are less than the carrying value of such asset group, an impairment loss would be measured by the amount the carrying value exceeds the fair value of the long-lived asset group. The measurement of impairment requires us to estmate future cash fows and the fair value of long-lived assets. We did not incur any asset write-of charge in fscal 2022 related to the impairment of long-lived assets. Asset write-of charges were $0.2 million during fscal 2021 and $0.6 million during fscal 2020.</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Goodwill and Identfable Intangible Assets - </w:t>
      </w:r>
      <w:r>
        <w:rPr>
          <w:rFonts w:ascii="Calibri" w:cs="Calibri" w:eastAsia="Calibri" w:hAnsi="Calibri"/>
          <w:sz w:val="18"/>
          <w:szCs w:val="18"/>
          <w:color w:val="auto"/>
        </w:rPr>
        <w:t>Goodwill represents the excess of the cost of acquired businesses over the fair value of identfable tangible net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assets and identfable intangible assets purchased. Goodwill is tested at least annually for impairment, and is tested for impairment more frequently if events or changes in circumstances indicate that the asset might be impaired. Our annual test for impairment is as of the frst day of our fourth fscal quarter. As of December 27, 2021, we performed an analysis of qualitatve factors for our Industrial, Water Treatment and Health and Nutriton reportng units to determine whether it is more likely than not that the fair value of either of these reportng units was less than its carrying amount as a basis for determining whether it is necessary to perform a quanttatve goodwill impairment test. Based on management’s analysis of qualitatve factors, we determined that it was not necessary to perform a quanttatve goodwill impairment test for any of these reportng units.</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impairment assessments were also completed in the fourth quarters of fscal 2021 and 2020 and similarly, we did not record a goodwill impairment charge.</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primary identfable intangible assets include customer lists, trade secrets, non-competton agreements, trademarks and trade names acquired in previous business acquisitons. Identfable intangible assets with fnite lives are amortzed whereas identfable intangible assets with indefnite lives are not amortzed. The values assigned to the intangible assets with fnite lives are being amortzed on average over a remaining useful life of approximately 12 years. Identfable intangible assets that are subject to amortzaton are evaluated for impairment whenever events or changes in circumstances indicate that the carrying amount may not be recoverable. No such events or changes in circumstances occurred during fscal 2022, 2021 or 2020. Identfable intangible assets not subject to amortzaton are tested for impairment annually or more frequently if events warrant. The impairment test consists of a qualitatve assessment to determine whether it is more likely than not that the asset is impaired. Based on management’s analysis of qualitatve factors, we determined that it was not necessary to perform an annual quanttatve impairment test for fscal 2022,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Income Taxes - </w:t>
      </w:r>
      <w:r>
        <w:rPr>
          <w:rFonts w:ascii="Calibri" w:cs="Calibri" w:eastAsia="Calibri" w:hAnsi="Calibri"/>
          <w:sz w:val="18"/>
          <w:szCs w:val="18"/>
          <w:color w:val="auto"/>
        </w:rPr>
        <w:t>We account for income taxes under the asset and liability method, which requires the recogniton of deferred tax assets and liabilites for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expected future tax consequences of events that have been included in the fnancial statements. Under this method, deferred tax assets and liabilites are determined on the basis of the diferences between the fnancial statements and tax basis of assets and liabilites using enacted tax rates in efect for the year in which the diferences are expected to reverse. The efect of a change in tax rates on deferred tax assets and liabilites is recognized in income tax expense in the period that includes the enactment date. The deferred tax assets and liabilites are analyzed regularly, and management assesses the likelihood that deferred tax assets will be recovered from future taxable income. We record any interest and penaltes related to income taxes as income tax expense in the consolidated statements of income.</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the efect of income tax positons only if those positons are more-likely-than-not to be sustained. Recognized income tax positons are measured at the largest amount of tax with a greater than 50 percent likelihood of being realized upon ultmate setlement with the related tax authority. Changes in recogniton or measurement are refected in the period in which the facts and circumstances change.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Stock-Based Compensaton - </w:t>
      </w:r>
      <w:r>
        <w:rPr>
          <w:rFonts w:ascii="Calibri" w:cs="Calibri" w:eastAsia="Calibri" w:hAnsi="Calibri"/>
          <w:sz w:val="18"/>
          <w:szCs w:val="18"/>
          <w:color w:val="auto"/>
        </w:rPr>
        <w:t>We account for stock-based compensaton on a fair value basis. The estmated grant date fair value of each stock-based award is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recognized in expense over the requisite service period (generally the vestng period). Non-vested share awards are recorded as expense over the requisite service periods based on the stock price on the date of grant.</w:t>
      </w:r>
    </w:p>
    <w:p>
      <w:pPr>
        <w:spacing w:after="0" w:line="246"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b w:val="1"/>
          <w:bCs w:val="1"/>
          <w:i w:val="1"/>
          <w:iCs w:val="1"/>
          <w:color w:val="auto"/>
        </w:rPr>
        <w:t xml:space="preserve">Earnings Per Share - </w:t>
      </w:r>
      <w:r>
        <w:rPr>
          <w:rFonts w:ascii="Calibri" w:cs="Calibri" w:eastAsia="Calibri" w:hAnsi="Calibri"/>
          <w:sz w:val="17"/>
          <w:szCs w:val="17"/>
          <w:color w:val="auto"/>
        </w:rPr>
        <w:t>Basic earnings per share (“EPS”) are computed by dividing net income by the weighted-average number of common shares outstanding.</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Diluted EPS are computed by dividing net income by the weighted-average number of common shares outstanding including the incremental shares assumed</w:t>
      </w: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line="217" w:lineRule="exact"/>
              <w:rPr>
                <w:sz w:val="20"/>
                <w:szCs w:val="20"/>
                <w:color w:val="auto"/>
              </w:rPr>
            </w:pPr>
            <w:r>
              <w:rPr>
                <w:rFonts w:ascii="Calibri" w:cs="Calibri" w:eastAsia="Calibri" w:hAnsi="Calibri"/>
                <w:sz w:val="18"/>
                <w:szCs w:val="18"/>
                <w:color w:val="auto"/>
              </w:rPr>
              <w:t>to   be   issued   as   performance   units   and   restricted   stock.</w:t>
            </w:r>
          </w:p>
        </w:tc>
        <w:tc>
          <w:tcPr>
            <w:tcW w:w="2200" w:type="dxa"/>
            <w:vAlign w:val="bottom"/>
            <w:gridSpan w:val="3"/>
          </w:tcPr>
          <w:p>
            <w:pPr>
              <w:ind w:left="120"/>
              <w:spacing w:after="0" w:line="217" w:lineRule="exact"/>
              <w:rPr>
                <w:sz w:val="20"/>
                <w:szCs w:val="20"/>
                <w:color w:val="auto"/>
              </w:rPr>
            </w:pPr>
            <w:r>
              <w:rPr>
                <w:rFonts w:ascii="Calibri" w:cs="Calibri" w:eastAsia="Calibri" w:hAnsi="Calibri"/>
                <w:sz w:val="18"/>
                <w:szCs w:val="18"/>
                <w:color w:val="auto"/>
              </w:rPr>
              <w:t>Basic   and   diluted   EPS</w:t>
            </w:r>
          </w:p>
        </w:tc>
        <w:tc>
          <w:tcPr>
            <w:tcW w:w="2160" w:type="dxa"/>
            <w:vAlign w:val="bottom"/>
            <w:gridSpan w:val="3"/>
          </w:tcPr>
          <w:p>
            <w:pPr>
              <w:ind w:left="220"/>
              <w:spacing w:after="0" w:line="217" w:lineRule="exact"/>
              <w:rPr>
                <w:sz w:val="20"/>
                <w:szCs w:val="20"/>
                <w:color w:val="auto"/>
              </w:rPr>
            </w:pPr>
            <w:r>
              <w:rPr>
                <w:rFonts w:ascii="Calibri" w:cs="Calibri" w:eastAsia="Calibri" w:hAnsi="Calibri"/>
                <w:sz w:val="18"/>
                <w:szCs w:val="18"/>
                <w:color w:val="auto"/>
              </w:rPr>
              <w:t>were   calculated   using</w:t>
            </w:r>
          </w:p>
        </w:tc>
        <w:tc>
          <w:tcPr>
            <w:tcW w:w="1360" w:type="dxa"/>
            <w:vAlign w:val="bottom"/>
            <w:gridSpan w:val="2"/>
          </w:tcPr>
          <w:p>
            <w:pPr>
              <w:ind w:left="200"/>
              <w:spacing w:after="0" w:line="217" w:lineRule="exact"/>
              <w:rPr>
                <w:sz w:val="20"/>
                <w:szCs w:val="20"/>
                <w:color w:val="auto"/>
              </w:rPr>
            </w:pPr>
            <w:r>
              <w:rPr>
                <w:rFonts w:ascii="Calibri" w:cs="Calibri" w:eastAsia="Calibri" w:hAnsi="Calibri"/>
                <w:sz w:val="18"/>
                <w:szCs w:val="18"/>
                <w:color w:val="auto"/>
              </w:rPr>
              <w:t>the   following:</w:t>
            </w:r>
          </w:p>
        </w:tc>
      </w:tr>
      <w:tr>
        <w:trPr>
          <w:trHeight w:val="206"/>
        </w:trPr>
        <w:tc>
          <w:tcPr>
            <w:tcW w:w="5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gridSpan w:val="2"/>
          </w:tcPr>
          <w:p>
            <w:pPr>
              <w:ind w:left="440"/>
              <w:spacing w:after="0"/>
              <w:rPr>
                <w:sz w:val="20"/>
                <w:szCs w:val="20"/>
                <w:color w:val="auto"/>
              </w:rPr>
            </w:pPr>
            <w:r>
              <w:rPr>
                <w:rFonts w:ascii="Calibri" w:cs="Calibri" w:eastAsia="Calibri" w:hAnsi="Calibri"/>
                <w:sz w:val="14"/>
                <w:szCs w:val="14"/>
                <w:b w:val="1"/>
                <w:bCs w:val="1"/>
                <w:color w:val="auto"/>
              </w:rPr>
              <w:t>April 03, 2022</w:t>
            </w:r>
          </w:p>
        </w:tc>
        <w:tc>
          <w:tcPr>
            <w:tcW w:w="2160" w:type="dxa"/>
            <w:vAlign w:val="bottom"/>
            <w:gridSpan w:val="3"/>
          </w:tcPr>
          <w:p>
            <w:pPr>
              <w:ind w:left="380"/>
              <w:spacing w:after="0"/>
              <w:rPr>
                <w:sz w:val="20"/>
                <w:szCs w:val="20"/>
                <w:color w:val="auto"/>
              </w:rPr>
            </w:pPr>
            <w:r>
              <w:rPr>
                <w:rFonts w:ascii="Calibri" w:cs="Calibri" w:eastAsia="Calibri" w:hAnsi="Calibri"/>
                <w:sz w:val="14"/>
                <w:szCs w:val="14"/>
                <w:b w:val="1"/>
                <w:bCs w:val="1"/>
                <w:color w:val="auto"/>
              </w:rPr>
              <w:t>March 28, 2021</w:t>
            </w:r>
          </w:p>
        </w:tc>
        <w:tc>
          <w:tcPr>
            <w:tcW w:w="13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March 29, 2020</w:t>
            </w:r>
          </w:p>
        </w:tc>
      </w:tr>
      <w:tr>
        <w:trPr>
          <w:trHeight w:val="47"/>
        </w:trPr>
        <w:tc>
          <w:tcPr>
            <w:tcW w:w="55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5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Weighted average common shares outstanding — basic</w:t>
            </w: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20,947,234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21,024,344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21,159,978</w:t>
            </w:r>
          </w:p>
        </w:tc>
        <w:tc>
          <w:tcPr>
            <w:tcW w:w="20" w:type="dxa"/>
            <w:vAlign w:val="bottom"/>
          </w:tcPr>
          <w:p>
            <w:pPr>
              <w:spacing w:after="0"/>
              <w:rPr>
                <w:sz w:val="19"/>
                <w:szCs w:val="19"/>
                <w:color w:val="auto"/>
              </w:rPr>
            </w:pPr>
          </w:p>
        </w:tc>
      </w:tr>
      <w:tr>
        <w:trPr>
          <w:trHeight w:val="223"/>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Dilutve impact of stock performance units and restricted stock</w:t>
            </w:r>
          </w:p>
        </w:tc>
        <w:tc>
          <w:tcPr>
            <w:tcW w:w="20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188,024</w:t>
            </w:r>
          </w:p>
        </w:tc>
        <w:tc>
          <w:tcPr>
            <w:tcW w:w="12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235,952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148,822</w:t>
            </w:r>
          </w:p>
        </w:tc>
        <w:tc>
          <w:tcPr>
            <w:tcW w:w="20" w:type="dxa"/>
            <w:vAlign w:val="bottom"/>
          </w:tcPr>
          <w:p>
            <w:pPr>
              <w:spacing w:after="0"/>
              <w:rPr>
                <w:sz w:val="19"/>
                <w:szCs w:val="19"/>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Weighted average common shares outstanding — diluted</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21,135,258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21,260,296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21,308,800</w:t>
            </w:r>
          </w:p>
        </w:tc>
        <w:tc>
          <w:tcPr>
            <w:tcW w:w="20" w:type="dxa"/>
            <w:vAlign w:val="bottom"/>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no shares or stock optons excluded from the calculaton of weighted average common shares for diluted EPS for fscal 2022, 2021 or 2020.</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Stock Split - </w:t>
      </w:r>
      <w:r>
        <w:rPr>
          <w:rFonts w:ascii="Calibri" w:cs="Calibri" w:eastAsia="Calibri" w:hAnsi="Calibri"/>
          <w:sz w:val="18"/>
          <w:szCs w:val="18"/>
          <w:color w:val="auto"/>
        </w:rPr>
        <w:t>In fscal 2021, we efected a two-for-one stock split of our common stock and adjusted the par value of our common stock to $.01 par value.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consolidated fnancial statements, related notes, and other fnancial data contained in this report have been adjusted to give retroactve efect to the stock split for all periods presented.</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Derivatve Instruments and Hedging Actvites - </w:t>
      </w:r>
      <w:r>
        <w:rPr>
          <w:rFonts w:ascii="Calibri" w:cs="Calibri" w:eastAsia="Calibri" w:hAnsi="Calibri"/>
          <w:sz w:val="18"/>
          <w:szCs w:val="18"/>
          <w:color w:val="auto"/>
        </w:rPr>
        <w:t>We are subject to interest rate risk associated with our variable rate debt. We have in place an interest rate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swap agreement which has been designated as a cash fow hedge, the purpose of which is to eliminate the cash fow impact of interest rate changes on a porton of our variable-rate debt. The interest rate swap is measured at fair value on the contract date and is subsequently remeasured to fair value at each reportng date. Changes in the fair value of a derivatve that is highly efectve, and that is designated and qualifes as a cash fow hedge, are recorded in other comprehensive income, untl the consolidated statement of income is afected by the variability in cash fows of the designated hedged item. To the extent that the hedge is inefectve, changes in the fair value are recognized in the Statement of Income.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We do not expect that any recently issued accountng pronouncements will have a material efect on our fnancial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Accountng Pronouncements</w:t>
      </w:r>
    </w:p>
    <w:p>
      <w:pPr>
        <w:spacing w:after="0" w:line="231"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 xml:space="preserve">In December 2019, the Financial Accountng Standards Board ("FASB") issued Accountng Standards Update ("ASU") 2019-12, </w:t>
      </w:r>
      <w:r>
        <w:rPr>
          <w:rFonts w:ascii="Calibri" w:cs="Calibri" w:eastAsia="Calibri" w:hAnsi="Calibri"/>
          <w:sz w:val="18"/>
          <w:szCs w:val="18"/>
          <w:i w:val="1"/>
          <w:iCs w:val="1"/>
          <w:color w:val="auto"/>
        </w:rPr>
        <w:t>Income Taxes (Topic 740) -</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Simplifying the Accountng for Income Taxes</w:t>
      </w:r>
      <w:r>
        <w:rPr>
          <w:rFonts w:ascii="Calibri" w:cs="Calibri" w:eastAsia="Calibri" w:hAnsi="Calibri"/>
          <w:sz w:val="18"/>
          <w:szCs w:val="18"/>
          <w:color w:val="auto"/>
        </w:rPr>
        <w:t>, removing certain exceptons for investments, intra-period allocatons and interim calculatons and adding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guidance to reduce complexity in accountng for income taxes. We adopted this guidance at the beginning of fscal 2022. Our adopton of this ASU did not have a material impact on the Company's consolidated fnancial positon, results of operatons or cash fows.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7" w:name="page38"/>
    <w:bookmarkEnd w:id="37"/>
    <w:p>
      <w:pPr>
        <w:jc w:val="center"/>
        <w:ind w:right="-39"/>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 — Acquisitons</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NAPCO Chemical Company, Inc.: </w:t>
      </w:r>
      <w:r>
        <w:rPr>
          <w:rFonts w:ascii="Calibri" w:cs="Calibri" w:eastAsia="Calibri" w:hAnsi="Calibri"/>
          <w:sz w:val="18"/>
          <w:szCs w:val="18"/>
          <w:color w:val="auto"/>
        </w:rPr>
        <w:t>On December 30, 2021, we acquired substantally all the assets of NAPCO Chemical Company, Inc. ("NAPCO"),</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under the terms of an asset purchase agreement with NAPCO and certain other partes thereto, to further the geographic reach of our Water Treatment segment. We paid $18.5 million at closing for the acquisiton, and an additonal $0.5 million for a working capital adjustment. NAPCO manufactures and distributes water treatment chemicals from three locatons in Texas.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11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acquisiton has been accounted for as a business combinaton, under which the total purchase price is allocated to the net tangible and intangible assets and liabilites of NAPCO acquired in connecton with the acquisiton based on their estmated fair values. We estmated the fair values of the assets acquired and liabilites assumed using a discounted cash fow analysis (income approach). Of the total $19 million purchase price, we allocated $9.4 million to fnite-lived intangible assets, primarily customer relatonships to be amortzed over 18 years, $3.6 million to property, plant and equipment and $1.5 million to net working capital. The residual amount of $4.5 million was allocated to goodwill. The goodwill recognized as a result of this acquisiton is primarily atributable to strategic and synergistc benefts, as well as the assembled workforce. Such goodwill is expected to be deductble for tax purposes. The purchase price allocaton is fnal.</w:t>
      </w:r>
    </w:p>
    <w:p>
      <w:pPr>
        <w:spacing w:after="0" w:line="2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Water and Waste Specialtes, Inc.: </w:t>
      </w:r>
      <w:r>
        <w:rPr>
          <w:rFonts w:ascii="Calibri" w:cs="Calibri" w:eastAsia="Calibri" w:hAnsi="Calibri"/>
          <w:sz w:val="18"/>
          <w:szCs w:val="18"/>
          <w:color w:val="auto"/>
        </w:rPr>
        <w:t>On October 29, 2021, we acquired substantally all the assets of Water and Waste Specialtes, Inc., under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terms of a purchase agreement with Water and Waste Specialtes and its shareholders, to further the geographic reach of our Water Treatment segment. We paid $1.4 million at closing for the acquisiton. Water and Waste Specialtes was a water treatment chemical distributon company operatng primarily in Alabama.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11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acquisiton has been accounted for as a business combinaton, under which the total purchase price is allocated to the net tangible and intangible assets and liabilites of Water and Waste Specialtes acquired in connecton with the acquisiton based on their estmated fair values. We estmated the fair values of the assets acquired and liabilites assumed using a discounted cash fow analysis (income approach). Of the total $1.4 million purchase price, we allocated $0.5 million to fnite-lived intangible assets, primarily customer relatonships to be amortzed over 11 years, and $0.4 million to property, plant and equipment. The residual amount of $0.5 million was allocated to goodwill. The goodwill recognized as a result of this acquisiton is primarily atributable to strategic and synergistc benefts, as well as the assembled workforce. Such goodwill is expected to be deductble for tax purposes. The purchase price allocaton is fnal.</w:t>
      </w:r>
    </w:p>
    <w:p>
      <w:pPr>
        <w:spacing w:after="0" w:line="2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Southeast Water Systems LLC: </w:t>
      </w:r>
      <w:r>
        <w:rPr>
          <w:rFonts w:ascii="Calibri" w:cs="Calibri" w:eastAsia="Calibri" w:hAnsi="Calibri"/>
          <w:sz w:val="18"/>
          <w:szCs w:val="18"/>
          <w:color w:val="auto"/>
        </w:rPr>
        <w:t>On September 20, 2021, we acquired substantally all the assets of Southeast Water Systems LLC, under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terms of an asset purchase agreement with Southeast Water Systems and its shareholders, to further the geographic reach of our Water Treatment segment. We paid $1.2 million at closing for the acquisiton and may pay up to an additonal $1.0 million over the next three years based on achieving certain goals. Southeast Water Systems supplied and installed water treatment chemical equipment to its customers located primarily in Alabama, southern Georgia and the Florida panhandle.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11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acquisiton has been accounted for as a business combinaton, under which the total purchase price is allocated to the net tangible and intangible assets and liabilites of Southeast Water Systems acquired in connecton with the acquisiton based on their estmated fair values. We estmated the fair values of the assets acquired and liabilites assumed using a discounted cash fow analysis (income approach). Of the total $2.2 million purchase price, which includes a contngent consideraton liability of $1.0 million, we allocated $0.4 million to fnite-lived intangible assets, primarily customer relatonships to be amortzed over 10 years, and $0.1 million to property, plant and equipment. The residual amount of $1.7 million was allocated to goodwill. The goodwill recognized as a result of this acquisiton is primarily atributable to strategic and synergistc benefts, as well as the assembled workforce. Such goodwill is expected to be deductble for tax purposes. The purchase price allocaton is fnal.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8" w:name="page39"/>
    <w:bookmarkEnd w:id="38"/>
    <w:p>
      <w:pPr>
        <w:jc w:val="center"/>
        <w:ind w:right="-19"/>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Acquisiton of C&amp;L Aqua Professionals, Inc. and LC Blending, Inc.</w:t>
      </w:r>
      <w:r>
        <w:rPr>
          <w:rFonts w:ascii="Calibri" w:cs="Calibri" w:eastAsia="Calibri" w:hAnsi="Calibri"/>
          <w:sz w:val="18"/>
          <w:szCs w:val="18"/>
          <w:color w:val="auto"/>
        </w:rPr>
        <w:t>: In fscal 2021, we acquired substantally all the assets of C&amp;L Aqua Professionals, Inc.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LC Blending, Inc. (together, "C&amp;L Aqua") under the terms of an asset purchase agreement among us, C&amp;L Aqua and its shareholders, to further the geographic reach of our Water Treatment segment. We paid $16 million for the acquisiton. C&amp;L Aqua was a water treatment chemical distributon company operatng primarily in Louisiana.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247" w:lineRule="exact"/>
        <w:rPr>
          <w:sz w:val="20"/>
          <w:szCs w:val="20"/>
          <w:color w:val="auto"/>
        </w:rPr>
      </w:pPr>
    </w:p>
    <w:p>
      <w:pPr>
        <w:spacing w:after="0"/>
        <w:rPr>
          <w:sz w:val="20"/>
          <w:szCs w:val="20"/>
          <w:color w:val="auto"/>
        </w:rPr>
      </w:pPr>
      <w:r>
        <w:rPr>
          <w:rFonts w:ascii="Calibri" w:cs="Calibri" w:eastAsia="Calibri" w:hAnsi="Calibri"/>
          <w:sz w:val="17"/>
          <w:szCs w:val="17"/>
          <w:color w:val="auto"/>
        </w:rPr>
        <w:t>The acquisiton has been accounted for as a business combinaton, under which the total purchase price is allocated to the net tangible and intangible assets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and liabilites of C&amp;L Aqua acquired in connecton with the acquisiton based on their estmated fair values. We estmated the fair values of the assets</w:t>
      </w:r>
    </w:p>
    <w:p>
      <w:pPr>
        <w:spacing w:after="0" w:line="235" w:lineRule="auto"/>
        <w:rPr>
          <w:sz w:val="20"/>
          <w:szCs w:val="20"/>
          <w:color w:val="auto"/>
        </w:rPr>
      </w:pPr>
      <w:r>
        <w:rPr>
          <w:rFonts w:ascii="Calibri" w:cs="Calibri" w:eastAsia="Calibri" w:hAnsi="Calibri"/>
          <w:sz w:val="18"/>
          <w:szCs w:val="18"/>
          <w:color w:val="auto"/>
        </w:rPr>
        <w:t>acquired and liabilites assumed using a discounted cash fow analysis (income approach). Of the $16 million purchase price, we preliminarily allocated</w:t>
      </w:r>
    </w:p>
    <w:p>
      <w:pPr>
        <w:spacing w:after="0" w:line="236" w:lineRule="auto"/>
        <w:rPr>
          <w:sz w:val="20"/>
          <w:szCs w:val="20"/>
          <w:color w:val="auto"/>
        </w:rPr>
      </w:pPr>
      <w:r>
        <w:rPr>
          <w:rFonts w:ascii="Calibri" w:cs="Calibri" w:eastAsia="Calibri" w:hAnsi="Calibri"/>
          <w:sz w:val="18"/>
          <w:szCs w:val="18"/>
          <w:color w:val="auto"/>
        </w:rPr>
        <w:t>$8.2 million to fnite-lived intangible assets, primarily customer relatonships to be amortzed over 18 years, $3.6 million to property, plant and equipment,</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and $1.1 million to net working capital. The residual amount of $3.1 million was allocated to goodwill. The goodwill recognized as a result of this acquisiton is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primarily atributable to strategic and synergistc benefts, as well as the assembled workforce. Such goodwill is expected to be deductble for tax purposes.</w:t>
      </w:r>
    </w:p>
    <w:p>
      <w:pPr>
        <w:spacing w:after="0" w:line="244"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Acquisiton of Property</w:t>
      </w:r>
      <w:r>
        <w:rPr>
          <w:rFonts w:ascii="Calibri" w:cs="Calibri" w:eastAsia="Calibri" w:hAnsi="Calibri"/>
          <w:sz w:val="18"/>
          <w:szCs w:val="18"/>
          <w:color w:val="auto"/>
        </w:rPr>
        <w:t>: In fscal 2021, we acquired a manufacturing facility on 28 acres located adjacent to our facility in Rosemount, Minnesota to allow</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further expansion and growth in both our Industrial and Water Treatment segments. We paid $10 million for the property. The purchase of this facility adds approximately 40,000 square feet of manufacturing and warehouse space to bring us to a total of 105,000 square feet of space on 56 acres of land in the area, with rail access at both of the sites to allow for future growth and provide for supply chain fexibility on certain raw materials to beter serve our customers.</w:t>
      </w:r>
    </w:p>
    <w:p>
      <w:pPr>
        <w:spacing w:after="0" w:line="24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This acquisiton has been accounted for as an asset acquisiton, under which the total purchase price is allocated to the net tangible assets acquired based on their estmated fair values. Of the $10 million purchase price, $4.6 million was allocated to buildings, $3.7 million was allocated to land, $1.4 million was allocated to equipment, and $0.3 million was allocated to site improvements.</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Acquisiton of American Development Corporaton of Tennessee, Inc.</w:t>
      </w:r>
      <w:r>
        <w:rPr>
          <w:rFonts w:ascii="Calibri" w:cs="Calibri" w:eastAsia="Calibri" w:hAnsi="Calibri"/>
          <w:sz w:val="18"/>
          <w:szCs w:val="18"/>
          <w:color w:val="auto"/>
        </w:rPr>
        <w:t>: In fscal 2021, we acquired substantally all the assets of American Development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Corporaton of Tennessee, Inc. (“ADC”) under the terms of an asset purchase agreement among us, ADC and its shareholders, to further the geographic reach of our Water Treatment segment. We paid $25 million for the acquisiton. ADC was a water treatment chemical distributon company operatng primarily in Tennessee, Georgia and Kentucky.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24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acquisiton has been accounted for as a business combinaton, under which the total purchase price is allocated to the net tangible and intangible assets and liabilites of ADC acquired in connecton with the acquisiton based on their estmated fair values. We estmated the fair values of the assets acquired and liabilites assumed using a discounted cash fow analysis (income approach). Of the $25 million purchase price, we allocated $13.3 million to fnite-lived intangible assets, primarily customer relatonships to be amortzed over 17 years, $1.6 million to property, plant and equipment, and $0.9 million to net working capital. The residual amount of $9.2 million was allocated to goodwill. The goodwill recognized as a result of this acquisiton is primarily atributable to strategic and synergistc benefts, as well as the assembled workforce. Such goodwill is expected to be deductble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3 — Revenue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revenue arrangements generally consist of a single performance obligaton to transfer promised goods or services. We disaggregate revenues from contracts with customers by both operatng segments and types of product sold. Reportng by operatng segment is pertnent to understanding our revenues, as it aligns to how we review the fnancial performance of our operatons. Types of products sold within each operatng segment help us to further evaluate the fnancial performance of our segments.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disaggregates external customer net sales by major revenue stream:</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840"/>
        <w:spacing w:after="0"/>
        <w:rPr>
          <w:sz w:val="20"/>
          <w:szCs w:val="20"/>
          <w:color w:val="auto"/>
        </w:rPr>
      </w:pPr>
      <w:r>
        <w:rPr>
          <w:rFonts w:ascii="Calibri" w:cs="Calibri" w:eastAsia="Calibri" w:hAnsi="Calibri"/>
          <w:sz w:val="18"/>
          <w:szCs w:val="18"/>
          <w:b w:val="1"/>
          <w:bCs w:val="1"/>
          <w:color w:val="auto"/>
        </w:rPr>
        <w:t>Fiscal Year Ended April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754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6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34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36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318,514</w:t>
            </w:r>
          </w:p>
        </w:tc>
        <w:tc>
          <w:tcPr>
            <w:tcW w:w="24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205,350</w:t>
            </w:r>
          </w:p>
        </w:tc>
        <w:tc>
          <w:tcPr>
            <w:tcW w:w="24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34,690</w:t>
            </w:r>
          </w:p>
        </w:tc>
        <w:tc>
          <w:tcPr>
            <w:tcW w:w="240" w:type="dxa"/>
            <w:vAlign w:val="bottom"/>
          </w:tcPr>
          <w:p>
            <w:pPr>
              <w:spacing w:after="0"/>
              <w:rPr>
                <w:sz w:val="18"/>
                <w:szCs w:val="18"/>
                <w:color w:val="auto"/>
              </w:rPr>
            </w:pPr>
          </w:p>
        </w:tc>
        <w:tc>
          <w:tcPr>
            <w:tcW w:w="30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558,554</w:t>
            </w:r>
          </w:p>
        </w:tc>
      </w:tr>
      <w:tr>
        <w:trPr>
          <w:trHeight w:val="221"/>
        </w:trPr>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124,312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124,312</w:t>
            </w:r>
          </w:p>
        </w:tc>
      </w:tr>
      <w:tr>
        <w:trPr>
          <w:trHeight w:val="229"/>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61,443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20,211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81,654</w:t>
            </w:r>
          </w:p>
        </w:tc>
      </w:tr>
      <w:tr>
        <w:trPr>
          <w:trHeight w:val="229"/>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6,981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2,572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10,021</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386,938</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228,133</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159,470</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774,541</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-625475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-334010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-16510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9" w:lineRule="exact"/>
        <w:rPr>
          <w:sz w:val="20"/>
          <w:szCs w:val="20"/>
          <w:color w:val="auto"/>
        </w:rPr>
      </w:pPr>
    </w:p>
    <w:p>
      <w:pPr>
        <w:ind w:left="1740"/>
        <w:spacing w:after="0"/>
        <w:rPr>
          <w:sz w:val="20"/>
          <w:szCs w:val="20"/>
          <w:color w:val="auto"/>
        </w:rPr>
      </w:pPr>
      <w:r>
        <w:rPr>
          <w:rFonts w:ascii="Calibri" w:cs="Calibri" w:eastAsia="Calibri" w:hAnsi="Calibri"/>
          <w:sz w:val="18"/>
          <w:szCs w:val="18"/>
          <w:b w:val="1"/>
          <w:bCs w:val="1"/>
          <w:color w:val="auto"/>
        </w:rPr>
        <w:t>Fiscal Year Ended March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14605</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6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34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36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231,427</w:t>
            </w:r>
          </w:p>
        </w:tc>
        <w:tc>
          <w:tcPr>
            <w:tcW w:w="24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152,694</w:t>
            </w:r>
          </w:p>
        </w:tc>
        <w:tc>
          <w:tcPr>
            <w:tcW w:w="24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38,270</w:t>
            </w:r>
          </w:p>
        </w:tc>
        <w:tc>
          <w:tcPr>
            <w:tcW w:w="240" w:type="dxa"/>
            <w:vAlign w:val="bottom"/>
          </w:tcPr>
          <w:p>
            <w:pPr>
              <w:spacing w:after="0"/>
              <w:rPr>
                <w:sz w:val="18"/>
                <w:szCs w:val="18"/>
                <w:color w:val="auto"/>
              </w:rPr>
            </w:pPr>
          </w:p>
        </w:tc>
        <w:tc>
          <w:tcPr>
            <w:tcW w:w="30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422,391</w:t>
            </w:r>
          </w:p>
        </w:tc>
      </w:tr>
      <w:tr>
        <w:trPr>
          <w:trHeight w:val="221"/>
        </w:trPr>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115,317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115,317</w:t>
            </w:r>
          </w:p>
        </w:tc>
      </w:tr>
      <w:tr>
        <w:trPr>
          <w:trHeight w:val="229"/>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38,378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16,067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54,445</w:t>
            </w:r>
          </w:p>
        </w:tc>
      </w:tr>
      <w:tr>
        <w:trPr>
          <w:trHeight w:val="230"/>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3,556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1,243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(81)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4,718</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273,361</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170,004</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153,506</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596,871</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-624840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-334010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-16510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9" w:lineRule="exact"/>
        <w:rPr>
          <w:sz w:val="20"/>
          <w:szCs w:val="20"/>
          <w:color w:val="auto"/>
        </w:rPr>
      </w:pPr>
    </w:p>
    <w:p>
      <w:pPr>
        <w:ind w:left="1740"/>
        <w:spacing w:after="0"/>
        <w:rPr>
          <w:sz w:val="20"/>
          <w:szCs w:val="20"/>
          <w:color w:val="auto"/>
        </w:rPr>
      </w:pPr>
      <w:r>
        <w:rPr>
          <w:rFonts w:ascii="Calibri" w:cs="Calibri" w:eastAsia="Calibri" w:hAnsi="Calibri"/>
          <w:sz w:val="18"/>
          <w:szCs w:val="18"/>
          <w:b w:val="1"/>
          <w:bCs w:val="1"/>
          <w:color w:val="auto"/>
        </w:rPr>
        <w:t>Fiscal Year Ended March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14605</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6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34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36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222,161</w:t>
            </w:r>
          </w:p>
        </w:tc>
        <w:tc>
          <w:tcPr>
            <w:tcW w:w="24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139,917</w:t>
            </w:r>
          </w:p>
        </w:tc>
        <w:tc>
          <w:tcPr>
            <w:tcW w:w="24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14,770</w:t>
            </w:r>
          </w:p>
        </w:tc>
        <w:tc>
          <w:tcPr>
            <w:tcW w:w="240" w:type="dxa"/>
            <w:vAlign w:val="bottom"/>
          </w:tcPr>
          <w:p>
            <w:pPr>
              <w:spacing w:after="0"/>
              <w:rPr>
                <w:sz w:val="18"/>
                <w:szCs w:val="18"/>
                <w:color w:val="auto"/>
              </w:rPr>
            </w:pPr>
          </w:p>
        </w:tc>
        <w:tc>
          <w:tcPr>
            <w:tcW w:w="30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376,848</w:t>
            </w:r>
          </w:p>
        </w:tc>
      </w:tr>
      <w:tr>
        <w:trPr>
          <w:trHeight w:val="221"/>
        </w:trPr>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90,065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90,065</w:t>
            </w:r>
          </w:p>
        </w:tc>
      </w:tr>
      <w:tr>
        <w:trPr>
          <w:trHeight w:val="230"/>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49,864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18,481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68,345</w:t>
            </w:r>
          </w:p>
        </w:tc>
      </w:tr>
      <w:tr>
        <w:trPr>
          <w:trHeight w:val="229"/>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3,199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1,497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4,940</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275,224</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159,895</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105,079</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540,198</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-624840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-333375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920"/>
          </w:cols>
          <w:pgMar w:left="320" w:top="112" w:right="339" w:bottom="1440" w:gutter="0" w:footer="0" w:header="0"/>
          <w:type w:val="continuous"/>
        </w:sectPr>
      </w:pPr>
    </w:p>
    <w:p>
      <w:pPr>
        <w:spacing w:after="0" w:line="78" w:lineRule="exact"/>
        <w:rPr>
          <w:sz w:val="20"/>
          <w:szCs w:val="20"/>
          <w:color w:val="auto"/>
        </w:rPr>
      </w:pPr>
    </w:p>
    <w:p>
      <w:pPr>
        <w:jc w:val="both"/>
        <w:ind w:left="660" w:hanging="328"/>
        <w:spacing w:after="0" w:line="239" w:lineRule="auto"/>
        <w:tabs>
          <w:tab w:leader="none" w:pos="651" w:val="left"/>
        </w:tabs>
        <w:numPr>
          <w:ilvl w:val="0"/>
          <w:numId w:val="6"/>
        </w:numPr>
        <w:rPr>
          <w:rFonts w:ascii="Calibri" w:cs="Calibri" w:eastAsia="Calibri" w:hAnsi="Calibri"/>
          <w:sz w:val="16"/>
          <w:szCs w:val="16"/>
          <w:color w:val="auto"/>
        </w:rPr>
      </w:pPr>
      <w:r>
        <w:rPr>
          <w:rFonts w:ascii="Calibri" w:cs="Calibri" w:eastAsia="Calibri" w:hAnsi="Calibri"/>
          <w:sz w:val="16"/>
          <w:szCs w:val="16"/>
          <w:color w:val="auto"/>
        </w:rPr>
        <w:t>For our Industrial and Water Treatment segments, this line includes our non-bulk specialty products that we either manufacture, blend, repackage, resell in their original form, or direct ship to our customers in smaller quanttes, and services we provide for our customers. For our Health and Nutriton segment, this line includes products manufactured, processed or repackaged in our facility and/or with our equipment</w:t>
      </w:r>
    </w:p>
    <w:p>
      <w:pPr>
        <w:spacing w:after="0" w:line="1" w:lineRule="exact"/>
        <w:rPr>
          <w:rFonts w:ascii="Calibri" w:cs="Calibri" w:eastAsia="Calibri" w:hAnsi="Calibri"/>
          <w:sz w:val="16"/>
          <w:szCs w:val="16"/>
          <w:color w:val="auto"/>
        </w:rPr>
      </w:pPr>
    </w:p>
    <w:p>
      <w:pPr>
        <w:ind w:left="660" w:hanging="328"/>
        <w:spacing w:after="0"/>
        <w:tabs>
          <w:tab w:leader="none" w:pos="651" w:val="left"/>
        </w:tabs>
        <w:numPr>
          <w:ilvl w:val="0"/>
          <w:numId w:val="6"/>
        </w:numPr>
        <w:rPr>
          <w:rFonts w:ascii="Calibri" w:cs="Calibri" w:eastAsia="Calibri" w:hAnsi="Calibri"/>
          <w:sz w:val="16"/>
          <w:szCs w:val="16"/>
          <w:color w:val="auto"/>
        </w:rPr>
      </w:pPr>
      <w:r>
        <w:rPr>
          <w:rFonts w:ascii="Calibri" w:cs="Calibri" w:eastAsia="Calibri" w:hAnsi="Calibri"/>
          <w:sz w:val="16"/>
          <w:szCs w:val="16"/>
          <w:color w:val="auto"/>
        </w:rPr>
        <w:t>This line includes non-manufactured distributed specialty products in our Health and Nutriton segment, which may be sold out of one of our facilites or direct shipped to our customers</w:t>
      </w:r>
    </w:p>
    <w:p>
      <w:pPr>
        <w:ind w:left="660" w:right="20" w:hanging="328"/>
        <w:spacing w:after="0" w:line="241" w:lineRule="auto"/>
        <w:tabs>
          <w:tab w:leader="none" w:pos="651" w:val="left"/>
        </w:tabs>
        <w:numPr>
          <w:ilvl w:val="0"/>
          <w:numId w:val="6"/>
        </w:numPr>
        <w:rPr>
          <w:rFonts w:ascii="Calibri" w:cs="Calibri" w:eastAsia="Calibri" w:hAnsi="Calibri"/>
          <w:sz w:val="16"/>
          <w:szCs w:val="16"/>
          <w:color w:val="auto"/>
        </w:rPr>
      </w:pPr>
      <w:r>
        <w:rPr>
          <w:rFonts w:ascii="Calibri" w:cs="Calibri" w:eastAsia="Calibri" w:hAnsi="Calibri"/>
          <w:sz w:val="16"/>
          <w:szCs w:val="16"/>
          <w:color w:val="auto"/>
        </w:rPr>
        <w:t>This line includes bulk products in our Industrial and Water Treatment segments that we do not modify in any way, but receive, store, and ship from our facilites, or direct ship to our customers in large quanttes.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0" w:name="page41"/>
    <w:bookmarkEnd w:id="40"/>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4 — Derivatve Instruments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 We have designated this swap as a cash fow hedge and have determined that it qualifed for hedge accountng treatment. For so long as the hedge is efectve, changes in fair value of the cash fow hedge are recorded in other comprehensive income or loss (net of tax) untl income or loss from the cash fows of the hedged item is realized.</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previously had in place an interest rate swap agreement to manage the risk associated with a porton of our variable-rate long-term debt. The $20 million swap agreement terminated on December 23, 2020. We had designated this swap as a cash fow hedge and determined that it qualifed for hedge accountng treatment. For so long as the hedge was efectve, changes in fair value of the cash fow hedge were recorded in other comprehensive income or loss (net of tax) untl income or loss from the cash fows of the hedged item was realized.</w:t>
      </w:r>
    </w:p>
    <w:p>
      <w:pPr>
        <w:spacing w:after="0" w:line="165" w:lineRule="exact"/>
        <w:rPr>
          <w:sz w:val="20"/>
          <w:szCs w:val="20"/>
          <w:color w:val="auto"/>
        </w:rPr>
      </w:pPr>
    </w:p>
    <w:p>
      <w:pPr>
        <w:ind w:right="40"/>
        <w:spacing w:after="0" w:line="249" w:lineRule="auto"/>
        <w:rPr>
          <w:sz w:val="20"/>
          <w:szCs w:val="20"/>
          <w:color w:val="auto"/>
        </w:rPr>
      </w:pPr>
      <w:r>
        <w:rPr>
          <w:rFonts w:ascii="Calibri" w:cs="Calibri" w:eastAsia="Calibri" w:hAnsi="Calibri"/>
          <w:sz w:val="17"/>
          <w:szCs w:val="17"/>
          <w:color w:val="auto"/>
        </w:rPr>
        <w:t>For the years ended April 3, 2022 and March 28, 2021, we recorded $1.3 million and $0.1 million in other comprehensive income related to unrealized gains (net of tax) on the cash fow hedge. For the year ended March 29, 2020, we recorded $0.4 million in other comprehensive income related to unrealized losses</w:t>
      </w:r>
    </w:p>
    <w:p>
      <w:pPr>
        <w:spacing w:after="0" w:line="1"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(net of tax) on the cash fow hedge described above. Included in other other long-term assets on our consolidated balance sheet was $1.8 million as of April 3, 2022. Included in other current liabilites on our consolidated balance sheet was $0.1 million as of March 29, 2020.</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By their nature, derivatve instruments are subject to market risk. Derivatve instruments are also subject to credit risk associated with counterpartes to the derivatve contracts. Credit risk associated with derivatves is measured based on the replacement cost should the counterparty with a contract in a gain positon to us fail to perform under the terms of the contract. While the current interest rate swap is in efect, we do not antcipate nonperformance by the counterparty.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5 – Fair Value Measurements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fnancial assets and liabilites are measured at fair value as the price that would be received to sell an asset or paid to transfer a liability in an orderly transacton between market partcipants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Assets and Liabilites Measured at Fair Value on a Recurring Basis. </w:t>
      </w:r>
      <w:r>
        <w:rPr>
          <w:rFonts w:ascii="Calibri" w:cs="Calibri" w:eastAsia="Calibri" w:hAnsi="Calibri"/>
          <w:sz w:val="18"/>
          <w:szCs w:val="18"/>
          <w:color w:val="auto"/>
        </w:rPr>
        <w:t>The fair value hierarchy requires the use of observable market data when available.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instances where inputs used to measure fair value fall into diferent levels of the fair value hierarchy, the fair value measurement has been determined based on the lowest level input that is signifcant to the fair value measurement in its entrety. Our assessment of the signifcance of a partcular item to the fair value measurement in its entrety requires judgment, including the consideraton of inputs specifc to the asset or liability.</w:t>
      </w:r>
    </w:p>
    <w:p>
      <w:pPr>
        <w:spacing w:after="0" w:line="246" w:lineRule="exact"/>
        <w:rPr>
          <w:sz w:val="20"/>
          <w:szCs w:val="20"/>
          <w:color w:val="auto"/>
        </w:rPr>
      </w:pPr>
    </w:p>
    <w:p>
      <w:pPr>
        <w:ind w:right="60"/>
        <w:spacing w:after="0" w:line="223" w:lineRule="auto"/>
        <w:rPr>
          <w:sz w:val="20"/>
          <w:szCs w:val="20"/>
          <w:color w:val="auto"/>
        </w:rPr>
      </w:pPr>
      <w:r>
        <w:rPr>
          <w:rFonts w:ascii="Calibri" w:cs="Calibri" w:eastAsia="Calibri" w:hAnsi="Calibri"/>
          <w:sz w:val="18"/>
          <w:szCs w:val="18"/>
          <w:color w:val="auto"/>
        </w:rPr>
        <w:t>Our fnancial assets that are measured at fair value on a recurring basis are an interest rate swap and assets held in a deferred compensaton retrement plan. Both of these assets are classifed as other long-term assets on our balance sheet, with the porton of the deferred compensaton retrement plan assets expected to be paid within twelve months classifed as current assets. The fair value of the interest rate swap is determined by the respectve counterpartes based on interest rate changes. Interest rate swaps are valued based on observable interest rate yield curves for similar instruments. The deferred compensaton plan assets relate to contributons made to a non-qualifed compensaton plan on behalf of certain employees who are classifed as “highly compensated employees” as determined by IRS guidelines. The assets are part of a rabbi trust and the funds are held in mutual funds. The fair value of the deferred compensaton is based on the quoted market prices for the mutual funds at the end of the period.</w:t>
      </w: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balances of assets measured at fair value on a recurring basis as of April 3, 2022 and March 28,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4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April 3, 2022</w:t>
            </w:r>
          </w:p>
        </w:tc>
        <w:tc>
          <w:tcPr>
            <w:tcW w:w="16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March 28, 2021</w:t>
            </w:r>
          </w:p>
        </w:tc>
      </w:tr>
      <w:tr>
        <w:trPr>
          <w:trHeight w:val="23"/>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46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2"/>
        </w:trPr>
        <w:tc>
          <w:tcPr>
            <w:tcW w:w="4640" w:type="dxa"/>
            <w:vAlign w:val="bottom"/>
          </w:tcPr>
          <w:p>
            <w:pPr>
              <w:ind w:left="240"/>
              <w:spacing w:after="0" w:line="215" w:lineRule="exact"/>
              <w:rPr>
                <w:sz w:val="20"/>
                <w:szCs w:val="20"/>
                <w:color w:val="auto"/>
              </w:rPr>
            </w:pPr>
            <w:r>
              <w:rPr>
                <w:rFonts w:ascii="Calibri" w:cs="Calibri" w:eastAsia="Calibri" w:hAnsi="Calibri"/>
                <w:sz w:val="18"/>
                <w:szCs w:val="18"/>
                <w:color w:val="auto"/>
              </w:rPr>
              <w:t>Deferred compensaton plan assets</w:t>
            </w:r>
          </w:p>
        </w:tc>
        <w:tc>
          <w:tcPr>
            <w:tcW w:w="2720" w:type="dxa"/>
            <w:vAlign w:val="bottom"/>
          </w:tcPr>
          <w:p>
            <w:pPr>
              <w:ind w:left="1900"/>
              <w:spacing w:after="0"/>
              <w:rPr>
                <w:sz w:val="20"/>
                <w:szCs w:val="20"/>
                <w:color w:val="auto"/>
              </w:rPr>
            </w:pPr>
            <w:r>
              <w:rPr>
                <w:rFonts w:ascii="Calibri" w:cs="Calibri" w:eastAsia="Calibri" w:hAnsi="Calibri"/>
                <w:sz w:val="14"/>
                <w:szCs w:val="14"/>
                <w:color w:val="auto"/>
              </w:rPr>
              <w:t>Level 1</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7,038</w:t>
            </w:r>
          </w:p>
        </w:tc>
        <w:tc>
          <w:tcPr>
            <w:tcW w:w="28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5,946</w:t>
            </w:r>
          </w:p>
        </w:tc>
      </w:tr>
      <w:tr>
        <w:trPr>
          <w:trHeight w:val="237"/>
        </w:trPr>
        <w:tc>
          <w:tcPr>
            <w:tcW w:w="46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Interest rate swap</w:t>
            </w:r>
          </w:p>
        </w:tc>
        <w:tc>
          <w:tcPr>
            <w:tcW w:w="2720" w:type="dxa"/>
            <w:vAlign w:val="bottom"/>
            <w:shd w:val="clear" w:color="auto" w:fill="CCEEFF"/>
          </w:tcPr>
          <w:p>
            <w:pPr>
              <w:ind w:left="1900"/>
              <w:spacing w:after="0"/>
              <w:rPr>
                <w:sz w:val="20"/>
                <w:szCs w:val="20"/>
                <w:color w:val="auto"/>
              </w:rPr>
            </w:pPr>
            <w:r>
              <w:rPr>
                <w:rFonts w:ascii="Calibri" w:cs="Calibri" w:eastAsia="Calibri" w:hAnsi="Calibri"/>
                <w:sz w:val="14"/>
                <w:szCs w:val="14"/>
                <w:color w:val="auto"/>
              </w:rPr>
              <w:t>Level 2</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1,769</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center"/>
        <w:ind w:right="-19"/>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6 – Assets Held for Sale</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have no assets classifed as held for sale as of April 3, 2022. Included in assets held for sale as of March 28, 2021 was $0.7 million for an ofce building in St. Louis, Missouri that was utlized in the administraton of our Industrial segment, and $0.2 million for a water treatment branch located in Eldridge, Iowa, which has been relocated to another owned facility. Both were sold in the frst quarter of fscal 2022. These amounts were recorded as assets held for sale within prepaid expenses and other current assets on our balance sheet.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 Inventories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Inventories at April 3, 2022 and March 28, 2021 consisted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b w:val="1"/>
                <w:bCs w:val="1"/>
                <w:color w:val="auto"/>
              </w:rPr>
              <w:t>2022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right"/>
              <w:ind w:right="715"/>
              <w:spacing w:after="0"/>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47"/>
        </w:trPr>
        <w:tc>
          <w:tcPr>
            <w:tcW w:w="72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2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Inventory (FIFO basis)</w:t>
            </w:r>
          </w:p>
        </w:tc>
        <w:tc>
          <w:tcPr>
            <w:tcW w:w="1180" w:type="dxa"/>
            <w:vAlign w:val="bottom"/>
            <w:shd w:val="clear" w:color="auto" w:fill="CCEEFF"/>
          </w:tcPr>
          <w:p>
            <w:pPr>
              <w:jc w:val="right"/>
              <w:ind w:right="976"/>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116,325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69,438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LIFO reserve</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(21,340)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(5,574)</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Net inventory</w:t>
            </w:r>
          </w:p>
        </w:tc>
        <w:tc>
          <w:tcPr>
            <w:tcW w:w="1180" w:type="dxa"/>
            <w:vAlign w:val="bottom"/>
            <w:tcBorders>
              <w:bottom w:val="single" w:sz="8" w:color="auto"/>
            </w:tcBorders>
            <w:shd w:val="clear" w:color="auto" w:fill="CCEEFF"/>
          </w:tcPr>
          <w:p>
            <w:pPr>
              <w:jc w:val="right"/>
              <w:ind w:right="976"/>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94,985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63,864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FIFO value of inventories accounted for under the LIFO method was $83.7 million at April 3, 2022 and $46.8 million at March 28, 2021. The remainder of the inventory was valued and accounted for under the FIFO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8 — Goodwill and Other Identfable Intangible Assets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carrying amount of goodwill for each of our three reportable segments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60" w:type="dxa"/>
            <w:vAlign w:val="bottom"/>
          </w:tcPr>
          <w:p>
            <w:pPr>
              <w:spacing w:after="0"/>
              <w:rPr>
                <w:sz w:val="14"/>
                <w:szCs w:val="14"/>
                <w:color w:val="auto"/>
              </w:rPr>
            </w:pPr>
          </w:p>
        </w:tc>
        <w:tc>
          <w:tcPr>
            <w:tcW w:w="1080" w:type="dxa"/>
            <w:vAlign w:val="bottom"/>
          </w:tcPr>
          <w:p>
            <w:pPr>
              <w:jc w:val="right"/>
              <w:ind w:right="293"/>
              <w:spacing w:after="0"/>
              <w:rPr>
                <w:sz w:val="20"/>
                <w:szCs w:val="20"/>
                <w:color w:val="auto"/>
              </w:rPr>
            </w:pPr>
            <w:r>
              <w:rPr>
                <w:rFonts w:ascii="Calibri" w:cs="Calibri" w:eastAsia="Calibri" w:hAnsi="Calibri"/>
                <w:sz w:val="14"/>
                <w:szCs w:val="14"/>
                <w:b w:val="1"/>
                <w:bCs w:val="1"/>
                <w:color w:val="auto"/>
              </w:rPr>
              <w:t>Industrial</w:t>
            </w: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Water Treatment</w:t>
            </w:r>
          </w:p>
        </w:tc>
        <w:tc>
          <w:tcPr>
            <w:tcW w:w="40" w:type="dxa"/>
            <w:vAlign w:val="bottom"/>
          </w:tcPr>
          <w:p>
            <w:pPr>
              <w:spacing w:after="0"/>
              <w:rPr>
                <w:sz w:val="14"/>
                <w:szCs w:val="14"/>
                <w:color w:val="auto"/>
              </w:rPr>
            </w:pPr>
          </w:p>
        </w:tc>
        <w:tc>
          <w:tcPr>
            <w:tcW w:w="1300" w:type="dxa"/>
            <w:vAlign w:val="bottom"/>
            <w:gridSpan w:val="5"/>
          </w:tcPr>
          <w:p>
            <w:pPr>
              <w:jc w:val="right"/>
              <w:ind w:right="60"/>
              <w:spacing w:after="0"/>
              <w:rPr>
                <w:sz w:val="20"/>
                <w:szCs w:val="20"/>
                <w:color w:val="auto"/>
              </w:rPr>
            </w:pPr>
            <w:r>
              <w:rPr>
                <w:rFonts w:ascii="Calibri" w:cs="Calibri" w:eastAsia="Calibri" w:hAnsi="Calibri"/>
                <w:sz w:val="14"/>
                <w:szCs w:val="14"/>
                <w:b w:val="1"/>
                <w:bCs w:val="1"/>
                <w:color w:val="auto"/>
              </w:rPr>
              <w:t>Health and Nutriton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47"/>
        </w:trPr>
        <w:tc>
          <w:tcPr>
            <w:tcW w:w="100" w:type="dxa"/>
            <w:vAlign w:val="bottom"/>
            <w:tcBorders>
              <w:bottom w:val="single" w:sz="8" w:color="CCEEFF"/>
            </w:tcBorders>
          </w:tcPr>
          <w:p>
            <w:pPr>
              <w:spacing w:after="0"/>
              <w:rPr>
                <w:sz w:val="4"/>
                <w:szCs w:val="4"/>
                <w:color w:val="auto"/>
              </w:rPr>
            </w:pPr>
          </w:p>
        </w:tc>
        <w:tc>
          <w:tcPr>
            <w:tcW w:w="57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Balance as of March 29, 2020</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6,495</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7,000</w:t>
            </w:r>
          </w:p>
        </w:tc>
        <w:tc>
          <w:tcPr>
            <w:tcW w:w="140" w:type="dxa"/>
            <w:vAlign w:val="bottom"/>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44,945</w:t>
            </w:r>
          </w:p>
        </w:tc>
        <w:tc>
          <w:tcPr>
            <w:tcW w:w="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58,440</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tcPr>
          <w:p>
            <w:pPr>
              <w:ind w:left="260"/>
              <w:spacing w:after="0" w:line="215" w:lineRule="exact"/>
              <w:rPr>
                <w:sz w:val="20"/>
                <w:szCs w:val="20"/>
                <w:color w:val="auto"/>
              </w:rPr>
            </w:pPr>
            <w:r>
              <w:rPr>
                <w:rFonts w:ascii="Calibri" w:cs="Calibri" w:eastAsia="Calibri" w:hAnsi="Calibri"/>
                <w:sz w:val="18"/>
                <w:szCs w:val="18"/>
                <w:color w:val="auto"/>
              </w:rPr>
              <w:t>Additon due to acquisitons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12,280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12,280</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Balance as of March 28, 2021</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6,495</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19,280</w:t>
            </w:r>
          </w:p>
        </w:tc>
        <w:tc>
          <w:tcPr>
            <w:tcW w:w="140" w:type="dxa"/>
            <w:vAlign w:val="bottom"/>
            <w:tcBorders>
              <w:bottom w:val="single" w:sz="8" w:color="auto"/>
            </w:tcBorders>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44,945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70,720</w:t>
            </w:r>
          </w:p>
        </w:tc>
        <w:tc>
          <w:tcPr>
            <w:tcW w:w="8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ind w:left="260"/>
              <w:spacing w:after="0" w:line="215" w:lineRule="exact"/>
              <w:rPr>
                <w:sz w:val="20"/>
                <w:szCs w:val="20"/>
                <w:color w:val="auto"/>
              </w:rPr>
            </w:pPr>
            <w:r>
              <w:rPr>
                <w:rFonts w:ascii="Calibri" w:cs="Calibri" w:eastAsia="Calibri" w:hAnsi="Calibri"/>
                <w:sz w:val="18"/>
                <w:szCs w:val="18"/>
                <w:color w:val="auto"/>
              </w:rPr>
              <w:t>Additon due to acquisitons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Borders>
              <w:bottom w:val="single" w:sz="8" w:color="CCEEFF"/>
            </w:tcBorders>
            <w:vMerge w:val="continue"/>
          </w:tcPr>
          <w:p>
            <w:pPr>
              <w:spacing w:after="0"/>
              <w:rPr>
                <w:sz w:val="17"/>
                <w:szCs w:val="17"/>
                <w:color w:val="auto"/>
              </w:rPr>
            </w:pPr>
          </w:p>
        </w:tc>
        <w:tc>
          <w:tcPr>
            <w:tcW w:w="57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6,681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line="203"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6,681</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Balance as of April 3, 2022</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6,495</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25,961</w:t>
            </w:r>
          </w:p>
        </w:tc>
        <w:tc>
          <w:tcPr>
            <w:tcW w:w="140" w:type="dxa"/>
            <w:vAlign w:val="bottom"/>
            <w:tcBorders>
              <w:bottom w:val="single" w:sz="8" w:color="auto"/>
            </w:tcBorders>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44,945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77,401</w:t>
            </w:r>
          </w:p>
        </w:tc>
        <w:tc>
          <w:tcPr>
            <w:tcW w:w="8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340" w:type="dxa"/>
            <w:vAlign w:val="bottom"/>
            <w:gridSpan w:val="5"/>
          </w:tcPr>
          <w:p>
            <w:pPr>
              <w:spacing w:after="0"/>
              <w:rPr>
                <w:sz w:val="20"/>
                <w:szCs w:val="20"/>
                <w:color w:val="auto"/>
              </w:rPr>
            </w:pPr>
            <w:r>
              <w:rPr>
                <w:rFonts w:ascii="Calibri" w:cs="Calibri" w:eastAsia="Calibri" w:hAnsi="Calibri"/>
                <w:sz w:val="18"/>
                <w:szCs w:val="18"/>
                <w:color w:val="auto"/>
                <w:w w:val="98"/>
              </w:rPr>
              <w:t>The following is a summary of our identfable intangible assets as of April 3, 2022 and March 28, 2021: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5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ind w:right="52"/>
              <w:spacing w:after="0"/>
              <w:rPr>
                <w:sz w:val="20"/>
                <w:szCs w:val="20"/>
                <w:color w:val="auto"/>
              </w:rPr>
            </w:pPr>
            <w:r>
              <w:rPr>
                <w:rFonts w:ascii="Calibri" w:cs="Calibri" w:eastAsia="Calibri" w:hAnsi="Calibri"/>
                <w:sz w:val="14"/>
                <w:szCs w:val="14"/>
                <w:b w:val="1"/>
                <w:bCs w:val="1"/>
                <w:color w:val="auto"/>
              </w:rPr>
              <w:t>Gross 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120"/>
              <w:spacing w:after="0" w:line="127" w:lineRule="exact"/>
              <w:rPr>
                <w:sz w:val="20"/>
                <w:szCs w:val="20"/>
                <w:color w:val="auto"/>
              </w:rPr>
            </w:pPr>
            <w:r>
              <w:rPr>
                <w:rFonts w:ascii="Calibri" w:cs="Calibri" w:eastAsia="Calibri" w:hAnsi="Calibri"/>
                <w:sz w:val="13"/>
                <w:szCs w:val="13"/>
                <w:b w:val="1"/>
                <w:bCs w:val="1"/>
                <w:color w:val="auto"/>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vMerge w:val="restart"/>
          </w:tcPr>
          <w:p>
            <w:pPr>
              <w:ind w:left="60"/>
              <w:spacing w:after="0"/>
              <w:rPr>
                <w:sz w:val="20"/>
                <w:szCs w:val="20"/>
                <w:color w:val="auto"/>
              </w:rPr>
            </w:pPr>
            <w:r>
              <w:rPr>
                <w:rFonts w:ascii="Calibri" w:cs="Calibri" w:eastAsia="Calibri" w:hAnsi="Calibri"/>
                <w:sz w:val="14"/>
                <w:szCs w:val="14"/>
                <w:b w:val="1"/>
                <w:bCs w:val="1"/>
                <w:color w:val="auto"/>
              </w:rPr>
              <w:t>Net carrying value</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Amortzaton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4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5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Finite-life intangible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740" w:type="dxa"/>
            <w:vAlign w:val="bottom"/>
          </w:tcPr>
          <w:p>
            <w:pPr>
              <w:ind w:left="260"/>
              <w:spacing w:after="0" w:line="215" w:lineRule="exact"/>
              <w:rPr>
                <w:sz w:val="20"/>
                <w:szCs w:val="20"/>
                <w:color w:val="auto"/>
              </w:rPr>
            </w:pPr>
            <w:r>
              <w:rPr>
                <w:rFonts w:ascii="Calibri" w:cs="Calibri" w:eastAsia="Calibri" w:hAnsi="Calibri"/>
                <w:sz w:val="18"/>
                <w:szCs w:val="18"/>
                <w:color w:val="auto"/>
              </w:rPr>
              <w:t>Customer relatonships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109,644</w:t>
            </w:r>
          </w:p>
        </w:tc>
        <w:tc>
          <w:tcPr>
            <w:tcW w:w="280" w:type="dxa"/>
            <w:vAlign w:val="bottom"/>
            <w:gridSpan w:val="4"/>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(32,399)</w:t>
            </w:r>
          </w:p>
        </w:tc>
        <w:tc>
          <w:tcPr>
            <w:tcW w:w="380" w:type="dxa"/>
            <w:vAlign w:val="bottom"/>
            <w:gridSpan w:val="3"/>
          </w:tcPr>
          <w:p>
            <w:pPr>
              <w:ind w:left="14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77,245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shd w:val="clear" w:color="auto" w:fill="CCEEFF"/>
          </w:tcPr>
          <w:p>
            <w:pPr>
              <w:spacing w:after="0"/>
              <w:rPr>
                <w:sz w:val="20"/>
                <w:szCs w:val="20"/>
                <w:color w:val="auto"/>
              </w:rPr>
            </w:pPr>
          </w:p>
        </w:tc>
        <w:tc>
          <w:tcPr>
            <w:tcW w:w="5740" w:type="dxa"/>
            <w:vAlign w:val="bottom"/>
            <w:shd w:val="clear" w:color="auto" w:fill="CCEEFF"/>
          </w:tcPr>
          <w:p>
            <w:pPr>
              <w:ind w:left="260"/>
              <w:spacing w:after="0"/>
              <w:rPr>
                <w:sz w:val="20"/>
                <w:szCs w:val="20"/>
                <w:color w:val="auto"/>
              </w:rPr>
            </w:pPr>
            <w:r>
              <w:rPr>
                <w:rFonts w:ascii="Calibri" w:cs="Calibri" w:eastAsia="Calibri" w:hAnsi="Calibri"/>
                <w:sz w:val="18"/>
                <w:szCs w:val="18"/>
                <w:color w:val="auto"/>
              </w:rPr>
              <w:t>Trademarks and trade names</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6,370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(4,746)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1,624</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tcPr>
          <w:p>
            <w:pPr>
              <w:ind w:left="26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3,904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(3,807)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fnite-life intangible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119,918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(40,952)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78,966</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Total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121,145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(40,952)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80,193</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95"/>
              <w:spacing w:after="0"/>
              <w:rPr>
                <w:sz w:val="20"/>
                <w:szCs w:val="20"/>
                <w:color w:val="auto"/>
              </w:rPr>
            </w:pPr>
            <w:r>
              <w:rPr>
                <w:rFonts w:ascii="Calibri" w:cs="Calibri" w:eastAsia="Calibri" w:hAnsi="Calibri"/>
                <w:sz w:val="14"/>
                <w:szCs w:val="14"/>
                <w:b w:val="1"/>
                <w:bCs w:val="1"/>
                <w:color w:val="auto"/>
                <w:w w:val="98"/>
              </w:rPr>
              <w:t>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5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ind w:right="92"/>
              <w:spacing w:after="0"/>
              <w:rPr>
                <w:sz w:val="20"/>
                <w:szCs w:val="20"/>
                <w:color w:val="auto"/>
              </w:rPr>
            </w:pPr>
            <w:r>
              <w:rPr>
                <w:rFonts w:ascii="Calibri" w:cs="Calibri" w:eastAsia="Calibri" w:hAnsi="Calibri"/>
                <w:sz w:val="14"/>
                <w:szCs w:val="14"/>
                <w:b w:val="1"/>
                <w:bCs w:val="1"/>
                <w:color w:val="auto"/>
              </w:rPr>
              <w:t>Gross Amount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00"/>
              <w:spacing w:after="0" w:line="115" w:lineRule="exact"/>
              <w:rPr>
                <w:sz w:val="20"/>
                <w:szCs w:val="20"/>
                <w:color w:val="auto"/>
              </w:rPr>
            </w:pPr>
            <w:r>
              <w:rPr>
                <w:rFonts w:ascii="Calibri" w:cs="Calibri" w:eastAsia="Calibri" w:hAnsi="Calibri"/>
                <w:sz w:val="12"/>
                <w:szCs w:val="12"/>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restart"/>
          </w:tcPr>
          <w:p>
            <w:pPr>
              <w:spacing w:after="0"/>
              <w:rPr>
                <w:sz w:val="20"/>
                <w:szCs w:val="20"/>
                <w:color w:val="auto"/>
              </w:rPr>
            </w:pPr>
            <w:r>
              <w:rPr>
                <w:rFonts w:ascii="Calibri" w:cs="Calibri" w:eastAsia="Calibri" w:hAnsi="Calibri"/>
                <w:sz w:val="14"/>
                <w:szCs w:val="14"/>
                <w:b w:val="1"/>
                <w:bCs w:val="1"/>
                <w:color w:val="auto"/>
              </w:rPr>
              <w:t>Net carrying value</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Amortzaton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57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5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Finite-life intangible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Customer relatonships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99,588</w:t>
            </w:r>
          </w:p>
        </w:tc>
        <w:tc>
          <w:tcPr>
            <w:tcW w:w="280" w:type="dxa"/>
            <w:vAlign w:val="bottom"/>
            <w:gridSpan w:val="4"/>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(26,522)</w:t>
            </w:r>
          </w:p>
        </w:tc>
        <w:tc>
          <w:tcPr>
            <w:tcW w:w="40" w:type="dxa"/>
            <w:vAlign w:val="bottom"/>
          </w:tcPr>
          <w:p>
            <w:pPr>
              <w:spacing w:after="0"/>
              <w:rPr>
                <w:sz w:val="19"/>
                <w:szCs w:val="19"/>
                <w:color w:val="auto"/>
              </w:rPr>
            </w:pPr>
          </w:p>
        </w:tc>
        <w:tc>
          <w:tcPr>
            <w:tcW w:w="380" w:type="dxa"/>
            <w:vAlign w:val="bottom"/>
            <w:gridSpan w:val="3"/>
          </w:tcPr>
          <w:p>
            <w:pPr>
              <w:jc w:val="right"/>
              <w:ind w:right="122"/>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73,066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57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Trademarks and trade names</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6,210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(4,275)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740" w:type="dxa"/>
            <w:vAlign w:val="bottom"/>
            <w:tcBorders>
              <w:bottom w:val="single" w:sz="8" w:color="CCEEFF"/>
            </w:tcBorders>
          </w:tcPr>
          <w:p>
            <w:pPr>
              <w:ind w:left="34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3,833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(3,693)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7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fnite-life intangible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109,631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(34,490)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75,141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740" w:type="dxa"/>
            <w:vAlign w:val="bottom"/>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1"/>
                <w:szCs w:val="21"/>
                <w:color w:val="auto"/>
              </w:rPr>
            </w:pPr>
          </w:p>
        </w:tc>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 intangible assets, net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110,858</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(34,490)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22"/>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76,368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color w:val="auto"/>
        </w:rPr>
        <w:t>Intangible asset amortzaton expense was $6.5 million during fscal 2022, $5.8 million during fscal 2021, and $5.1 million during fscal 2020.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color w:val="auto"/>
        </w:rPr>
        <w:t>The estmated future amortzaton expense for identfable intangible assets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24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Intangible Assets</w:t>
            </w:r>
          </w:p>
        </w:tc>
      </w:tr>
      <w:tr>
        <w:trPr>
          <w:trHeight w:val="28"/>
        </w:trPr>
        <w:tc>
          <w:tcPr>
            <w:tcW w:w="8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Fiscal 2023</w:t>
            </w:r>
          </w:p>
        </w:tc>
        <w:tc>
          <w:tcPr>
            <w:tcW w:w="400" w:type="dxa"/>
            <w:vAlign w:val="bottom"/>
            <w:shd w:val="clear" w:color="auto" w:fill="CCEEFF"/>
          </w:tcPr>
          <w:p>
            <w:pPr>
              <w:jc w:val="right"/>
              <w:ind w:right="213"/>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6,923</w:t>
            </w:r>
          </w:p>
        </w:tc>
      </w:tr>
      <w:tr>
        <w:trPr>
          <w:trHeight w:val="222"/>
        </w:trPr>
        <w:tc>
          <w:tcPr>
            <w:tcW w:w="8600" w:type="dxa"/>
            <w:vAlign w:val="bottom"/>
          </w:tcPr>
          <w:p>
            <w:pPr>
              <w:ind w:left="20"/>
              <w:spacing w:after="0" w:line="215" w:lineRule="exact"/>
              <w:rPr>
                <w:sz w:val="20"/>
                <w:szCs w:val="20"/>
                <w:color w:val="auto"/>
              </w:rPr>
            </w:pPr>
            <w:r>
              <w:rPr>
                <w:rFonts w:ascii="Calibri" w:cs="Calibri" w:eastAsia="Calibri" w:hAnsi="Calibri"/>
                <w:sz w:val="18"/>
                <w:szCs w:val="18"/>
                <w:color w:val="auto"/>
              </w:rPr>
              <w:t>Fiscal 2024</w:t>
            </w:r>
          </w:p>
        </w:tc>
        <w:tc>
          <w:tcPr>
            <w:tcW w:w="40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6,707</w:t>
            </w:r>
          </w:p>
        </w:tc>
      </w:tr>
      <w:tr>
        <w:trPr>
          <w:trHeight w:val="237"/>
        </w:trPr>
        <w:tc>
          <w:tcPr>
            <w:tcW w:w="8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Fiscal 2025</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6,707</w:t>
            </w:r>
          </w:p>
        </w:tc>
      </w:tr>
      <w:tr>
        <w:trPr>
          <w:trHeight w:val="222"/>
        </w:trPr>
        <w:tc>
          <w:tcPr>
            <w:tcW w:w="8600" w:type="dxa"/>
            <w:vAlign w:val="bottom"/>
          </w:tcPr>
          <w:p>
            <w:pPr>
              <w:ind w:left="20"/>
              <w:spacing w:after="0" w:line="215" w:lineRule="exact"/>
              <w:rPr>
                <w:sz w:val="20"/>
                <w:szCs w:val="20"/>
                <w:color w:val="auto"/>
              </w:rPr>
            </w:pPr>
            <w:r>
              <w:rPr>
                <w:rFonts w:ascii="Calibri" w:cs="Calibri" w:eastAsia="Calibri" w:hAnsi="Calibri"/>
                <w:sz w:val="18"/>
                <w:szCs w:val="18"/>
                <w:color w:val="auto"/>
              </w:rPr>
              <w:t>Fiscal 2026</w:t>
            </w:r>
          </w:p>
        </w:tc>
        <w:tc>
          <w:tcPr>
            <w:tcW w:w="40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6,606</w:t>
            </w:r>
          </w:p>
        </w:tc>
      </w:tr>
      <w:tr>
        <w:trPr>
          <w:trHeight w:val="237"/>
        </w:trPr>
        <w:tc>
          <w:tcPr>
            <w:tcW w:w="8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Fiscal 2027</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6,305</w:t>
            </w:r>
          </w:p>
        </w:tc>
      </w:tr>
      <w:tr>
        <w:trPr>
          <w:trHeight w:val="223"/>
        </w:trPr>
        <w:tc>
          <w:tcPr>
            <w:tcW w:w="86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45,718</w:t>
            </w:r>
          </w:p>
        </w:tc>
      </w:tr>
      <w:tr>
        <w:trPr>
          <w:trHeight w:val="254"/>
        </w:trPr>
        <w:tc>
          <w:tcPr>
            <w:tcW w:w="86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400" w:type="dxa"/>
            <w:vAlign w:val="bottom"/>
            <w:tcBorders>
              <w:bottom w:val="single" w:sz="8" w:color="auto"/>
            </w:tcBorders>
            <w:shd w:val="clear" w:color="auto" w:fill="CCEEFF"/>
          </w:tcPr>
          <w:p>
            <w:pPr>
              <w:jc w:val="right"/>
              <w:ind w:right="213"/>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78,966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 Debt</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March 31, 2022, we entered into a second amended and restated credit agreement (the “Credit Agreement”) with U.S. Bank Natonal Associaton (“U.S. Bank”) as Sole Lead Arranger and Sole Book Runner, and other lenders from tme to tme party thereto (collectvely, the “Lenders”), whereby U.S. Bank is also serving as Administratve Agent. The Credit Agreement refnanced the revolving loan under our previous credit agreement with U.S. Bank and provides us with senior secured revolving credit facilites (the “Revolving Loan Facility”) totaling $250.0 million. The Revolving Loan Facility includes a $15 million leter of credit subfacility and $25 million swingline subfacility. The Revolving Loan Facility has a fve-year maturity date, maturing on April 30, 2027. The Revolving Loan Facility is secured by substantally all of our personal property assets and those of our subsidiaries.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used $126.0 million of the proceeds from the Revolving Loan Facility to refnance the obligatons under the previous credit facility. We may use the remaining amount of the Revolving Loan Facility for working capital, capital expenditures, share repurchases, restricted payments and acquisitons permited under the Credit Agreement, and other general corporate purposes.</w:t>
      </w:r>
    </w:p>
    <w:p>
      <w:pPr>
        <w:spacing w:after="0" w:line="232" w:lineRule="exact"/>
        <w:rPr>
          <w:sz w:val="20"/>
          <w:szCs w:val="20"/>
          <w:color w:val="auto"/>
        </w:rPr>
      </w:pPr>
    </w:p>
    <w:p>
      <w:pPr>
        <w:jc w:val="both"/>
        <w:spacing w:after="0" w:line="215" w:lineRule="auto"/>
        <w:rPr>
          <w:sz w:val="20"/>
          <w:szCs w:val="20"/>
          <w:color w:val="auto"/>
        </w:rPr>
      </w:pPr>
      <w:r>
        <w:rPr>
          <w:rFonts w:ascii="Calibri" w:cs="Calibri" w:eastAsia="Calibri" w:hAnsi="Calibri"/>
          <w:sz w:val="18"/>
          <w:szCs w:val="18"/>
          <w:color w:val="auto"/>
        </w:rPr>
        <w:t>At April 3, 2022, the efectve interest rate on our borrowings was 1.2%. 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33" w:lineRule="exact"/>
        <w:rPr>
          <w:sz w:val="20"/>
          <w:szCs w:val="20"/>
          <w:color w:val="auto"/>
        </w:rPr>
      </w:pPr>
    </w:p>
    <w:p>
      <w:pPr>
        <w:ind w:right="260"/>
        <w:spacing w:after="0" w:line="230" w:lineRule="auto"/>
        <w:rPr>
          <w:sz w:val="20"/>
          <w:szCs w:val="20"/>
          <w:color w:val="auto"/>
        </w:rPr>
      </w:pPr>
      <w:r>
        <w:rPr>
          <w:rFonts w:ascii="Calibri" w:cs="Calibri" w:eastAsia="Calibri" w:hAnsi="Calibri"/>
          <w:sz w:val="18"/>
          <w:szCs w:val="18"/>
          <w:color w:val="auto"/>
        </w:rPr>
        <w:t>Debt issuance costs of $0.3 million paid to the lenders in connecton with the Credit Agreement, as well as unamortzed debt issuance costs of $0.1 million paid in connecton with the previous credit facility, are refected as a reducton of debt and are being amortzed as interest expense over the term of the Revolving Loan Facility.</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We are permited to make distributons, pay dividends and repurchase shares so long as no default or event of default exists or would exist as a result thereof. As of April 3, 2022, we were in compliance with all required covenants.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color w:val="auto"/>
        </w:rPr>
        <w:t>Debt at April 3, 2022 and March 28, 2021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Calibri" w:cs="Calibri" w:eastAsia="Calibri" w:hAnsi="Calibri"/>
                <w:sz w:val="14"/>
                <w:szCs w:val="14"/>
                <w:b w:val="1"/>
                <w:bCs w:val="1"/>
                <w:color w:val="auto"/>
              </w:rPr>
              <w:t>(In thousands)</w:t>
            </w:r>
          </w:p>
        </w:tc>
        <w:tc>
          <w:tcPr>
            <w:tcW w:w="2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April 3, 2022</w:t>
            </w:r>
          </w:p>
        </w:tc>
        <w:tc>
          <w:tcPr>
            <w:tcW w:w="200" w:type="dxa"/>
            <w:vAlign w:val="bottom"/>
          </w:tcPr>
          <w:p>
            <w:pPr>
              <w:spacing w:after="0"/>
              <w:rPr>
                <w:sz w:val="14"/>
                <w:szCs w:val="14"/>
                <w:color w:val="auto"/>
              </w:rPr>
            </w:pPr>
          </w:p>
        </w:tc>
        <w:tc>
          <w:tcPr>
            <w:tcW w:w="1280" w:type="dxa"/>
            <w:vAlign w:val="bottom"/>
          </w:tcPr>
          <w:p>
            <w:pPr>
              <w:jc w:val="right"/>
              <w:ind w:right="193"/>
              <w:spacing w:after="0"/>
              <w:rPr>
                <w:sz w:val="20"/>
                <w:szCs w:val="20"/>
                <w:color w:val="auto"/>
              </w:rPr>
            </w:pPr>
            <w:r>
              <w:rPr>
                <w:rFonts w:ascii="Calibri" w:cs="Calibri" w:eastAsia="Calibri" w:hAnsi="Calibri"/>
                <w:sz w:val="14"/>
                <w:szCs w:val="14"/>
                <w:b w:val="1"/>
                <w:bCs w:val="1"/>
                <w:color w:val="auto"/>
              </w:rPr>
              <w:t>March 28,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220" w:type="dxa"/>
            <w:vAlign w:val="bottom"/>
            <w:gridSpan w:val="2"/>
            <w:vMerge w:val="restart"/>
          </w:tcPr>
          <w:p>
            <w:pPr>
              <w:spacing w:after="0"/>
              <w:rPr>
                <w:sz w:val="20"/>
                <w:szCs w:val="20"/>
                <w:color w:val="auto"/>
              </w:rPr>
            </w:pPr>
            <w:r>
              <w:rPr>
                <w:rFonts w:ascii="Calibri" w:cs="Calibri" w:eastAsia="Calibri" w:hAnsi="Calibri"/>
                <w:sz w:val="18"/>
                <w:szCs w:val="18"/>
                <w:color w:val="auto"/>
              </w:rPr>
              <w:t>Senior secured revolving loan</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vMerge w:val="continue"/>
          </w:tcPr>
          <w:p>
            <w:pPr>
              <w:spacing w:after="0"/>
              <w:rPr>
                <w:sz w:val="18"/>
                <w:szCs w:val="18"/>
                <w:color w:val="auto"/>
              </w:rPr>
            </w:pP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126,000</w:t>
            </w:r>
          </w:p>
        </w:tc>
        <w:tc>
          <w:tcPr>
            <w:tcW w:w="12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99,000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ind w:left="160"/>
              <w:spacing w:after="0"/>
              <w:rPr>
                <w:sz w:val="20"/>
                <w:szCs w:val="20"/>
                <w:color w:val="auto"/>
              </w:rPr>
            </w:pPr>
            <w:r>
              <w:rPr>
                <w:rFonts w:ascii="Calibri" w:cs="Calibri" w:eastAsia="Calibri" w:hAnsi="Calibri"/>
                <w:sz w:val="18"/>
                <w:szCs w:val="18"/>
                <w:color w:val="auto"/>
              </w:rPr>
              <w:t>Less: unamortzed debt issuance costs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(443)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line="199" w:lineRule="exact"/>
              <w:rPr>
                <w:sz w:val="20"/>
                <w:szCs w:val="20"/>
                <w:color w:val="auto"/>
              </w:rPr>
            </w:pPr>
            <w:r>
              <w:rPr>
                <w:rFonts w:ascii="Calibri" w:cs="Calibri" w:eastAsia="Calibri" w:hAnsi="Calibri"/>
                <w:sz w:val="18"/>
                <w:szCs w:val="18"/>
                <w:color w:val="auto"/>
              </w:rPr>
              <w:t>Total debt, net of debt issuance costs</w:t>
            </w:r>
          </w:p>
        </w:tc>
        <w:tc>
          <w:tcPr>
            <w:tcW w:w="2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125,557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98,752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ind w:left="160"/>
              <w:spacing w:after="0"/>
              <w:rPr>
                <w:sz w:val="20"/>
                <w:szCs w:val="20"/>
                <w:color w:val="auto"/>
              </w:rPr>
            </w:pPr>
            <w:r>
              <w:rPr>
                <w:rFonts w:ascii="Calibri" w:cs="Calibri" w:eastAsia="Calibri" w:hAnsi="Calibri"/>
                <w:sz w:val="18"/>
                <w:szCs w:val="18"/>
                <w:color w:val="auto"/>
              </w:rPr>
              <w:t>Less: current porton of long-term debt, net of current unamortzed debt issuance costs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Calibri" w:cs="Calibri" w:eastAsia="Calibri" w:hAnsi="Calibri"/>
                <w:sz w:val="18"/>
                <w:szCs w:val="18"/>
                <w:color w:val="auto"/>
              </w:rPr>
              <w:t>Total long-term debt</w:t>
            </w: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115,644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88,845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10 — Share-Based Compensaton</w:t>
      </w:r>
    </w:p>
    <w:p>
      <w:pPr>
        <w:spacing w:after="0" w:line="16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 xml:space="preserve">Performance-Based Restricted Stock Units. </w:t>
      </w:r>
      <w:r>
        <w:rPr>
          <w:rFonts w:ascii="Calibri" w:cs="Calibri" w:eastAsia="Calibri" w:hAnsi="Calibri"/>
          <w:sz w:val="18"/>
          <w:szCs w:val="18"/>
          <w:color w:val="auto"/>
        </w:rPr>
        <w:t>Our Board of Directors has approved a performance-based equity compensaton arrangement for our executve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ofcers. This performance-based arrangement provides for the grant of performance-based restricted stock units that represent a possible future issuance of restricted shares of our common shares based on our pre-tax income target for the applicable fscal year. The actual number of restricted shares to be issued to each executve ofcer will be determined when our fnal fnancial informaton becomes available afer the applicable fscal year and will be between zero shares and 88,524 shares in the aggregate for fscal 2022. The restricted shares issued, if any, will fully vest two years afer the end of the fscal year on which the performance is based. We record the compensaton expense for the outstanding performance share units and then-converted restricted stock over the life of the awards.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restricted stock actvity for fscal 2021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3"/>
              <w:spacing w:after="0"/>
              <w:rPr>
                <w:sz w:val="20"/>
                <w:szCs w:val="20"/>
                <w:color w:val="auto"/>
              </w:rPr>
            </w:pPr>
            <w:r>
              <w:rPr>
                <w:rFonts w:ascii="Calibri" w:cs="Calibri" w:eastAsia="Calibri" w:hAnsi="Calibri"/>
                <w:sz w:val="14"/>
                <w:szCs w:val="14"/>
                <w:b w:val="1"/>
                <w:bCs w:val="1"/>
                <w:color w:val="auto"/>
              </w:rPr>
              <w:t>Weighted-</w:t>
            </w:r>
          </w:p>
        </w:tc>
      </w:tr>
      <w:tr>
        <w:trPr>
          <w:trHeight w:val="148"/>
        </w:trPr>
        <w:tc>
          <w:tcPr>
            <w:tcW w:w="8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3"/>
              <w:spacing w:after="0" w:line="148" w:lineRule="exact"/>
              <w:rPr>
                <w:sz w:val="20"/>
                <w:szCs w:val="20"/>
                <w:color w:val="auto"/>
              </w:rPr>
            </w:pPr>
            <w:r>
              <w:rPr>
                <w:rFonts w:ascii="Calibri" w:cs="Calibri" w:eastAsia="Calibri" w:hAnsi="Calibri"/>
                <w:sz w:val="14"/>
                <w:szCs w:val="14"/>
                <w:b w:val="1"/>
                <w:bCs w:val="1"/>
                <w:color w:val="auto"/>
                <w:w w:val="99"/>
              </w:rPr>
              <w:t>Average Grant</w:t>
            </w:r>
          </w:p>
        </w:tc>
      </w:tr>
      <w:tr>
        <w:trPr>
          <w:trHeight w:val="170"/>
        </w:trPr>
        <w:tc>
          <w:tcPr>
            <w:tcW w:w="852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Calibri" w:cs="Calibri" w:eastAsia="Calibri" w:hAnsi="Calibri"/>
                <w:sz w:val="14"/>
                <w:szCs w:val="14"/>
                <w:b w:val="1"/>
                <w:bCs w:val="1"/>
                <w:color w:val="auto"/>
              </w:rPr>
              <w:t>Shares</w:t>
            </w:r>
          </w:p>
        </w:tc>
        <w:tc>
          <w:tcPr>
            <w:tcW w:w="180" w:type="dxa"/>
            <w:vAlign w:val="bottom"/>
          </w:tcPr>
          <w:p>
            <w:pPr>
              <w:spacing w:after="0"/>
              <w:rPr>
                <w:sz w:val="14"/>
                <w:szCs w:val="14"/>
                <w:color w:val="auto"/>
              </w:rPr>
            </w:pPr>
          </w:p>
        </w:tc>
        <w:tc>
          <w:tcPr>
            <w:tcW w:w="1160" w:type="dxa"/>
            <w:vAlign w:val="bottom"/>
          </w:tcPr>
          <w:p>
            <w:pPr>
              <w:jc w:val="center"/>
              <w:ind w:right="93"/>
              <w:spacing w:after="0"/>
              <w:rPr>
                <w:sz w:val="20"/>
                <w:szCs w:val="20"/>
                <w:color w:val="auto"/>
              </w:rPr>
            </w:pPr>
            <w:r>
              <w:rPr>
                <w:rFonts w:ascii="Calibri" w:cs="Calibri" w:eastAsia="Calibri" w:hAnsi="Calibri"/>
                <w:sz w:val="14"/>
                <w:szCs w:val="14"/>
                <w:b w:val="1"/>
                <w:bCs w:val="1"/>
                <w:color w:val="auto"/>
              </w:rPr>
              <w:t>Date Fair Value</w:t>
            </w:r>
          </w:p>
        </w:tc>
      </w:tr>
      <w:tr>
        <w:trPr>
          <w:trHeight w:val="47"/>
        </w:trPr>
        <w:tc>
          <w:tcPr>
            <w:tcW w:w="85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23"/>
        </w:trPr>
        <w:tc>
          <w:tcPr>
            <w:tcW w:w="85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Outstanding at beginning of fscal 2020</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65,766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21.83</w:t>
            </w: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138,504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17.25</w:t>
            </w:r>
          </w:p>
        </w:tc>
      </w:tr>
      <w:tr>
        <w:trPr>
          <w:trHeight w:val="237"/>
        </w:trPr>
        <w:tc>
          <w:tcPr>
            <w:tcW w:w="8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(55,240)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23.01</w:t>
            </w:r>
          </w:p>
        </w:tc>
      </w:tr>
      <w:tr>
        <w:trPr>
          <w:trHeight w:val="223"/>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2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0"/>
        </w:trPr>
        <w:tc>
          <w:tcPr>
            <w:tcW w:w="852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2020</w:t>
            </w:r>
          </w:p>
        </w:tc>
        <w:tc>
          <w:tcPr>
            <w:tcW w:w="11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149,030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17.13</w:t>
            </w: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129,626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18.69</w:t>
            </w:r>
          </w:p>
        </w:tc>
      </w:tr>
      <w:tr>
        <w:trPr>
          <w:trHeight w:val="237"/>
        </w:trPr>
        <w:tc>
          <w:tcPr>
            <w:tcW w:w="8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(10,526)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15.68</w:t>
            </w:r>
          </w:p>
        </w:tc>
      </w:tr>
      <w:tr>
        <w:trPr>
          <w:trHeight w:val="223"/>
        </w:trPr>
        <w:tc>
          <w:tcPr>
            <w:tcW w:w="85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(29,010)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17.92</w:t>
            </w:r>
          </w:p>
        </w:tc>
      </w:tr>
      <w:tr>
        <w:trPr>
          <w:trHeight w:val="229"/>
        </w:trPr>
        <w:tc>
          <w:tcPr>
            <w:tcW w:w="852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2021</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239,120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17.94</w:t>
            </w: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111,618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31.74</w:t>
            </w:r>
          </w:p>
        </w:tc>
      </w:tr>
      <w:tr>
        <w:trPr>
          <w:trHeight w:val="237"/>
        </w:trPr>
        <w:tc>
          <w:tcPr>
            <w:tcW w:w="8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(123,002)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17.25</w:t>
            </w:r>
          </w:p>
        </w:tc>
      </w:tr>
      <w:tr>
        <w:trPr>
          <w:trHeight w:val="223"/>
        </w:trPr>
        <w:tc>
          <w:tcPr>
            <w:tcW w:w="85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(13,258)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18.69</w:t>
            </w:r>
          </w:p>
        </w:tc>
      </w:tr>
      <w:tr>
        <w:trPr>
          <w:trHeight w:val="248"/>
        </w:trPr>
        <w:tc>
          <w:tcPr>
            <w:tcW w:w="852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2022</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25.48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weighted average grant date fair value of performance-based restricted shares issued in fscal 2022 was $31.74, fscal 2021 was $18.69 and fscal 2020 was $17.25. We recorded compensaton expense on performance-based restricted stock of approximately $2.9 million for fscal 2022, $2.5 million for fscal 2021 and $1.5 million for fscal 2020, substantally all of which was recorded in selling, general and administratve (“SG&amp;A”) expense in the Consolidated Statements of Income. The total fair value of performance-based restricted stock units vested was $2.1 million in fscal 2022, $0.2 million in fscal 2021 and $1.3 million in fscal 2020.</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Untl the performance-based restricted stock units result in the issuance of restricted stock, the amount of expense recorded each period is dependent upon our estmate of the number of shares that will ultmately be issued and our then current common share price. Upon issuance of restricted stock, we record compensaton expense over the remaining vestng period using the award date closing price. Unrecognized compensaton expense related to non-vested restricted stock and non-vested restricted share units as of April 3, 2022 was $3.9 million and is expected to be recognized over a weighted average period of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 xml:space="preserve">Restricted Stock Awards. </w:t>
      </w:r>
      <w:r>
        <w:rPr>
          <w:rFonts w:ascii="Calibri" w:cs="Calibri" w:eastAsia="Calibri" w:hAnsi="Calibri"/>
          <w:sz w:val="18"/>
          <w:szCs w:val="18"/>
          <w:color w:val="auto"/>
        </w:rPr>
        <w:t>As part of their retainer, our non-employee directors receive restricted stock for their Board services. The restricted stock awards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are expensed over a one-year vestng period, based on the market value on the date of grant.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Board’s restricted stock actvity for fscal 2021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93"/>
              <w:spacing w:after="0"/>
              <w:rPr>
                <w:sz w:val="20"/>
                <w:szCs w:val="20"/>
                <w:color w:val="auto"/>
              </w:rPr>
            </w:pPr>
            <w:r>
              <w:rPr>
                <w:rFonts w:ascii="Calibri" w:cs="Calibri" w:eastAsia="Calibri" w:hAnsi="Calibri"/>
                <w:sz w:val="14"/>
                <w:szCs w:val="14"/>
                <w:b w:val="1"/>
                <w:bCs w:val="1"/>
                <w:color w:val="auto"/>
              </w:rPr>
              <w:t>Weighted-</w:t>
            </w:r>
          </w:p>
        </w:tc>
      </w:tr>
      <w:tr>
        <w:trPr>
          <w:trHeight w:val="148"/>
        </w:trPr>
        <w:tc>
          <w:tcPr>
            <w:tcW w:w="8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3"/>
              <w:spacing w:after="0" w:line="148" w:lineRule="exact"/>
              <w:rPr>
                <w:sz w:val="20"/>
                <w:szCs w:val="20"/>
                <w:color w:val="auto"/>
              </w:rPr>
            </w:pPr>
            <w:r>
              <w:rPr>
                <w:rFonts w:ascii="Calibri" w:cs="Calibri" w:eastAsia="Calibri" w:hAnsi="Calibri"/>
                <w:sz w:val="14"/>
                <w:szCs w:val="14"/>
                <w:b w:val="1"/>
                <w:bCs w:val="1"/>
                <w:color w:val="auto"/>
                <w:w w:val="99"/>
              </w:rPr>
              <w:t>Average Grant</w:t>
            </w:r>
          </w:p>
        </w:tc>
      </w:tr>
      <w:tr>
        <w:trPr>
          <w:trHeight w:val="170"/>
        </w:trPr>
        <w:tc>
          <w:tcPr>
            <w:tcW w:w="838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Calibri" w:cs="Calibri" w:eastAsia="Calibri" w:hAnsi="Calibri"/>
                <w:sz w:val="14"/>
                <w:szCs w:val="14"/>
                <w:b w:val="1"/>
                <w:bCs w:val="1"/>
                <w:color w:val="auto"/>
              </w:rPr>
              <w:t>Shares</w:t>
            </w:r>
          </w:p>
        </w:tc>
        <w:tc>
          <w:tcPr>
            <w:tcW w:w="200" w:type="dxa"/>
            <w:vAlign w:val="bottom"/>
          </w:tcPr>
          <w:p>
            <w:pPr>
              <w:spacing w:after="0"/>
              <w:rPr>
                <w:sz w:val="14"/>
                <w:szCs w:val="14"/>
                <w:color w:val="auto"/>
              </w:rPr>
            </w:pPr>
          </w:p>
        </w:tc>
        <w:tc>
          <w:tcPr>
            <w:tcW w:w="1280" w:type="dxa"/>
            <w:vAlign w:val="bottom"/>
          </w:tcPr>
          <w:p>
            <w:pPr>
              <w:jc w:val="center"/>
              <w:ind w:right="93"/>
              <w:spacing w:after="0"/>
              <w:rPr>
                <w:sz w:val="20"/>
                <w:szCs w:val="20"/>
                <w:color w:val="auto"/>
              </w:rPr>
            </w:pPr>
            <w:r>
              <w:rPr>
                <w:rFonts w:ascii="Calibri" w:cs="Calibri" w:eastAsia="Calibri" w:hAnsi="Calibri"/>
                <w:sz w:val="14"/>
                <w:szCs w:val="14"/>
                <w:b w:val="1"/>
                <w:bCs w:val="1"/>
                <w:color w:val="auto"/>
              </w:rPr>
              <w:t>Date Fair Value</w:t>
            </w:r>
          </w:p>
        </w:tc>
      </w:tr>
      <w:tr>
        <w:trPr>
          <w:trHeight w:val="47"/>
        </w:trPr>
        <w:tc>
          <w:tcPr>
            <w:tcW w:w="83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23"/>
        </w:trPr>
        <w:tc>
          <w:tcPr>
            <w:tcW w:w="83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Outstanding at beginning of fscal 2020</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17.95</w:t>
            </w:r>
          </w:p>
        </w:tc>
      </w:tr>
      <w:tr>
        <w:trPr>
          <w:trHeight w:val="222"/>
        </w:trPr>
        <w:tc>
          <w:tcPr>
            <w:tcW w:w="83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21.84</w:t>
            </w:r>
          </w:p>
        </w:tc>
      </w:tr>
      <w:tr>
        <w:trPr>
          <w:trHeight w:val="237"/>
        </w:trPr>
        <w:tc>
          <w:tcPr>
            <w:tcW w:w="8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(16,704)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17.95</w:t>
            </w:r>
          </w:p>
        </w:tc>
      </w:tr>
      <w:tr>
        <w:trPr>
          <w:trHeight w:val="223"/>
        </w:trPr>
        <w:tc>
          <w:tcPr>
            <w:tcW w:w="8380" w:type="dxa"/>
            <w:vAlign w:val="bottom"/>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1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0"/>
        </w:trPr>
        <w:tc>
          <w:tcPr>
            <w:tcW w:w="838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2020</w:t>
            </w:r>
          </w:p>
        </w:tc>
        <w:tc>
          <w:tcPr>
            <w:tcW w:w="10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16,016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21.84</w:t>
            </w:r>
          </w:p>
        </w:tc>
      </w:tr>
      <w:tr>
        <w:trPr>
          <w:trHeight w:val="222"/>
        </w:trPr>
        <w:tc>
          <w:tcPr>
            <w:tcW w:w="83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13,186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25.59</w:t>
            </w:r>
          </w:p>
        </w:tc>
      </w:tr>
      <w:tr>
        <w:trPr>
          <w:trHeight w:val="237"/>
        </w:trPr>
        <w:tc>
          <w:tcPr>
            <w:tcW w:w="8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21.84</w:t>
            </w:r>
          </w:p>
        </w:tc>
      </w:tr>
      <w:tr>
        <w:trPr>
          <w:trHeight w:val="223"/>
        </w:trPr>
        <w:tc>
          <w:tcPr>
            <w:tcW w:w="83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25.53</w:t>
            </w:r>
          </w:p>
        </w:tc>
      </w:tr>
      <w:tr>
        <w:trPr>
          <w:trHeight w:val="229"/>
        </w:trPr>
        <w:tc>
          <w:tcPr>
            <w:tcW w:w="83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2021</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25.60</w:t>
            </w:r>
          </w:p>
        </w:tc>
      </w:tr>
      <w:tr>
        <w:trPr>
          <w:trHeight w:val="222"/>
        </w:trPr>
        <w:tc>
          <w:tcPr>
            <w:tcW w:w="83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32.80</w:t>
            </w:r>
          </w:p>
        </w:tc>
      </w:tr>
      <w:tr>
        <w:trPr>
          <w:trHeight w:val="237"/>
        </w:trPr>
        <w:tc>
          <w:tcPr>
            <w:tcW w:w="8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25.60</w:t>
            </w:r>
          </w:p>
        </w:tc>
      </w:tr>
      <w:tr>
        <w:trPr>
          <w:trHeight w:val="223"/>
        </w:trPr>
        <w:tc>
          <w:tcPr>
            <w:tcW w:w="8380" w:type="dxa"/>
            <w:vAlign w:val="bottom"/>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1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48"/>
        </w:trPr>
        <w:tc>
          <w:tcPr>
            <w:tcW w:w="838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2022</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32.80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Annual expense related to the value of restricted stock was $0.3 million in fscal 2022, 2021 and 2020, and was recorded in SG&amp;A expense in the Consolidated Statements of Income. Unrecognized compensaton expense related to non-vested restricted stock awards as of April 3, 2022 was $0.1 million and is expected to be recognized over a weighted average period of 0.3 years.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11 — Share Repurchases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of directors has authorized the repurchase of up to 1,600,000 shares of our outstanding common shares. The shares may be repurchased on the open market or in privately negotated transactons subject to applicable securites laws and regulatons. Upon repurchase of the shares, we reduce our common shares for the par value of the shares with the excess applied against additonal paid-in capital. We repurchased 240,501 common shares at an aggregate purchase price of $8.5 million during fscal 2022. We repurchased 166,088 common shares at an aggregate purchase price of $4.1 million during fscal 2021. We repurchased 291,166 common shares at an aggregate purchase price of $5.9 million during fscal 2020. As of April 3, 2022, the number of shares available to be purchased under the share repurchase program was 311,005.</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 Proft Sharing, Employee Stock Ownership, Employee Stock Purchase and Pension Plans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Company Sponsored Plans</w:t>
      </w:r>
      <w:r>
        <w:rPr>
          <w:rFonts w:ascii="Calibri" w:cs="Calibri" w:eastAsia="Calibri" w:hAnsi="Calibri"/>
          <w:sz w:val="18"/>
          <w:szCs w:val="18"/>
          <w:b w:val="1"/>
          <w:b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majority of our non-bargaining unit employees are eligible to partcipate in a company-sponsored proft sharing plan.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Contributons are made at our discreton subject to a maximum amount allowed under the Internal Revenue Code (“IRC”). The proft sharing plan contributon level for each employee depends upon date of hire, and was 2.5% or 5.0% of each employee’s eligible compensaton for fscal 2022, 2021 and 2020. We also have in place a retrement plan covering our collectve bargaining unit employees. The retrement plan provides for a contributon of 2.5% or 5.0% of each employee’s eligible annual wages depending on their hire date. In additon to the employer contributons described above, both the proft sharing plan and the retrement plan include a 401(k) plan that allows employees to contribute pre-tax earnings up to the maximum amount allowed under the IRC, with an employer match of up to 5% of the employee’s eligible compensaton.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two employee stock ownership plans (“ESOPs”), one covering the majority of our non-bargaining unit employees and the other covering our collectve bargaining unit employees. Contributons to the plan covering our non-bargaining unit employees are made at our discreton. Contributons to both plans are subject to a maximum amount allowed under the IRC, and were 2.5% or 5.0% of each employee’s eligible wages, depending on each eligible employee’s hire date, for fscal 2022, 2021 and 2020.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nonqualifed deferred compensaton plan covering employees who are classifed as “highly compensated employees” as determined by IRS guidelines for the plan year and who were hired on or before April 1, 2012. Employees who are eligible for the nonqualifed deferred compensaton plan for any plan year are not eligible for the proft sharing plan contributon or the ESOP contributons described above for that plan year. Our contributon to the nonqualifed deferred compensaton plan for fscal 2022, 2021 and 2020 was 10% of each employee’s eligible compensaton, subject to the maximum amount allowed under the IRC.</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an employee stock purchase plan (“ESPP”) covering substantally all of our employees. The ESPP allows employees to purchase newly-issued shares of the Company’s common shares at a discount from market. The number of new shares issued under the ESPP was 71,692 in fscal 2022, 88,148 in fscal 2021 and 77,100 in fscal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tcPr>
          <w:p>
            <w:pPr>
              <w:spacing w:after="0"/>
              <w:rPr>
                <w:sz w:val="20"/>
                <w:szCs w:val="20"/>
                <w:color w:val="auto"/>
              </w:rPr>
            </w:pPr>
            <w:r>
              <w:rPr>
                <w:rFonts w:ascii="Calibri" w:cs="Calibri" w:eastAsia="Calibri" w:hAnsi="Calibri"/>
                <w:sz w:val="18"/>
                <w:szCs w:val="18"/>
                <w:color w:val="auto"/>
              </w:rPr>
              <w:t>The   following   represents   the   contributon   expense   for</w:t>
            </w:r>
          </w:p>
        </w:tc>
        <w:tc>
          <w:tcPr>
            <w:tcW w:w="2400" w:type="dxa"/>
            <w:vAlign w:val="bottom"/>
            <w:gridSpan w:val="4"/>
          </w:tcPr>
          <w:p>
            <w:pPr>
              <w:ind w:left="120"/>
              <w:spacing w:after="0"/>
              <w:rPr>
                <w:sz w:val="20"/>
                <w:szCs w:val="20"/>
                <w:color w:val="auto"/>
              </w:rPr>
            </w:pPr>
            <w:r>
              <w:rPr>
                <w:rFonts w:ascii="Calibri" w:cs="Calibri" w:eastAsia="Calibri" w:hAnsi="Calibri"/>
                <w:sz w:val="18"/>
                <w:szCs w:val="18"/>
                <w:color w:val="auto"/>
              </w:rPr>
              <w:t>these   company-sponsored</w:t>
            </w:r>
          </w:p>
        </w:tc>
        <w:tc>
          <w:tcPr>
            <w:tcW w:w="500" w:type="dxa"/>
            <w:vAlign w:val="bottom"/>
          </w:tcPr>
          <w:p>
            <w:pPr>
              <w:ind w:left="20"/>
              <w:spacing w:after="0"/>
              <w:rPr>
                <w:sz w:val="20"/>
                <w:szCs w:val="20"/>
                <w:color w:val="auto"/>
              </w:rPr>
            </w:pPr>
            <w:r>
              <w:rPr>
                <w:rFonts w:ascii="Calibri" w:cs="Calibri" w:eastAsia="Calibri" w:hAnsi="Calibri"/>
                <w:sz w:val="18"/>
                <w:szCs w:val="18"/>
                <w:color w:val="auto"/>
              </w:rPr>
              <w:t>plans</w:t>
            </w:r>
          </w:p>
        </w:tc>
        <w:tc>
          <w:tcPr>
            <w:tcW w:w="1100" w:type="dxa"/>
            <w:vAlign w:val="bottom"/>
          </w:tcPr>
          <w:p>
            <w:pPr>
              <w:jc w:val="right"/>
              <w:ind w:right="92"/>
              <w:spacing w:after="0"/>
              <w:rPr>
                <w:sz w:val="20"/>
                <w:szCs w:val="20"/>
                <w:color w:val="auto"/>
              </w:rPr>
            </w:pPr>
            <w:r>
              <w:rPr>
                <w:rFonts w:ascii="Calibri" w:cs="Calibri" w:eastAsia="Calibri" w:hAnsi="Calibri"/>
                <w:sz w:val="18"/>
                <w:szCs w:val="18"/>
                <w:color w:val="auto"/>
              </w:rPr>
              <w:t>for   fscal</w:t>
            </w:r>
          </w:p>
        </w:tc>
        <w:tc>
          <w:tcPr>
            <w:tcW w:w="560" w:type="dxa"/>
            <w:vAlign w:val="bottom"/>
            <w:gridSpan w:val="2"/>
          </w:tcPr>
          <w:p>
            <w:pPr>
              <w:jc w:val="right"/>
              <w:ind w:right="30"/>
              <w:spacing w:after="0"/>
              <w:rPr>
                <w:sz w:val="20"/>
                <w:szCs w:val="20"/>
                <w:color w:val="auto"/>
              </w:rPr>
            </w:pPr>
            <w:r>
              <w:rPr>
                <w:rFonts w:ascii="Calibri" w:cs="Calibri" w:eastAsia="Calibri" w:hAnsi="Calibri"/>
                <w:sz w:val="18"/>
                <w:szCs w:val="18"/>
                <w:color w:val="auto"/>
              </w:rPr>
              <w:t>2022,</w:t>
            </w:r>
          </w:p>
        </w:tc>
        <w:tc>
          <w:tcPr>
            <w:tcW w:w="1600" w:type="dxa"/>
            <w:vAlign w:val="bottom"/>
            <w:gridSpan w:val="3"/>
          </w:tcPr>
          <w:p>
            <w:pPr>
              <w:ind w:left="120"/>
              <w:spacing w:after="0"/>
              <w:rPr>
                <w:sz w:val="20"/>
                <w:szCs w:val="20"/>
                <w:color w:val="auto"/>
              </w:rPr>
            </w:pPr>
            <w:r>
              <w:rPr>
                <w:rFonts w:ascii="Calibri" w:cs="Calibri" w:eastAsia="Calibri" w:hAnsi="Calibri"/>
                <w:sz w:val="18"/>
                <w:szCs w:val="18"/>
                <w:color w:val="auto"/>
              </w:rPr>
              <w:t>2021   and   2020:</w:t>
            </w:r>
          </w:p>
        </w:tc>
      </w:tr>
      <w:tr>
        <w:trPr>
          <w:trHeight w:val="206"/>
        </w:trPr>
        <w:tc>
          <w:tcPr>
            <w:tcW w:w="508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2021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7"/>
        </w:trPr>
        <w:tc>
          <w:tcPr>
            <w:tcW w:w="508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Pr>
          <w:p>
            <w:pPr>
              <w:spacing w:after="0"/>
              <w:rPr>
                <w:sz w:val="4"/>
                <w:szCs w:val="4"/>
                <w:color w:val="auto"/>
              </w:rPr>
            </w:pPr>
          </w:p>
        </w:tc>
      </w:tr>
      <w:tr>
        <w:trPr>
          <w:trHeight w:val="209"/>
        </w:trPr>
        <w:tc>
          <w:tcPr>
            <w:tcW w:w="50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Non-bargaining unit employee plans:</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080" w:type="dxa"/>
            <w:vAlign w:val="bottom"/>
          </w:tcPr>
          <w:p>
            <w:pPr>
              <w:ind w:left="140"/>
              <w:spacing w:after="0" w:line="215" w:lineRule="exact"/>
              <w:rPr>
                <w:sz w:val="20"/>
                <w:szCs w:val="20"/>
                <w:color w:val="auto"/>
              </w:rPr>
            </w:pPr>
            <w:r>
              <w:rPr>
                <w:rFonts w:ascii="Calibri" w:cs="Calibri" w:eastAsia="Calibri" w:hAnsi="Calibri"/>
                <w:sz w:val="18"/>
                <w:szCs w:val="18"/>
                <w:color w:val="auto"/>
              </w:rPr>
              <w:t>Proft sharing</w:t>
            </w:r>
          </w:p>
        </w:tc>
        <w:tc>
          <w:tcPr>
            <w:tcW w:w="108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1,056</w:t>
            </w:r>
          </w:p>
        </w:tc>
        <w:tc>
          <w:tcPr>
            <w:tcW w:w="100" w:type="dxa"/>
            <w:vAlign w:val="bottom"/>
          </w:tcPr>
          <w:p>
            <w:pPr>
              <w:spacing w:after="0"/>
              <w:rPr>
                <w:sz w:val="19"/>
                <w:szCs w:val="19"/>
                <w:color w:val="auto"/>
              </w:rPr>
            </w:pPr>
          </w:p>
        </w:tc>
        <w:tc>
          <w:tcPr>
            <w:tcW w:w="50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994</w:t>
            </w:r>
          </w:p>
        </w:tc>
        <w:tc>
          <w:tcPr>
            <w:tcW w:w="5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0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401(k) matching contributons</w:t>
            </w: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3,122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2,650</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2,399</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5080" w:type="dxa"/>
            <w:vAlign w:val="bottom"/>
          </w:tcPr>
          <w:p>
            <w:pPr>
              <w:ind w:left="140"/>
              <w:spacing w:after="0" w:line="215" w:lineRule="exact"/>
              <w:rPr>
                <w:sz w:val="20"/>
                <w:szCs w:val="20"/>
                <w:color w:val="auto"/>
              </w:rPr>
            </w:pPr>
            <w:r>
              <w:rPr>
                <w:rFonts w:ascii="Calibri" w:cs="Calibri" w:eastAsia="Calibri" w:hAnsi="Calibri"/>
                <w:sz w:val="18"/>
                <w:szCs w:val="18"/>
                <w:color w:val="auto"/>
              </w:rPr>
              <w:t>ESOP</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1,056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994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color w:val="auto"/>
              </w:rPr>
              <w:t>Nonqualifed deferred compensaton plan</w:t>
            </w: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1,327</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1,262</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50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Bargaining unit employee plans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589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555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color w:val="auto"/>
              </w:rPr>
              <w:t>ESPP - all employees</w:t>
            </w:r>
          </w:p>
        </w:tc>
        <w:tc>
          <w:tcPr>
            <w:tcW w:w="7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549</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556</w:t>
            </w:r>
          </w:p>
        </w:tc>
        <w:tc>
          <w:tcPr>
            <w:tcW w:w="3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431</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17"/>
        </w:trPr>
        <w:tc>
          <w:tcPr>
            <w:tcW w:w="5080" w:type="dxa"/>
            <w:vAlign w:val="bottom"/>
          </w:tcPr>
          <w:p>
            <w:pPr>
              <w:ind w:left="360"/>
              <w:spacing w:after="0" w:line="195" w:lineRule="exact"/>
              <w:rPr>
                <w:sz w:val="20"/>
                <w:szCs w:val="20"/>
                <w:color w:val="auto"/>
              </w:rPr>
            </w:pPr>
            <w:r>
              <w:rPr>
                <w:rFonts w:ascii="Calibri" w:cs="Calibri" w:eastAsia="Calibri" w:hAnsi="Calibri"/>
                <w:sz w:val="18"/>
                <w:szCs w:val="18"/>
                <w:color w:val="auto"/>
              </w:rPr>
              <w:t>Total contributon expense</w:t>
            </w:r>
          </w:p>
        </w:tc>
        <w:tc>
          <w:tcPr>
            <w:tcW w:w="70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7,727</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7,076</w:t>
            </w: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5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color w:val="auto"/>
        </w:rPr>
        <w:t>In 2013, we withdrew from a collectvely bargained multemployer pension plan and recorded a liability for our share of the unfunded vested benefts.</w:t>
      </w:r>
    </w:p>
    <w:p>
      <w:pPr>
        <w:spacing w:after="0" w:line="235" w:lineRule="auto"/>
        <w:rPr>
          <w:sz w:val="20"/>
          <w:szCs w:val="20"/>
          <w:color w:val="auto"/>
        </w:rPr>
      </w:pPr>
      <w:r>
        <w:rPr>
          <w:rFonts w:ascii="Calibri" w:cs="Calibri" w:eastAsia="Calibri" w:hAnsi="Calibri"/>
          <w:sz w:val="18"/>
          <w:szCs w:val="18"/>
          <w:color w:val="auto"/>
        </w:rPr>
        <w:t>Payments of approximately $0.5 million per year are being made through 2034.</w:t>
      </w:r>
    </w:p>
    <w:p>
      <w:pPr>
        <w:spacing w:after="0" w:line="3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 Commitments and Contngencies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Litgaton. </w:t>
      </w:r>
      <w:r>
        <w:rPr>
          <w:rFonts w:ascii="Calibri" w:cs="Calibri" w:eastAsia="Calibri" w:hAnsi="Calibri"/>
          <w:sz w:val="18"/>
          <w:szCs w:val="18"/>
          <w:color w:val="auto"/>
        </w:rPr>
        <w:t>As of April 3, 2022, there were no material pending legal proceedings, other than ordinary routne litgaton incidental to the business, to which</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we or any of our subsidiaries are a party or of which any of our property is the subject. Legal fees associated with such maters are expensed as incurred.</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Asset Retrement Obligatons. </w:t>
      </w:r>
      <w:r>
        <w:rPr>
          <w:rFonts w:ascii="Calibri" w:cs="Calibri" w:eastAsia="Calibri" w:hAnsi="Calibri"/>
          <w:sz w:val="18"/>
          <w:szCs w:val="18"/>
          <w:color w:val="auto"/>
        </w:rPr>
        <w:t>We have three leases of land which contain terms that state that at the end of the lease term, we have a specifed amount of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tme to remove the property and buildings. Including available lease extensions, these leases expire in 2023, 2033 and 2044. At that tme, anything that remains on the land becomes the property of the lessor, and the lessor has the opton to either maintain the property or remove the property at our expense. We have not been able to reasonably estmate the fair value of the asset retrement obligatons, primarily due to the combinaton of the following factors: certain of the leases do not expire in the near future; we have a history of extending the leases with the lessors and currently intend to do so at expiraton of the lease periods; the lessors do not have a history of terminatng leases with their tenants; and because it is more likely than not that the buildings will have value at the end of the lease life and therefore, may not be removed by either the lessee or the lessor. Therefore, in accordance with accountng guidance related to asset retrement and environmental obligatons, we have not recorded an asset retrement obligaton as of April 3, 2022. We will contnue to monitor the factors surrounding the requirement to record an asset retrement obligaton and will recognize the fair value of a liability in the period in which it is incurred and a reasonable estmate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center"/>
        <w:ind w:right="-19"/>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14 — Income Taxes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provisions for income taxes for fscal 2022, 2021 and 2020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b w:val="1"/>
                <w:bCs w:val="1"/>
                <w:color w:val="auto"/>
              </w:rPr>
              <w:t>2022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b w:val="1"/>
                <w:bCs w:val="1"/>
                <w:color w:val="auto"/>
              </w:rPr>
              <w:t>2021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12"/>
              <w:spacing w:after="0"/>
              <w:rPr>
                <w:sz w:val="20"/>
                <w:szCs w:val="20"/>
                <w:color w:val="auto"/>
              </w:rPr>
            </w:pPr>
            <w:r>
              <w:rPr>
                <w:rFonts w:ascii="Calibri" w:cs="Calibri" w:eastAsia="Calibri" w:hAnsi="Calibri"/>
                <w:sz w:val="14"/>
                <w:szCs w:val="14"/>
                <w:b w:val="1"/>
                <w:bCs w:val="1"/>
                <w:color w:val="auto"/>
              </w:rPr>
              <w:t>2020</w:t>
            </w:r>
          </w:p>
        </w:tc>
        <w:tc>
          <w:tcPr>
            <w:tcW w:w="0" w:type="dxa"/>
            <w:vAlign w:val="bottom"/>
          </w:tcPr>
          <w:p>
            <w:pPr>
              <w:spacing w:after="0"/>
              <w:rPr>
                <w:sz w:val="1"/>
                <w:szCs w:val="1"/>
                <w:color w:val="auto"/>
              </w:rPr>
            </w:pPr>
          </w:p>
        </w:tc>
      </w:tr>
      <w:tr>
        <w:trPr>
          <w:trHeight w:val="47"/>
        </w:trPr>
        <w:tc>
          <w:tcPr>
            <w:tcW w:w="57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0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5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Federal — current</w:t>
            </w:r>
          </w:p>
        </w:tc>
        <w:tc>
          <w:tcPr>
            <w:tcW w:w="1060" w:type="dxa"/>
            <w:vAlign w:val="bottom"/>
            <w:shd w:val="clear" w:color="auto" w:fill="CCEEFF"/>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14,736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8,447</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State — current</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5,202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3,563</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360"/>
              <w:spacing w:after="0" w:line="202" w:lineRule="exact"/>
              <w:rPr>
                <w:sz w:val="20"/>
                <w:szCs w:val="20"/>
                <w:color w:val="auto"/>
              </w:rPr>
            </w:pPr>
            <w:r>
              <w:rPr>
                <w:rFonts w:ascii="Calibri" w:cs="Calibri" w:eastAsia="Calibri" w:hAnsi="Calibri"/>
                <w:sz w:val="18"/>
                <w:szCs w:val="18"/>
                <w:color w:val="auto"/>
              </w:rPr>
              <w:t>Total current</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19,938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15,560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12,010</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Federal — deferred</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(976)</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State — deferred</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(445)</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360"/>
              <w:spacing w:after="0" w:line="202" w:lineRule="exact"/>
              <w:rPr>
                <w:sz w:val="20"/>
                <w:szCs w:val="20"/>
                <w:color w:val="auto"/>
              </w:rPr>
            </w:pPr>
            <w:r>
              <w:rPr>
                <w:rFonts w:ascii="Calibri" w:cs="Calibri" w:eastAsia="Calibri" w:hAnsi="Calibri"/>
                <w:sz w:val="18"/>
                <w:szCs w:val="18"/>
                <w:color w:val="auto"/>
              </w:rPr>
              <w:t>Total deferred</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(1,421)</w:t>
            </w:r>
          </w:p>
        </w:tc>
        <w:tc>
          <w:tcPr>
            <w:tcW w:w="0" w:type="dxa"/>
            <w:vAlign w:val="bottom"/>
          </w:tcPr>
          <w:p>
            <w:pPr>
              <w:spacing w:after="0"/>
              <w:rPr>
                <w:sz w:val="1"/>
                <w:szCs w:val="1"/>
                <w:color w:val="auto"/>
              </w:rPr>
            </w:pPr>
          </w:p>
        </w:tc>
      </w:tr>
      <w:tr>
        <w:trPr>
          <w:trHeight w:val="217"/>
        </w:trPr>
        <w:tc>
          <w:tcPr>
            <w:tcW w:w="5760" w:type="dxa"/>
            <w:vAlign w:val="bottom"/>
          </w:tcPr>
          <w:p>
            <w:pPr>
              <w:ind w:left="360"/>
              <w:spacing w:after="0" w:line="195" w:lineRule="exact"/>
              <w:rPr>
                <w:sz w:val="20"/>
                <w:szCs w:val="20"/>
                <w:color w:val="auto"/>
              </w:rPr>
            </w:pPr>
            <w:r>
              <w:rPr>
                <w:rFonts w:ascii="Calibri" w:cs="Calibri" w:eastAsia="Calibri" w:hAnsi="Calibri"/>
                <w:sz w:val="18"/>
                <w:szCs w:val="18"/>
                <w:color w:val="auto"/>
              </w:rPr>
              <w:t>Total provision</w:t>
            </w:r>
          </w:p>
        </w:tc>
        <w:tc>
          <w:tcPr>
            <w:tcW w:w="1060" w:type="dxa"/>
            <w:vAlign w:val="bottom"/>
            <w:tcBorders>
              <w:bottom w:val="single" w:sz="8" w:color="auto"/>
            </w:tcBorders>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18,437</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14,871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10,589</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Reconciliatons of the provisions for income taxes to the applicable federal statutory income tax rate for fscal 2022, 2021 and 2020 are listed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tcPr>
          <w:p>
            <w:pPr>
              <w:ind w:left="6620"/>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272"/>
              <w:spacing w:after="0"/>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9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Statutory federal income tax</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21.0 %</w:t>
            </w:r>
          </w:p>
        </w:tc>
        <w:tc>
          <w:tcPr>
            <w:tcW w:w="1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State income taxes, net of federal deducton</w:t>
            </w:r>
          </w:p>
        </w:tc>
        <w:tc>
          <w:tcPr>
            <w:tcW w:w="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5.6 %</w:t>
            </w:r>
          </w:p>
        </w:tc>
        <w:tc>
          <w:tcPr>
            <w:tcW w:w="120" w:type="dxa"/>
            <w:vAlign w:val="bottom"/>
          </w:tcPr>
          <w:p>
            <w:pPr>
              <w:spacing w:after="0"/>
              <w:rPr>
                <w:sz w:val="19"/>
                <w:szCs w:val="19"/>
                <w:color w:val="auto"/>
              </w:rPr>
            </w:pPr>
          </w:p>
        </w:tc>
        <w:tc>
          <w:tcPr>
            <w:tcW w:w="15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5.9 %</w:t>
            </w:r>
          </w:p>
        </w:tc>
        <w:tc>
          <w:tcPr>
            <w:tcW w:w="12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5.7 %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ESOP dividend deducton on allocated shares</w:t>
            </w:r>
          </w:p>
        </w:tc>
        <w:tc>
          <w:tcPr>
            <w:tcW w:w="58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(0.2)%</w:t>
            </w: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spacing w:after="0"/>
              <w:rPr>
                <w:sz w:val="20"/>
                <w:szCs w:val="20"/>
                <w:color w:val="auto"/>
              </w:rPr>
            </w:pPr>
            <w:r>
              <w:rPr>
                <w:rFonts w:ascii="Calibri" w:cs="Calibri" w:eastAsia="Calibri" w:hAnsi="Calibri"/>
                <w:sz w:val="18"/>
                <w:szCs w:val="18"/>
                <w:color w:val="auto"/>
              </w:rPr>
              <w:t>(0.2)%</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Other — net</w:t>
            </w:r>
          </w:p>
        </w:tc>
        <w:tc>
          <w:tcPr>
            <w:tcW w:w="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(0.1)%</w:t>
            </w:r>
          </w:p>
        </w:tc>
        <w:tc>
          <w:tcPr>
            <w:tcW w:w="120" w:type="dxa"/>
            <w:vAlign w:val="bottom"/>
          </w:tcPr>
          <w:p>
            <w:pPr>
              <w:spacing w:after="0"/>
              <w:rPr>
                <w:sz w:val="19"/>
                <w:szCs w:val="19"/>
                <w:color w:val="auto"/>
              </w:rPr>
            </w:pPr>
          </w:p>
        </w:tc>
        <w:tc>
          <w:tcPr>
            <w:tcW w:w="15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(0.1)%</w:t>
            </w:r>
          </w:p>
        </w:tc>
        <w:tc>
          <w:tcPr>
            <w:tcW w:w="12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0.8 %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360"/>
              <w:spacing w:after="0" w:line="202" w:lineRule="exact"/>
              <w:rPr>
                <w:sz w:val="20"/>
                <w:szCs w:val="20"/>
                <w:color w:val="auto"/>
              </w:rPr>
            </w:pPr>
            <w:r>
              <w:rPr>
                <w:rFonts w:ascii="Calibri" w:cs="Calibri" w:eastAsia="Calibri" w:hAnsi="Calibri"/>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26.3 %</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26.6 %</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9080" w:type="dxa"/>
            <w:vAlign w:val="bottom"/>
            <w:gridSpan w:val="7"/>
          </w:tcPr>
          <w:p>
            <w:pPr>
              <w:spacing w:after="0"/>
              <w:rPr>
                <w:sz w:val="20"/>
                <w:szCs w:val="20"/>
                <w:color w:val="auto"/>
              </w:rPr>
            </w:pPr>
            <w:r>
              <w:rPr>
                <w:rFonts w:ascii="Calibri" w:cs="Calibri" w:eastAsia="Calibri" w:hAnsi="Calibri"/>
                <w:sz w:val="18"/>
                <w:szCs w:val="18"/>
                <w:color w:val="auto"/>
              </w:rPr>
              <w:t>The tax efects of items comprising our net deferred tax liability as of April 3, 2022 and March 28, 2021 are as follows: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71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712"/>
              <w:spacing w:after="0"/>
              <w:rPr>
                <w:sz w:val="20"/>
                <w:szCs w:val="20"/>
                <w:color w:val="auto"/>
              </w:rPr>
            </w:pPr>
            <w:r>
              <w:rPr>
                <w:rFonts w:ascii="Calibri" w:cs="Calibri" w:eastAsia="Calibri" w:hAnsi="Calibri"/>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98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980" w:type="dxa"/>
            <w:vAlign w:val="bottom"/>
            <w:gridSpan w:val="2"/>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360"/>
              <w:spacing w:after="0" w:line="215" w:lineRule="exact"/>
              <w:rPr>
                <w:sz w:val="20"/>
                <w:szCs w:val="20"/>
                <w:color w:val="auto"/>
              </w:rPr>
            </w:pPr>
            <w:r>
              <w:rPr>
                <w:rFonts w:ascii="Calibri" w:cs="Calibri" w:eastAsia="Calibri" w:hAnsi="Calibri"/>
                <w:sz w:val="18"/>
                <w:szCs w:val="18"/>
                <w:color w:val="auto"/>
              </w:rPr>
              <w:t>Trade receivables</w:t>
            </w:r>
          </w:p>
        </w:tc>
        <w:tc>
          <w:tcPr>
            <w:tcW w:w="580" w:type="dxa"/>
            <w:vAlign w:val="bottom"/>
            <w:gridSpan w:val="2"/>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99</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gridSpan w:val="2"/>
            <w:shd w:val="clear" w:color="auto" w:fill="CCEEFF"/>
          </w:tcPr>
          <w:p>
            <w:pPr>
              <w:ind w:left="360"/>
              <w:spacing w:after="0"/>
              <w:rPr>
                <w:sz w:val="20"/>
                <w:szCs w:val="20"/>
                <w:color w:val="auto"/>
              </w:rPr>
            </w:pPr>
            <w:r>
              <w:rPr>
                <w:rFonts w:ascii="Calibri" w:cs="Calibri" w:eastAsia="Calibri" w:hAnsi="Calibri"/>
                <w:sz w:val="18"/>
                <w:szCs w:val="18"/>
                <w:color w:val="auto"/>
              </w:rPr>
              <w:t>Stock compensaton accruals</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1,341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360"/>
              <w:spacing w:after="0" w:line="215" w:lineRule="exact"/>
              <w:rPr>
                <w:sz w:val="20"/>
                <w:szCs w:val="20"/>
                <w:color w:val="auto"/>
              </w:rPr>
            </w:pPr>
            <w:r>
              <w:rPr>
                <w:rFonts w:ascii="Calibri" w:cs="Calibri" w:eastAsia="Calibri" w:hAnsi="Calibri"/>
                <w:sz w:val="18"/>
                <w:szCs w:val="18"/>
                <w:color w:val="auto"/>
              </w:rPr>
              <w:t>Pension withdrawal liability</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gridSpan w:val="2"/>
            <w:shd w:val="clear" w:color="auto" w:fill="CCEEFF"/>
          </w:tcPr>
          <w:p>
            <w:pPr>
              <w:ind w:left="360"/>
              <w:spacing w:after="0"/>
              <w:rPr>
                <w:sz w:val="20"/>
                <w:szCs w:val="20"/>
                <w:color w:val="auto"/>
              </w:rPr>
            </w:pPr>
            <w:r>
              <w:rPr>
                <w:rFonts w:ascii="Calibri" w:cs="Calibri" w:eastAsia="Calibri" w:hAnsi="Calibri"/>
                <w:sz w:val="18"/>
                <w:szCs w:val="18"/>
                <w:color w:val="auto"/>
              </w:rPr>
              <w:t>Lease liability</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3,191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gridSpan w:val="2"/>
          </w:tcPr>
          <w:p>
            <w:pPr>
              <w:ind w:left="360"/>
              <w:spacing w:after="0" w:line="215" w:lineRule="exact"/>
              <w:rPr>
                <w:sz w:val="20"/>
                <w:szCs w:val="20"/>
                <w:color w:val="auto"/>
              </w:rPr>
            </w:pPr>
            <w:r>
              <w:rPr>
                <w:rFonts w:ascii="Calibri" w:cs="Calibri" w:eastAsia="Calibri" w:hAnsi="Calibri"/>
                <w:sz w:val="18"/>
                <w:szCs w:val="18"/>
                <w:color w:val="auto"/>
              </w:rPr>
              <w:t>Other</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deferred tax assets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8,892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line="215" w:lineRule="exact"/>
              <w:rPr>
                <w:sz w:val="20"/>
                <w:szCs w:val="20"/>
                <w:color w:val="auto"/>
              </w:rPr>
            </w:pPr>
            <w:r>
              <w:rPr>
                <w:rFonts w:ascii="Calibri" w:cs="Calibri" w:eastAsia="Calibri" w:hAnsi="Calibri"/>
                <w:sz w:val="18"/>
                <w:szCs w:val="18"/>
                <w:color w:val="auto"/>
              </w:rPr>
              <w:t>Deferred tax liabilites:</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980" w:type="dxa"/>
            <w:vAlign w:val="bottom"/>
            <w:gridSpan w:val="2"/>
            <w:shd w:val="clear" w:color="auto" w:fill="CCEEFF"/>
          </w:tcPr>
          <w:p>
            <w:pPr>
              <w:ind w:left="360"/>
              <w:spacing w:after="0"/>
              <w:rPr>
                <w:sz w:val="20"/>
                <w:szCs w:val="20"/>
                <w:color w:val="auto"/>
              </w:rPr>
            </w:pPr>
            <w:r>
              <w:rPr>
                <w:rFonts w:ascii="Calibri" w:cs="Calibri" w:eastAsia="Calibri" w:hAnsi="Calibri"/>
                <w:sz w:val="18"/>
                <w:szCs w:val="18"/>
                <w:color w:val="auto"/>
              </w:rPr>
              <w:t>Inventories</w:t>
            </w:r>
          </w:p>
        </w:tc>
        <w:tc>
          <w:tcPr>
            <w:tcW w:w="580" w:type="dxa"/>
            <w:vAlign w:val="bottom"/>
            <w:gridSpan w:val="2"/>
            <w:shd w:val="clear" w:color="auto" w:fill="CCEEFF"/>
          </w:tcPr>
          <w:p>
            <w:pPr>
              <w:jc w:val="right"/>
              <w:ind w:right="27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(2,815)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360"/>
              <w:spacing w:after="0" w:line="215" w:lineRule="exact"/>
              <w:rPr>
                <w:sz w:val="20"/>
                <w:szCs w:val="20"/>
                <w:color w:val="auto"/>
              </w:rPr>
            </w:pPr>
            <w:r>
              <w:rPr>
                <w:rFonts w:ascii="Calibri" w:cs="Calibri" w:eastAsia="Calibri" w:hAnsi="Calibri"/>
                <w:sz w:val="18"/>
                <w:szCs w:val="18"/>
                <w:color w:val="auto"/>
              </w:rPr>
              <w:t>Prepaid expenses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(937)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gridSpan w:val="2"/>
            <w:shd w:val="clear" w:color="auto" w:fill="CCEEFF"/>
          </w:tcPr>
          <w:p>
            <w:pPr>
              <w:ind w:left="360"/>
              <w:spacing w:after="0"/>
              <w:rPr>
                <w:sz w:val="20"/>
                <w:szCs w:val="20"/>
                <w:color w:val="auto"/>
              </w:rPr>
            </w:pPr>
            <w:r>
              <w:rPr>
                <w:rFonts w:ascii="Calibri" w:cs="Calibri" w:eastAsia="Calibri" w:hAnsi="Calibri"/>
                <w:sz w:val="18"/>
                <w:szCs w:val="18"/>
                <w:color w:val="auto"/>
              </w:rPr>
              <w:t>Excess of tax over book depreciaton</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(12,234)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(11,249)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360"/>
              <w:spacing w:after="0" w:line="215" w:lineRule="exact"/>
              <w:rPr>
                <w:sz w:val="20"/>
                <w:szCs w:val="20"/>
                <w:color w:val="auto"/>
              </w:rPr>
            </w:pPr>
            <w:r>
              <w:rPr>
                <w:rFonts w:ascii="Calibri" w:cs="Calibri" w:eastAsia="Calibri" w:hAnsi="Calibri"/>
                <w:sz w:val="18"/>
                <w:szCs w:val="18"/>
                <w:color w:val="auto"/>
              </w:rPr>
              <w:t>Intangible assets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(14,806)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(15,269)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gridSpan w:val="2"/>
            <w:shd w:val="clear" w:color="auto" w:fill="CCEEFF"/>
          </w:tcPr>
          <w:p>
            <w:pPr>
              <w:ind w:left="360"/>
              <w:spacing w:after="0"/>
              <w:rPr>
                <w:sz w:val="20"/>
                <w:szCs w:val="20"/>
                <w:color w:val="auto"/>
              </w:rPr>
            </w:pPr>
            <w:r>
              <w:rPr>
                <w:rFonts w:ascii="Calibri" w:cs="Calibri" w:eastAsia="Calibri" w:hAnsi="Calibri"/>
                <w:sz w:val="18"/>
                <w:szCs w:val="18"/>
                <w:color w:val="auto"/>
              </w:rPr>
              <w:t>ROU asset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(3,140)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gridSpan w:val="2"/>
          </w:tcPr>
          <w:p>
            <w:pPr>
              <w:ind w:left="360"/>
              <w:spacing w:after="0" w:line="215" w:lineRule="exact"/>
              <w:rPr>
                <w:sz w:val="20"/>
                <w:szCs w:val="20"/>
                <w:color w:val="auto"/>
              </w:rPr>
            </w:pPr>
            <w:r>
              <w:rPr>
                <w:rFonts w:ascii="Calibri" w:cs="Calibri" w:eastAsia="Calibri" w:hAnsi="Calibri"/>
                <w:sz w:val="18"/>
                <w:szCs w:val="18"/>
                <w:color w:val="auto"/>
              </w:rPr>
              <w:t>Unrealized gain on interest rate swap</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deferred tax liabilites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(33,337)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gridSpan w:val="2"/>
            <w:vMerge w:val="restart"/>
          </w:tcPr>
          <w:p>
            <w:pPr>
              <w:ind w:left="20"/>
              <w:spacing w:after="0" w:line="215" w:lineRule="exact"/>
              <w:rPr>
                <w:sz w:val="20"/>
                <w:szCs w:val="20"/>
                <w:color w:val="auto"/>
              </w:rPr>
            </w:pPr>
            <w:r>
              <w:rPr>
                <w:rFonts w:ascii="Calibri" w:cs="Calibri" w:eastAsia="Calibri" w:hAnsi="Calibri"/>
                <w:sz w:val="18"/>
                <w:szCs w:val="18"/>
                <w:color w:val="auto"/>
              </w:rPr>
              <w:t>Net deferred tax liabilites</w:t>
            </w:r>
          </w:p>
        </w:tc>
        <w:tc>
          <w:tcPr>
            <w:tcW w:w="5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Borders>
              <w:top w:val="single" w:sz="8" w:color="CCEEFF"/>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(23,422)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w w:val="87"/>
              </w:rPr>
              <w:t>$</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(24,445)</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of April 3, 2022, the Company has determined that it is more likely than not that the deferred tax assets at April 3, 2022 will be realized either through future taxable income or reversals of taxable temporary diferences.</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subject to U.S. federal income tax as well as income tax of multple state jurisdictons. The tax years prior to our fscal year ended March 31, 2019 are closed to examinaton by the Internal Revenue Service, and with few exceptons, state and local income tax jurisdictons.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15 – Leases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Lease Obligatons. </w:t>
      </w:r>
      <w:r>
        <w:rPr>
          <w:rFonts w:ascii="Calibri" w:cs="Calibri" w:eastAsia="Calibri" w:hAnsi="Calibri"/>
          <w:sz w:val="18"/>
          <w:szCs w:val="18"/>
          <w:color w:val="auto"/>
        </w:rPr>
        <w:t>As of April 3, 2022, we were obligated under operatng lease agreements for certain manufacturing facilites, warehouse space, the land 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which some of our facilites sit, vehicles and informaton technology equipment. Our leases have remaining lease terms of 1 year to 23 years, some of which include optons to extend the lease for up to 15 years.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April 3, 2022 and March 28, 2021, our operatng lease components with inital or remaining terms in excess of one year were classifed on the consolidated balance sheet within right-of-use assets, short-term lease liability and long-term lease liability.</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lease expense was $2.9 million for the twelve months ended April 3, 2022 and $2.8 million for the twelve months ended March 28, 2021, and includes leases less than 12 months in duraton.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Other informaton related to our operatng leases was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alibri" w:cs="Calibri" w:eastAsia="Calibri" w:hAnsi="Calibri"/>
                <w:sz w:val="14"/>
                <w:szCs w:val="14"/>
                <w:b w:val="1"/>
                <w:bCs w:val="1"/>
                <w:color w:val="auto"/>
              </w:rPr>
              <w:t>April 3, 2022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right"/>
              <w:ind w:right="540"/>
              <w:spacing w:after="0"/>
              <w:rPr>
                <w:sz w:val="20"/>
                <w:szCs w:val="20"/>
                <w:color w:val="auto"/>
              </w:rPr>
            </w:pPr>
            <w:r>
              <w:rPr>
                <w:rFonts w:ascii="Calibri" w:cs="Calibri" w:eastAsia="Calibri" w:hAnsi="Calibri"/>
                <w:sz w:val="14"/>
                <w:szCs w:val="14"/>
                <w:b w:val="1"/>
                <w:bCs w:val="1"/>
                <w:color w:val="auto"/>
              </w:rPr>
              <w:t>March 28, 2021</w:t>
            </w:r>
          </w:p>
        </w:tc>
      </w:tr>
      <w:tr>
        <w:trPr>
          <w:trHeight w:val="47"/>
        </w:trPr>
        <w:tc>
          <w:tcPr>
            <w:tcW w:w="714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09"/>
        </w:trPr>
        <w:tc>
          <w:tcPr>
            <w:tcW w:w="71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Lease Term and Discount Rate</w:t>
            </w: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Weighted average remaining lease term (years)</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8.91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9.73</w:t>
            </w:r>
          </w:p>
        </w:tc>
      </w:tr>
      <w:tr>
        <w:trPr>
          <w:trHeight w:val="237"/>
        </w:trPr>
        <w:tc>
          <w:tcPr>
            <w:tcW w:w="860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Weighted average discount rate</w:t>
            </w:r>
          </w:p>
        </w:tc>
        <w:tc>
          <w:tcPr>
            <w:tcW w:w="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2.6 %</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2.7 %</w:t>
            </w:r>
          </w:p>
        </w:tc>
      </w:tr>
      <w:tr>
        <w:trPr>
          <w:trHeight w:val="517"/>
        </w:trPr>
        <w:tc>
          <w:tcPr>
            <w:tcW w:w="8600" w:type="dxa"/>
            <w:vAlign w:val="bottom"/>
            <w:gridSpan w:val="2"/>
          </w:tcPr>
          <w:p>
            <w:pPr>
              <w:spacing w:after="0"/>
              <w:rPr>
                <w:sz w:val="20"/>
                <w:szCs w:val="20"/>
                <w:color w:val="auto"/>
              </w:rPr>
            </w:pPr>
            <w:r>
              <w:rPr>
                <w:rFonts w:ascii="Calibri" w:cs="Calibri" w:eastAsia="Calibri" w:hAnsi="Calibri"/>
                <w:sz w:val="18"/>
                <w:szCs w:val="18"/>
                <w:color w:val="auto"/>
              </w:rPr>
              <w:t>Maturites of lease liabilites as of April 3, 2022 were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860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Calibri" w:cs="Calibri" w:eastAsia="Calibri" w:hAnsi="Calibri"/>
                <w:sz w:val="16"/>
                <w:szCs w:val="16"/>
                <w:b w:val="1"/>
                <w:bCs w:val="1"/>
                <w:color w:val="auto"/>
              </w:rPr>
              <w:t>Operatng Leases</w:t>
            </w:r>
          </w:p>
        </w:tc>
      </w:tr>
      <w:tr>
        <w:trPr>
          <w:trHeight w:val="28"/>
        </w:trPr>
        <w:tc>
          <w:tcPr>
            <w:tcW w:w="860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860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Fiscal 2023</w:t>
            </w:r>
          </w:p>
        </w:tc>
        <w:tc>
          <w:tcPr>
            <w:tcW w:w="1080" w:type="dxa"/>
            <w:vAlign w:val="bottom"/>
            <w:gridSpan w:val="3"/>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1,889</w:t>
            </w:r>
          </w:p>
        </w:tc>
        <w:tc>
          <w:tcPr>
            <w:tcW w:w="60" w:type="dxa"/>
            <w:vAlign w:val="bottom"/>
          </w:tcPr>
          <w:p>
            <w:pPr>
              <w:spacing w:after="0"/>
              <w:rPr>
                <w:sz w:val="19"/>
                <w:szCs w:val="19"/>
                <w:color w:val="auto"/>
              </w:rPr>
            </w:pPr>
          </w:p>
        </w:tc>
      </w:tr>
      <w:tr>
        <w:trPr>
          <w:trHeight w:val="222"/>
        </w:trPr>
        <w:tc>
          <w:tcPr>
            <w:tcW w:w="86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Fiscal 2024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1,515</w:t>
            </w:r>
          </w:p>
        </w:tc>
        <w:tc>
          <w:tcPr>
            <w:tcW w:w="60" w:type="dxa"/>
            <w:vAlign w:val="bottom"/>
          </w:tcPr>
          <w:p>
            <w:pPr>
              <w:spacing w:after="0"/>
              <w:rPr>
                <w:sz w:val="19"/>
                <w:szCs w:val="19"/>
                <w:color w:val="auto"/>
              </w:rPr>
            </w:pPr>
          </w:p>
        </w:tc>
      </w:tr>
      <w:tr>
        <w:trPr>
          <w:trHeight w:val="237"/>
        </w:trPr>
        <w:tc>
          <w:tcPr>
            <w:tcW w:w="860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Fiscal 2025</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1,450</w:t>
            </w:r>
          </w:p>
        </w:tc>
        <w:tc>
          <w:tcPr>
            <w:tcW w:w="60" w:type="dxa"/>
            <w:vAlign w:val="bottom"/>
          </w:tcPr>
          <w:p>
            <w:pPr>
              <w:spacing w:after="0"/>
              <w:rPr>
                <w:sz w:val="20"/>
                <w:szCs w:val="20"/>
                <w:color w:val="auto"/>
              </w:rPr>
            </w:pPr>
          </w:p>
        </w:tc>
      </w:tr>
      <w:tr>
        <w:trPr>
          <w:trHeight w:val="222"/>
        </w:trPr>
        <w:tc>
          <w:tcPr>
            <w:tcW w:w="86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Fiscal 2026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1,388</w:t>
            </w:r>
          </w:p>
        </w:tc>
        <w:tc>
          <w:tcPr>
            <w:tcW w:w="60" w:type="dxa"/>
            <w:vAlign w:val="bottom"/>
          </w:tcPr>
          <w:p>
            <w:pPr>
              <w:spacing w:after="0"/>
              <w:rPr>
                <w:sz w:val="19"/>
                <w:szCs w:val="19"/>
                <w:color w:val="auto"/>
              </w:rPr>
            </w:pPr>
          </w:p>
        </w:tc>
      </w:tr>
      <w:tr>
        <w:trPr>
          <w:trHeight w:val="237"/>
        </w:trPr>
        <w:tc>
          <w:tcPr>
            <w:tcW w:w="860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Fiscal 2027</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1,359</w:t>
            </w:r>
          </w:p>
        </w:tc>
        <w:tc>
          <w:tcPr>
            <w:tcW w:w="60" w:type="dxa"/>
            <w:vAlign w:val="bottom"/>
          </w:tcPr>
          <w:p>
            <w:pPr>
              <w:spacing w:after="0"/>
              <w:rPr>
                <w:sz w:val="20"/>
                <w:szCs w:val="20"/>
                <w:color w:val="auto"/>
              </w:rPr>
            </w:pPr>
          </w:p>
        </w:tc>
      </w:tr>
      <w:tr>
        <w:trPr>
          <w:trHeight w:val="223"/>
        </w:trPr>
        <w:tc>
          <w:tcPr>
            <w:tcW w:w="860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5,171</w:t>
            </w:r>
          </w:p>
        </w:tc>
        <w:tc>
          <w:tcPr>
            <w:tcW w:w="60" w:type="dxa"/>
            <w:vAlign w:val="bottom"/>
          </w:tcPr>
          <w:p>
            <w:pPr>
              <w:spacing w:after="0"/>
              <w:rPr>
                <w:sz w:val="19"/>
                <w:szCs w:val="19"/>
                <w:color w:val="auto"/>
              </w:rPr>
            </w:pPr>
          </w:p>
        </w:tc>
      </w:tr>
      <w:tr>
        <w:trPr>
          <w:trHeight w:val="230"/>
        </w:trPr>
        <w:tc>
          <w:tcPr>
            <w:tcW w:w="860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w:t>
            </w:r>
          </w:p>
        </w:tc>
        <w:tc>
          <w:tcPr>
            <w:tcW w:w="1080" w:type="dxa"/>
            <w:vAlign w:val="bottom"/>
            <w:gridSpan w:val="3"/>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12,772</w:t>
            </w:r>
          </w:p>
        </w:tc>
        <w:tc>
          <w:tcPr>
            <w:tcW w:w="60" w:type="dxa"/>
            <w:vAlign w:val="bottom"/>
          </w:tcPr>
          <w:p>
            <w:pPr>
              <w:spacing w:after="0"/>
              <w:rPr>
                <w:sz w:val="19"/>
                <w:szCs w:val="19"/>
                <w:color w:val="auto"/>
              </w:rPr>
            </w:pPr>
          </w:p>
        </w:tc>
      </w:tr>
      <w:tr>
        <w:trPr>
          <w:trHeight w:val="223"/>
        </w:trPr>
        <w:tc>
          <w:tcPr>
            <w:tcW w:w="860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Less: Interest</w:t>
            </w: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(1,972)</w:t>
            </w:r>
          </w:p>
        </w:tc>
        <w:tc>
          <w:tcPr>
            <w:tcW w:w="60" w:type="dxa"/>
            <w:vAlign w:val="bottom"/>
          </w:tcPr>
          <w:p>
            <w:pPr>
              <w:spacing w:after="0"/>
              <w:rPr>
                <w:sz w:val="19"/>
                <w:szCs w:val="19"/>
                <w:color w:val="auto"/>
              </w:rPr>
            </w:pPr>
          </w:p>
        </w:tc>
      </w:tr>
      <w:tr>
        <w:trPr>
          <w:trHeight w:val="255"/>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Present value of lease liabilites</w:t>
            </w:r>
          </w:p>
        </w:tc>
        <w:tc>
          <w:tcPr>
            <w:tcW w:w="108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10,800</w:t>
            </w:r>
          </w:p>
        </w:tc>
        <w:tc>
          <w:tcPr>
            <w:tcW w:w="60" w:type="dxa"/>
            <w:vAlign w:val="bottom"/>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center"/>
        <w:ind w:right="-19"/>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16 — Segment Informaton</w:t>
      </w:r>
    </w:p>
    <w:p>
      <w:pPr>
        <w:spacing w:after="0" w:line="244"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have three reportable segments: Industrial, Water Treatment and Health and Nutriton. The accountng policies of the segments are the same as those described in the summary of signifcant accountng policies. Product costs and expenses for each segment are based on actual costs incurred along with cost allocatons of shared and centralized functons.</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evaluate performance based on operatng income. Reportable segments are defned primarily by product and type of customer. Segments are responsible for the sales, marketng and development of their products and services. Other than our Health and Nutriton segment, the segments do not have separate customer service or purchasing functons. There are no intersegment sales and no operatng segments have been aggregated.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vMerge w:val="restart"/>
            <w:shd w:val="clear" w:color="auto" w:fill="CCEEFF"/>
          </w:tcPr>
          <w:p>
            <w:pPr>
              <w:ind w:left="20"/>
              <w:spacing w:after="0"/>
              <w:rPr>
                <w:sz w:val="20"/>
                <w:szCs w:val="20"/>
                <w:color w:val="auto"/>
              </w:rPr>
            </w:pPr>
            <w:r>
              <w:rPr>
                <w:rFonts w:ascii="Calibri" w:cs="Calibri" w:eastAsia="Calibri" w:hAnsi="Calibri"/>
                <w:sz w:val="14"/>
                <w:szCs w:val="14"/>
                <w:b w:val="1"/>
                <w:bCs w:val="1"/>
                <w:color w:val="auto"/>
              </w:rPr>
              <w:t>Reportable Segments</w:t>
            </w:r>
          </w:p>
        </w:tc>
        <w:tc>
          <w:tcPr>
            <w:tcW w:w="2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40"/>
              <w:spacing w:after="0"/>
              <w:rPr>
                <w:sz w:val="20"/>
                <w:szCs w:val="20"/>
                <w:color w:val="auto"/>
              </w:rPr>
            </w:pPr>
            <w:r>
              <w:rPr>
                <w:rFonts w:ascii="Calibri" w:cs="Calibri" w:eastAsia="Calibri" w:hAnsi="Calibri"/>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320"/>
              <w:spacing w:after="0"/>
              <w:rPr>
                <w:sz w:val="20"/>
                <w:szCs w:val="20"/>
                <w:color w:val="auto"/>
              </w:rPr>
            </w:pPr>
            <w:r>
              <w:rPr>
                <w:rFonts w:ascii="Calibri" w:cs="Calibri" w:eastAsia="Calibri" w:hAnsi="Calibri"/>
                <w:sz w:val="14"/>
                <w:szCs w:val="14"/>
                <w:b w:val="1"/>
                <w:bCs w:val="1"/>
                <w:color w:val="auto"/>
              </w:rPr>
              <w:t>Water</w:t>
            </w:r>
          </w:p>
        </w:tc>
        <w:tc>
          <w:tcPr>
            <w:tcW w:w="144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b w:val="1"/>
                <w:bCs w:val="1"/>
                <w:color w:val="auto"/>
              </w:rPr>
              <w:t>Health and Nutriton</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51"/>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Calibri" w:cs="Calibri" w:eastAsia="Calibri" w:hAnsi="Calibri"/>
                <w:sz w:val="14"/>
                <w:szCs w:val="14"/>
                <w:b w:val="1"/>
                <w:bCs w:val="1"/>
                <w:color w:val="auto"/>
              </w:rPr>
              <w:t>Treatment</w:t>
            </w:r>
          </w:p>
        </w:tc>
        <w:tc>
          <w:tcPr>
            <w:tcW w:w="1440" w:type="dxa"/>
            <w:vAlign w:val="bottom"/>
            <w:tcBorders>
              <w:bottom w:val="single" w:sz="8" w:color="CCEEFF"/>
            </w:tcBorders>
            <w:gridSpan w:val="3"/>
            <w:vMerge w:val="continue"/>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400" w:type="dxa"/>
            <w:vAlign w:val="bottom"/>
          </w:tcPr>
          <w:p>
            <w:pPr>
              <w:ind w:left="20"/>
              <w:spacing w:after="0" w:line="150" w:lineRule="exact"/>
              <w:rPr>
                <w:sz w:val="20"/>
                <w:szCs w:val="20"/>
                <w:color w:val="auto"/>
              </w:rPr>
            </w:pPr>
            <w:r>
              <w:rPr>
                <w:rFonts w:ascii="Calibri" w:cs="Calibri" w:eastAsia="Calibri" w:hAnsi="Calibri"/>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Fiscal Year Ended April 3, 2022: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386,938</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228,133</w:t>
            </w:r>
          </w:p>
        </w:tc>
        <w:tc>
          <w:tcPr>
            <w:tcW w:w="100" w:type="dxa"/>
            <w:vAlign w:val="bottom"/>
          </w:tcPr>
          <w:p>
            <w:pPr>
              <w:spacing w:after="0"/>
              <w:rPr>
                <w:sz w:val="19"/>
                <w:szCs w:val="19"/>
                <w:color w:val="auto"/>
              </w:rPr>
            </w:pPr>
          </w:p>
        </w:tc>
        <w:tc>
          <w:tcPr>
            <w:tcW w:w="400" w:type="dxa"/>
            <w:vAlign w:val="bottom"/>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159,470</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774,541</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59,606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54,571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32,343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146,520</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28,127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31,357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75,326</w:t>
            </w: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31,479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71,194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line="215" w:lineRule="exact"/>
              <w:rPr>
                <w:sz w:val="20"/>
                <w:szCs w:val="20"/>
                <w:color w:val="auto"/>
              </w:rPr>
            </w:pPr>
            <w:r>
              <w:rPr>
                <w:rFonts w:ascii="Calibri" w:cs="Calibri" w:eastAsia="Calibri" w:hAnsi="Calibri"/>
                <w:sz w:val="18"/>
                <w:szCs w:val="18"/>
                <w:color w:val="auto"/>
              </w:rPr>
              <w:t>Identfable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03" w:lineRule="exact"/>
              <w:rPr>
                <w:sz w:val="20"/>
                <w:szCs w:val="20"/>
                <w:color w:val="auto"/>
              </w:rPr>
            </w:pPr>
            <w:r>
              <w:rPr>
                <w:rFonts w:ascii="Calibri" w:cs="Calibri" w:eastAsia="Calibri" w:hAnsi="Calibri"/>
                <w:sz w:val="18"/>
                <w:szCs w:val="18"/>
                <w:color w:val="auto"/>
              </w:rPr>
              <w:t>236,934</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03" w:lineRule="exact"/>
              <w:rPr>
                <w:sz w:val="20"/>
                <w:szCs w:val="20"/>
                <w:color w:val="auto"/>
              </w:rPr>
            </w:pPr>
            <w:r>
              <w:rPr>
                <w:rFonts w:ascii="Calibri" w:cs="Calibri" w:eastAsia="Calibri" w:hAnsi="Calibri"/>
                <w:sz w:val="18"/>
                <w:szCs w:val="18"/>
                <w:color w:val="auto"/>
              </w:rPr>
              <w:t>143,889</w:t>
            </w:r>
          </w:p>
        </w:tc>
        <w:tc>
          <w:tcPr>
            <w:tcW w:w="100" w:type="dxa"/>
            <w:vAlign w:val="bottom"/>
          </w:tcPr>
          <w:p>
            <w:pPr>
              <w:spacing w:after="0"/>
              <w:rPr>
                <w:sz w:val="17"/>
                <w:szCs w:val="17"/>
                <w:color w:val="auto"/>
              </w:rPr>
            </w:pPr>
          </w:p>
        </w:tc>
        <w:tc>
          <w:tcPr>
            <w:tcW w:w="400" w:type="dxa"/>
            <w:vAlign w:val="bottom"/>
          </w:tcPr>
          <w:p>
            <w:pPr>
              <w:jc w:val="right"/>
              <w:ind w:right="192"/>
              <w:spacing w:after="0" w:line="203"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03" w:lineRule="exact"/>
              <w:rPr>
                <w:sz w:val="20"/>
                <w:szCs w:val="20"/>
                <w:color w:val="auto"/>
              </w:rPr>
            </w:pPr>
            <w:r>
              <w:rPr>
                <w:rFonts w:ascii="Calibri" w:cs="Calibri" w:eastAsia="Calibri" w:hAnsi="Calibri"/>
                <w:sz w:val="18"/>
                <w:szCs w:val="18"/>
                <w:color w:val="auto"/>
              </w:rPr>
              <w:t>167,034</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03" w:lineRule="exact"/>
              <w:rPr>
                <w:sz w:val="20"/>
                <w:szCs w:val="20"/>
                <w:color w:val="auto"/>
              </w:rPr>
            </w:pPr>
            <w:r>
              <w:rPr>
                <w:rFonts w:ascii="Calibri" w:cs="Calibri" w:eastAsia="Calibri" w:hAnsi="Calibri"/>
                <w:sz w:val="18"/>
                <w:szCs w:val="18"/>
                <w:color w:val="auto"/>
              </w:rPr>
              <w:t>547,857</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Capital expenditures</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18,812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8,939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28,512</w:t>
            </w:r>
          </w:p>
        </w:tc>
        <w:tc>
          <w:tcPr>
            <w:tcW w:w="0" w:type="dxa"/>
            <w:vAlign w:val="bottom"/>
          </w:tcPr>
          <w:p>
            <w:pPr>
              <w:spacing w:after="0"/>
              <w:rPr>
                <w:sz w:val="1"/>
                <w:szCs w:val="1"/>
                <w:color w:val="auto"/>
              </w:rPr>
            </w:pPr>
          </w:p>
        </w:tc>
      </w:tr>
      <w:tr>
        <w:trPr>
          <w:trHeight w:val="222"/>
        </w:trPr>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Fiscal Year Ended March 28, 2021:</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273,361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170,004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153,506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596,871</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43,337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46,793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33,632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123,762</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27,033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24,453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16,398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67,884</w:t>
            </w:r>
          </w:p>
        </w:tc>
        <w:tc>
          <w:tcPr>
            <w:tcW w:w="0" w:type="dxa"/>
            <w:vAlign w:val="bottom"/>
          </w:tcPr>
          <w:p>
            <w:pPr>
              <w:spacing w:after="0"/>
              <w:rPr>
                <w:sz w:val="1"/>
                <w:szCs w:val="1"/>
                <w:color w:val="auto"/>
              </w:rPr>
            </w:pPr>
          </w:p>
        </w:tc>
      </w:tr>
      <w:tr>
        <w:trPr>
          <w:trHeight w:val="223"/>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16,304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22,340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17,234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55,878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line="195" w:lineRule="exact"/>
              <w:rPr>
                <w:sz w:val="20"/>
                <w:szCs w:val="20"/>
                <w:color w:val="auto"/>
              </w:rPr>
            </w:pPr>
            <w:r>
              <w:rPr>
                <w:rFonts w:ascii="Calibri" w:cs="Calibri" w:eastAsia="Calibri" w:hAnsi="Calibri"/>
                <w:sz w:val="18"/>
                <w:szCs w:val="18"/>
                <w:color w:val="auto"/>
              </w:rPr>
              <w:t>Identfable assets*</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181,478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109,761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166,558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457,797</w:t>
            </w:r>
          </w:p>
        </w:tc>
        <w:tc>
          <w:tcPr>
            <w:tcW w:w="0" w:type="dxa"/>
            <w:vAlign w:val="bottom"/>
          </w:tcPr>
          <w:p>
            <w:pPr>
              <w:spacing w:after="0"/>
              <w:rPr>
                <w:sz w:val="1"/>
                <w:szCs w:val="1"/>
                <w:color w:val="auto"/>
              </w:rPr>
            </w:pPr>
          </w:p>
        </w:tc>
      </w:tr>
      <w:tr>
        <w:trPr>
          <w:trHeight w:val="222"/>
        </w:trPr>
        <w:tc>
          <w:tcPr>
            <w:tcW w:w="5400" w:type="dxa"/>
            <w:vAlign w:val="bottom"/>
          </w:tcPr>
          <w:p>
            <w:pPr>
              <w:ind w:left="300"/>
              <w:spacing w:after="0" w:line="215" w:lineRule="exact"/>
              <w:rPr>
                <w:sz w:val="20"/>
                <w:szCs w:val="20"/>
                <w:color w:val="auto"/>
              </w:rPr>
            </w:pPr>
            <w:r>
              <w:rPr>
                <w:rFonts w:ascii="Calibri" w:cs="Calibri" w:eastAsia="Calibri" w:hAnsi="Calibri"/>
                <w:sz w:val="18"/>
                <w:szCs w:val="18"/>
                <w:color w:val="auto"/>
              </w:rPr>
              <w:t>Capital expenditures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13,713</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6,732</w:t>
            </w:r>
          </w:p>
        </w:tc>
        <w:tc>
          <w:tcPr>
            <w:tcW w:w="100" w:type="dxa"/>
            <w:vAlign w:val="bottom"/>
          </w:tcPr>
          <w:p>
            <w:pPr>
              <w:spacing w:after="0"/>
              <w:rPr>
                <w:sz w:val="19"/>
                <w:szCs w:val="19"/>
                <w:color w:val="auto"/>
              </w:rPr>
            </w:pPr>
          </w:p>
        </w:tc>
        <w:tc>
          <w:tcPr>
            <w:tcW w:w="400" w:type="dxa"/>
            <w:vAlign w:val="bottom"/>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349</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20,794</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Fiscal Year Ended March 29, 2020:</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275,224</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159,895</w:t>
            </w:r>
          </w:p>
        </w:tc>
        <w:tc>
          <w:tcPr>
            <w:tcW w:w="100" w:type="dxa"/>
            <w:vAlign w:val="bottom"/>
          </w:tcPr>
          <w:p>
            <w:pPr>
              <w:spacing w:after="0"/>
              <w:rPr>
                <w:sz w:val="19"/>
                <w:szCs w:val="19"/>
                <w:color w:val="auto"/>
              </w:rPr>
            </w:pPr>
          </w:p>
        </w:tc>
        <w:tc>
          <w:tcPr>
            <w:tcW w:w="400" w:type="dxa"/>
            <w:vAlign w:val="bottom"/>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105,079</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540,198</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38,936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41,902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20,079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100,917</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24,123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19,801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59,246</w:t>
            </w: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4,757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41,671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line="215" w:lineRule="exact"/>
              <w:rPr>
                <w:sz w:val="20"/>
                <w:szCs w:val="20"/>
                <w:color w:val="auto"/>
              </w:rPr>
            </w:pPr>
            <w:r>
              <w:rPr>
                <w:rFonts w:ascii="Calibri" w:cs="Calibri" w:eastAsia="Calibri" w:hAnsi="Calibri"/>
                <w:sz w:val="18"/>
                <w:szCs w:val="18"/>
                <w:color w:val="auto"/>
              </w:rPr>
              <w:t>Identfable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03" w:lineRule="exact"/>
              <w:rPr>
                <w:sz w:val="20"/>
                <w:szCs w:val="20"/>
                <w:color w:val="auto"/>
              </w:rPr>
            </w:pPr>
            <w:r>
              <w:rPr>
                <w:rFonts w:ascii="Calibri" w:cs="Calibri" w:eastAsia="Calibri" w:hAnsi="Calibri"/>
                <w:sz w:val="18"/>
                <w:szCs w:val="18"/>
                <w:color w:val="auto"/>
              </w:rPr>
              <w:t>173,068</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03" w:lineRule="exact"/>
              <w:rPr>
                <w:sz w:val="20"/>
                <w:szCs w:val="20"/>
                <w:color w:val="auto"/>
              </w:rPr>
            </w:pPr>
            <w:r>
              <w:rPr>
                <w:rFonts w:ascii="Calibri" w:cs="Calibri" w:eastAsia="Calibri" w:hAnsi="Calibri"/>
                <w:sz w:val="18"/>
                <w:szCs w:val="18"/>
                <w:color w:val="auto"/>
              </w:rPr>
              <w:t>63,506</w:t>
            </w:r>
          </w:p>
        </w:tc>
        <w:tc>
          <w:tcPr>
            <w:tcW w:w="100" w:type="dxa"/>
            <w:vAlign w:val="bottom"/>
          </w:tcPr>
          <w:p>
            <w:pPr>
              <w:spacing w:after="0"/>
              <w:rPr>
                <w:sz w:val="17"/>
                <w:szCs w:val="17"/>
                <w:color w:val="auto"/>
              </w:rPr>
            </w:pPr>
          </w:p>
        </w:tc>
        <w:tc>
          <w:tcPr>
            <w:tcW w:w="400" w:type="dxa"/>
            <w:vAlign w:val="bottom"/>
          </w:tcPr>
          <w:p>
            <w:pPr>
              <w:jc w:val="right"/>
              <w:ind w:right="192"/>
              <w:spacing w:after="0" w:line="203"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03" w:lineRule="exact"/>
              <w:rPr>
                <w:sz w:val="20"/>
                <w:szCs w:val="20"/>
                <w:color w:val="auto"/>
              </w:rPr>
            </w:pPr>
            <w:r>
              <w:rPr>
                <w:rFonts w:ascii="Calibri" w:cs="Calibri" w:eastAsia="Calibri" w:hAnsi="Calibri"/>
                <w:sz w:val="18"/>
                <w:szCs w:val="18"/>
                <w:color w:val="auto"/>
              </w:rPr>
              <w:t>139,780</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03" w:lineRule="exact"/>
              <w:rPr>
                <w:sz w:val="20"/>
                <w:szCs w:val="20"/>
                <w:color w:val="auto"/>
              </w:rPr>
            </w:pPr>
            <w:r>
              <w:rPr>
                <w:rFonts w:ascii="Calibri" w:cs="Calibri" w:eastAsia="Calibri" w:hAnsi="Calibri"/>
                <w:sz w:val="18"/>
                <w:szCs w:val="18"/>
                <w:color w:val="auto"/>
              </w:rPr>
              <w:t>376,354</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Capital expenditures</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14,933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9,160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24,549</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80" w:firstLine="8"/>
        <w:spacing w:after="0" w:line="235" w:lineRule="auto"/>
        <w:tabs>
          <w:tab w:leader="none" w:pos="127"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Unallocated assets not included, consistng primarily of cash and cash equivalents, investments and prepaid expenses, were $19.5 million at April 3, 2022, $14.8 million at March 28, 2021 and $13.0 million at March 29, 2020.</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b w:val="1"/>
          <w:bCs w:val="1"/>
          <w:color w:val="auto"/>
        </w:rPr>
        <w:t xml:space="preserve">ITEM 9. </w:t>
      </w:r>
      <w:r>
        <w:rPr>
          <w:rFonts w:ascii="Calibri" w:cs="Calibri" w:eastAsia="Calibri" w:hAnsi="Calibri"/>
          <w:sz w:val="18"/>
          <w:szCs w:val="18"/>
          <w:b w:val="1"/>
          <w:bCs w:val="1"/>
          <w:i w:val="1"/>
          <w:iCs w:val="1"/>
          <w:color w:val="auto"/>
        </w:rPr>
        <w:t>CHANGES IN AND DISAGREEMENTS WITH ACCOUNTANTS ON ACCOUNTING AND FINANCIAL DISCLOSURE</w:t>
      </w:r>
    </w:p>
    <w:p>
      <w:pPr>
        <w:spacing w:after="0" w:line="104"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None.</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9A. </w:t>
      </w:r>
      <w:r>
        <w:rPr>
          <w:rFonts w:ascii="Calibri" w:cs="Calibri" w:eastAsia="Calibri" w:hAnsi="Calibri"/>
          <w:sz w:val="18"/>
          <w:szCs w:val="18"/>
          <w:b w:val="1"/>
          <w:bCs w:val="1"/>
          <w:i w:val="1"/>
          <w:iCs w:val="1"/>
          <w:color w:val="auto"/>
        </w:rPr>
        <w:t>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the end of the period covered by this Annual Report on Form 10-K, we conducted an evaluaton, under supervision and with the partcipaton of management, including the chief executve ofcer and chief fnancial ofcer, of the efectveness of the design and operaton of our disclosure controls and procedures pursuant to Rules 13a-15(f) and 15d-15(f) of the Exchange Act. Based upon that evaluaton, our chief executve ofcer and chief fnancial ofcer concluded that our disclosure controls and procedures are efectve. Disclosure controls and procedures are defned by Rules 13a-15(e) and 15d-15(e) of the Exchange Act as controls and other procedures that are designed to ensure that informaton required to be disclosed by us in reports fled with the SEC under the Exchange Act is recorded, processed, summarized and reported within the tme periods specifed in the SEC’s rules and forms. Disclosure controls and procedures include, without limitaton, controls and procedures designed to ensure that informaton required to be disclosed by us in reports fled under the Exchange Act is accumulated and communicated to our management, including our principal executve and principal fnancial ofcers, or person performing similar functons, as appropriate to allow tmely decisions regarding required disclosure.</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Report on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is responsible for establishing and maintaining adequate internal control over fnancial reportng as defned in Rules 13a-15(f) and 15d-15(f) of the Securites Exchange Act. Our internal control over fnancial reportng is designed to provide reasonable assurance regarding the reliability of fnancial reportng and the preparaton of fnancial statements for external purposes in accordance with generally accepted accountng principles. Our internal control over fnancial reportng includes those policies and procedures that (1) pertain to maintenance of records that, in reasonable detail, accurately and fairly refect the transactons and dispositons of our assets; (2) provide reasonable assurance that transactons are recorded as necessary to permit preparaton of the fnancial statements in accordance with generally accepted accountng principles, and that our receipts and expenditures are being made only in accordance with authorizatons of our management and directors; and (3) provide reasonable assurance regarding preventon or tmely detecton of unauthorized acquisiton, use or dispositon of our assets that could have a material efect on the fnancial statements.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Projectons of any evaluaton of the efectveness of internal control over fnancial reportng to future periods are subject to the risk that the controls may become inadequate because of changes in conditons, or that the degree of compliance with the policies or procedures may deteriorate.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Management assessed the efectveness of our internal control over fnancial reportng as of April 3, 2022, based on the criteria described in </w:t>
      </w:r>
      <w:r>
        <w:rPr>
          <w:rFonts w:ascii="Calibri" w:cs="Calibri" w:eastAsia="Calibri" w:hAnsi="Calibri"/>
          <w:sz w:val="18"/>
          <w:szCs w:val="18"/>
          <w:i w:val="1"/>
          <w:iCs w:val="1"/>
          <w:color w:val="auto"/>
        </w:rPr>
        <w:t>Internal Control -</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Integrated Framework (2013) </w:t>
      </w:r>
      <w:r>
        <w:rPr>
          <w:rFonts w:ascii="Calibri" w:cs="Calibri" w:eastAsia="Calibri" w:hAnsi="Calibri"/>
          <w:sz w:val="18"/>
          <w:szCs w:val="18"/>
          <w:color w:val="auto"/>
        </w:rPr>
        <w:t>issued by the Commitee of Sponsoring Organizatons of the Treadway Commission. In making this assessment as of April 3,</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2022, we have excluded the Texas water treatment operatons acquired from NAPCO Chemical Company, Inc. on December 30, 2021. The fnancial statements of this business comprise less than 4% of total assets and less than 1% of total revenues in our consolidated fnancial amounts as of and for the year ended April 3, 2022. We have excluded this business because we have not had sufcient tme to make an assessment of its internal controls using the COSO criteria in accordance with Secton 404 of the Sarbanes-Oxley Act of 2002. In excluding this business from our assessment, we have considered the “Frequently Asked Questons” as set forth by the ofce of the Chief Accountant and the Division of Corporate Finance on June 24, 2004, as revised on September 24, 2007, which acknowledges that it may not be possible to conduct an assessment of an acquired business’s internal control over fnancial reportng in the period between the consummaton date and the date of management’s assessment and contemplates that such business would be excluded from management’s assessment in the year of acquisiton. Based on this assessment, management believes that our internal control over fnancial reportng was efectve as of April 3, 2022.</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independent registered public accountng frm has issued an atestaton report on our internal control over fnancial reportng for April 3, 2022 which is included in the Report of Independent Registered Public Accountng Firm in Item 8 of this Annual Report on 10-K.</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was no change in our internal control over fnancial reportng during the fourth quarter of fscal 2022 that has materially afected, or is reasonably likely to materially afect, our internal control over fnancial reportng.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b w:val="1"/>
          <w:bCs w:val="1"/>
          <w:color w:val="auto"/>
        </w:rPr>
        <w:t xml:space="preserve">ITEM 9B. </w:t>
      </w:r>
      <w:r>
        <w:rPr>
          <w:rFonts w:ascii="Calibri" w:cs="Calibri" w:eastAsia="Calibri" w:hAnsi="Calibri"/>
          <w:sz w:val="18"/>
          <w:szCs w:val="18"/>
          <w:b w:val="1"/>
          <w:bCs w:val="1"/>
          <w:i w:val="1"/>
          <w:iCs w:val="1"/>
          <w:color w:val="auto"/>
        </w:rPr>
        <w:t>OTHER INFORMATION</w:t>
      </w:r>
    </w:p>
    <w:p>
      <w:pPr>
        <w:spacing w:after="0" w:line="104"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None.</w:t>
      </w:r>
    </w:p>
    <w:p>
      <w:pPr>
        <w:spacing w:after="0" w:line="35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ITEM 9C. </w:t>
      </w:r>
      <w:r>
        <w:rPr>
          <w:rFonts w:ascii="Calibri" w:cs="Calibri" w:eastAsia="Calibri" w:hAnsi="Calibri"/>
          <w:sz w:val="17"/>
          <w:szCs w:val="17"/>
          <w:b w:val="1"/>
          <w:bCs w:val="1"/>
          <w:i w:val="1"/>
          <w:iCs w:val="1"/>
          <w:color w:val="auto"/>
        </w:rPr>
        <w:t>DISCLOSURE REGARDING FOREIGN JURISDICTIONS THAT PREVENT INSPECTIONS</w:t>
      </w:r>
    </w:p>
    <w:p>
      <w:pPr>
        <w:spacing w:after="0" w:line="11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0" w:right="1440" w:bottom="1440" w:gutter="0" w:footer="0" w:header="0"/>
        </w:sectPr>
      </w:pPr>
    </w:p>
    <w:bookmarkStart w:id="52" w:name="page53"/>
    <w:bookmarkEnd w:id="52"/>
    <w:p>
      <w:pPr>
        <w:jc w:val="center"/>
        <w:spacing w:after="0"/>
        <w:rPr>
          <w:sz w:val="20"/>
          <w:szCs w:val="20"/>
          <w:color w:val="auto"/>
        </w:rPr>
      </w:pPr>
      <w:r>
        <w:rPr>
          <w:rFonts w:ascii="Calibri" w:cs="Calibri" w:eastAsia="Calibri" w:hAnsi="Calibri"/>
          <w:sz w:val="18"/>
          <w:szCs w:val="18"/>
          <w:b w:val="1"/>
          <w:bCs w:val="1"/>
          <w:color w:val="auto"/>
        </w:rPr>
        <w:t>PART III</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Certain informaton required by Part III is incorporated by reference from Hawkins’ defnitve Proxy Statement for the Annual Meetng of Shareholders to be held on </w:t>
      </w:r>
      <w:r>
        <w:rPr>
          <w:rFonts w:ascii="Calibri" w:cs="Calibri" w:eastAsia="Calibri" w:hAnsi="Calibri"/>
          <w:sz w:val="16"/>
          <w:szCs w:val="16"/>
          <w:color w:val="auto"/>
        </w:rPr>
        <w:t>August 3, 2022</w:t>
      </w:r>
      <w:r>
        <w:rPr>
          <w:rFonts w:ascii="Calibri" w:cs="Calibri" w:eastAsia="Calibri" w:hAnsi="Calibri"/>
          <w:sz w:val="18"/>
          <w:szCs w:val="18"/>
          <w:color w:val="auto"/>
        </w:rPr>
        <w:t xml:space="preserve"> (the “2022 Proxy Statement”). Except for those portons specifcally incorporated in this Form 10-K by reference to the 2022 Proxy Statement, no other portons of the 2022 Proxy Statement are deemed to be fled as part of this Form 10-K.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10. </w:t>
      </w:r>
      <w:r>
        <w:rPr>
          <w:rFonts w:ascii="Calibri" w:cs="Calibri" w:eastAsia="Calibri" w:hAnsi="Calibri"/>
          <w:sz w:val="18"/>
          <w:szCs w:val="18"/>
          <w:b w:val="1"/>
          <w:bCs w:val="1"/>
          <w:i w:val="1"/>
          <w:iCs w:val="1"/>
          <w:color w:val="auto"/>
        </w:rPr>
        <w:t>DIRECTORS, EXECUTIVE OFFICERS, AND CORPORATE GOVERNANCE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Informaton about our Executve Ofcers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Our current executve ofcers, their ages and ofces held, are set forth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6"/>
                <w:szCs w:val="16"/>
                <w:b w:val="1"/>
                <w:bCs w:val="1"/>
                <w:color w:val="auto"/>
              </w:rPr>
              <w:t>Name</w:t>
            </w:r>
          </w:p>
        </w:tc>
        <w:tc>
          <w:tcPr>
            <w:tcW w:w="1760" w:type="dxa"/>
            <w:vAlign w:val="bottom"/>
            <w:gridSpan w:val="3"/>
            <w:shd w:val="clear" w:color="auto" w:fill="CCEEFF"/>
          </w:tcPr>
          <w:p>
            <w:pPr>
              <w:ind w:left="940"/>
              <w:spacing w:after="0"/>
              <w:rPr>
                <w:sz w:val="20"/>
                <w:szCs w:val="20"/>
                <w:color w:val="auto"/>
              </w:rPr>
            </w:pPr>
            <w:r>
              <w:rPr>
                <w:rFonts w:ascii="Calibri" w:cs="Calibri" w:eastAsia="Calibri" w:hAnsi="Calibri"/>
                <w:sz w:val="16"/>
                <w:szCs w:val="16"/>
                <w:b w:val="1"/>
                <w:bCs w:val="1"/>
                <w:color w:val="auto"/>
              </w:rPr>
              <w:t>Age</w:t>
            </w: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6"/>
                <w:szCs w:val="16"/>
                <w:b w:val="1"/>
                <w:bCs w:val="1"/>
                <w:color w:val="auto"/>
              </w:rPr>
              <w:t>Ofce</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5420" w:type="dxa"/>
            <w:vAlign w:val="bottom"/>
            <w:tcBorders>
              <w:top w:val="single" w:sz="8" w:color="CCEEFF"/>
            </w:tcBorders>
            <w:shd w:val="clear" w:color="auto" w:fill="CCEEFF"/>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Patrick H. Hawkins</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51</w:t>
            </w:r>
          </w:p>
        </w:tc>
        <w:tc>
          <w:tcPr>
            <w:tcW w:w="560" w:type="dxa"/>
            <w:vAlign w:val="bottom"/>
          </w:tcPr>
          <w:p>
            <w:pPr>
              <w:spacing w:after="0"/>
              <w:rPr>
                <w:sz w:val="19"/>
                <w:szCs w:val="19"/>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Chief Executve Ofcer and President</w:t>
            </w: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Jefrey P. Oldenkamp</w:t>
            </w:r>
          </w:p>
        </w:tc>
        <w:tc>
          <w:tcPr>
            <w:tcW w:w="120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49</w:t>
            </w:r>
          </w:p>
        </w:tc>
        <w:tc>
          <w:tcPr>
            <w:tcW w:w="5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8"/>
                <w:szCs w:val="18"/>
                <w:color w:val="auto"/>
              </w:rPr>
              <w:t>Executve Vice President, Chief Financial Ofcer and Treasurer</w:t>
            </w: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Richard G. Erstad</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58</w:t>
            </w:r>
          </w:p>
        </w:tc>
        <w:tc>
          <w:tcPr>
            <w:tcW w:w="560" w:type="dxa"/>
            <w:vAlign w:val="bottom"/>
          </w:tcPr>
          <w:p>
            <w:pPr>
              <w:spacing w:after="0"/>
              <w:rPr>
                <w:sz w:val="19"/>
                <w:szCs w:val="19"/>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Vice President, General Counsel and Secretary</w:t>
            </w: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Drew M. Grahek</w:t>
            </w:r>
          </w:p>
        </w:tc>
        <w:tc>
          <w:tcPr>
            <w:tcW w:w="120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52</w:t>
            </w:r>
          </w:p>
        </w:tc>
        <w:tc>
          <w:tcPr>
            <w:tcW w:w="5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8"/>
                <w:szCs w:val="18"/>
                <w:color w:val="auto"/>
              </w:rPr>
              <w:t>Vice President — Operatons</w:t>
            </w: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Douglas A. Lange</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52</w:t>
            </w:r>
          </w:p>
        </w:tc>
        <w:tc>
          <w:tcPr>
            <w:tcW w:w="560" w:type="dxa"/>
            <w:vAlign w:val="bottom"/>
          </w:tcPr>
          <w:p>
            <w:pPr>
              <w:spacing w:after="0"/>
              <w:rPr>
                <w:sz w:val="19"/>
                <w:szCs w:val="19"/>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Vice President — Water Treatment Group</w:t>
            </w: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David J. Mangine</w:t>
            </w:r>
          </w:p>
        </w:tc>
        <w:tc>
          <w:tcPr>
            <w:tcW w:w="120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64</w:t>
            </w:r>
          </w:p>
        </w:tc>
        <w:tc>
          <w:tcPr>
            <w:tcW w:w="5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8"/>
                <w:szCs w:val="18"/>
                <w:color w:val="auto"/>
              </w:rPr>
              <w:t>Vice President — Industrial Group</w:t>
            </w: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Theresa R. Moran</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Pr>
          <w:p>
            <w:pPr>
              <w:spacing w:after="0"/>
              <w:rPr>
                <w:sz w:val="19"/>
                <w:szCs w:val="19"/>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Vice President — Purchasing, Logistcs and Sales Support</w:t>
            </w: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Shirley A. Rozeboom</w:t>
            </w:r>
          </w:p>
        </w:tc>
        <w:tc>
          <w:tcPr>
            <w:tcW w:w="120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60</w:t>
            </w:r>
          </w:p>
        </w:tc>
        <w:tc>
          <w:tcPr>
            <w:tcW w:w="5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8"/>
                <w:szCs w:val="18"/>
                <w:color w:val="auto"/>
              </w:rPr>
              <w:t>Vice President — Health and Nutriton</w:t>
            </w:r>
          </w:p>
        </w:tc>
      </w:tr>
    </w:tbl>
    <w:p>
      <w:pPr>
        <w:spacing w:after="0" w:line="3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Patrick H. Hawkins </w:t>
      </w:r>
      <w:r>
        <w:rPr>
          <w:rFonts w:ascii="Calibri" w:cs="Calibri" w:eastAsia="Calibri" w:hAnsi="Calibri"/>
          <w:sz w:val="18"/>
          <w:szCs w:val="18"/>
          <w:color w:val="auto"/>
        </w:rPr>
        <w:t>has been our Chief Executve Ofcer and President and member of our board since 2011. Mr. Hawkins has held the positon of President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since 2010. He joined the Company in 1992 and served as the Business Director - Food and Pharmaceutcals, a positon he held from 2009 to 2010. Previously he served as Business Manager - Food and Co-Extrusion Products from 2007 to 2009 and Sales Representatve - Food Ingredients from 2002 to 2007. He previously served the Company in various other capacites, including Plant Manager, Quality Director and Technical Director.</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Jefrey P. Oldenkamp </w:t>
      </w:r>
      <w:r>
        <w:rPr>
          <w:rFonts w:ascii="Calibri" w:cs="Calibri" w:eastAsia="Calibri" w:hAnsi="Calibri"/>
          <w:sz w:val="18"/>
          <w:szCs w:val="18"/>
          <w:color w:val="auto"/>
        </w:rPr>
        <w:t>has been our Executve Vice President, Chief Financial Ofcer and Treasurer since October 2021. Mr. Oldenkamp joined Hawkins in May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2017 and assumed the role of Chief Financial Ofcer, Vice President and Treasurer in June 2017. Prior to joining Hawkins, Mr. Oldenkamp was with MTS Systems Corporaton, a supplier of high-performance test systems and sensors, where he served as Chief Financial Ofcer from 2015 to May 2017 and as Vice President of Finance for the MTS Test business from 2014 to 2015, and with Nilfsk-Advance, Inc., a global manufacturer of professional cleaning equipment, where he served as Americas Operatons Chief Financial Ofcer and Vice President from 2012 to 2014.</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Richard G. Erstad </w:t>
      </w:r>
      <w:r>
        <w:rPr>
          <w:rFonts w:ascii="Calibri" w:cs="Calibri" w:eastAsia="Calibri" w:hAnsi="Calibri"/>
          <w:sz w:val="18"/>
          <w:szCs w:val="18"/>
          <w:color w:val="auto"/>
        </w:rPr>
        <w:t>has been our Vice President, General Counsel and Secretary since 2008. Mr. Erstad was General Counsel and Secretary of BUCA, Inc.,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restaurant company, from 2005 to 2008. Mr. Erstad had previously been an atorney with the corporate group of Faegre &amp; Benson LLP, a law frm, from 1996 to 2005, where his practce focused on securites law and mergers and acquisitons. He is a member of the Minnesota Bar.</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Drew M. Grahek </w:t>
      </w:r>
      <w:r>
        <w:rPr>
          <w:rFonts w:ascii="Calibri" w:cs="Calibri" w:eastAsia="Calibri" w:hAnsi="Calibri"/>
          <w:sz w:val="18"/>
          <w:szCs w:val="18"/>
          <w:color w:val="auto"/>
        </w:rPr>
        <w:t>has been our Vice President - Operatons since September 2018. Prior to joining Hawkins, Mr. Grahek was Adjunct Faculty at the University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 Minnesota College of Contnuing Educaton and a Business Administrator in the Archdiocese of St. Paul and Minneapolis from June 2017 to June 2018; Director of Service Operatons and Supply Chain with Ulta Beauty, Inc. from April 2016 to June 2017; and Director of Stores with Field and Stream Outdoor Stores, a division of Dick’s Sportng Goods, Inc. from July 2015 to April 2016. Previously, he spent a total of 23 years at Target Corporaton in a variety of operatons, merchandising and property management positons.</w:t>
      </w:r>
    </w:p>
    <w:p>
      <w:pPr>
        <w:spacing w:after="0" w:line="247"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i w:val="1"/>
          <w:iCs w:val="1"/>
          <w:color w:val="auto"/>
        </w:rPr>
        <w:t xml:space="preserve">Douglas A. Lange </w:t>
      </w:r>
      <w:r>
        <w:rPr>
          <w:rFonts w:ascii="Calibri" w:cs="Calibri" w:eastAsia="Calibri" w:hAnsi="Calibri"/>
          <w:sz w:val="18"/>
          <w:szCs w:val="18"/>
          <w:color w:val="auto"/>
        </w:rPr>
        <w:t>has been our Vice President - Water Treatment Group since June 2020. Prior to ataining this positon, Mr. Lange served the Company as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General Manager and Product Development Manager for the Water Treatment Group afer joining the company in January 2019. Prior to joining the Company, Mr. Lange was with H.B. Fuller Company, a global supplier of special adhesives, where he served as Global Marketng Manager and Product Manager for specialty markets in electronics and wood products from 2011 to January 2019. Mr. Lange served in various roles in the specialty adhesives market for a total of 21 years prior to joining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3" w:name="page54"/>
    <w:bookmarkEnd w:id="53"/>
    <w:p>
      <w:pPr>
        <w:jc w:val="both"/>
        <w:spacing w:after="0" w:line="227" w:lineRule="auto"/>
        <w:rPr>
          <w:sz w:val="20"/>
          <w:szCs w:val="20"/>
          <w:color w:val="auto"/>
        </w:rPr>
      </w:pPr>
      <w:r>
        <w:rPr>
          <w:rFonts w:ascii="Calibri" w:cs="Calibri" w:eastAsia="Calibri" w:hAnsi="Calibri"/>
          <w:sz w:val="18"/>
          <w:szCs w:val="18"/>
          <w:i w:val="1"/>
          <w:iCs w:val="1"/>
          <w:color w:val="auto"/>
        </w:rPr>
        <w:t xml:space="preserve">David J. Mangine </w:t>
      </w:r>
      <w:r>
        <w:rPr>
          <w:rFonts w:ascii="Calibri" w:cs="Calibri" w:eastAsia="Calibri" w:hAnsi="Calibri"/>
          <w:sz w:val="18"/>
          <w:szCs w:val="18"/>
          <w:color w:val="auto"/>
        </w:rPr>
        <w:t>has been our Vice President - Industrial Group since 2021. Mr. Mangine served as the Industrial Sales Manager from 2011 to 2021, afer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joining Hawkins in 2000 as an Account Manager.</w:t>
      </w:r>
    </w:p>
    <w:p>
      <w:pPr>
        <w:spacing w:after="0" w:line="24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i w:val="1"/>
          <w:iCs w:val="1"/>
          <w:color w:val="auto"/>
        </w:rPr>
        <w:t xml:space="preserve">Theresa R. Moran </w:t>
      </w:r>
      <w:r>
        <w:rPr>
          <w:rFonts w:ascii="Calibri" w:cs="Calibri" w:eastAsia="Calibri" w:hAnsi="Calibri"/>
          <w:sz w:val="18"/>
          <w:szCs w:val="18"/>
          <w:color w:val="auto"/>
        </w:rPr>
        <w:t>has been our Vice President - Purchasing, Logistcs and Sales Support since June 2017. Since joining the Company in 1981, Ms. Moran has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served the Company in a variety of positons, including Administraton Operatons Manager from 1999 to 2007, Director - Process Improvement from 2007 untl 2010 and Vice President - Quality and Support from 2010 to June 2017.</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Shirley A. Rozeboom </w:t>
      </w:r>
      <w:r>
        <w:rPr>
          <w:rFonts w:ascii="Calibri" w:cs="Calibri" w:eastAsia="Calibri" w:hAnsi="Calibri"/>
          <w:sz w:val="18"/>
          <w:szCs w:val="18"/>
          <w:color w:val="auto"/>
        </w:rPr>
        <w:t>was named Vice President - Health and Nutriton in April 2019. Ms. Rozeboom had held the positon of Senior Vice President of Sales for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Stauber since 2012. Previously, she held the positons of Director of Sales at Stauber from 2008 to 2012 and Account Executve from 2000 to 2008.</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disclosure under the headings “Electon of Directors,” “Corporate Governance,” and, if applicable, “Delinquent Secton 16(a) Reports” of the 2022 Proxy Statement is incorporated herein by reference.</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adopted a Code of Business Conduct and Ethics that applies to all of our directors and employees, including our principal executve ofcer, principal fnancial ofcer, controller and other persons performing similar functons. We have posted the Code of Business Conduct and Ethics on our website located at www.hawkinsinc.com. Hawkins’ Code of Business Conduct and Ethics is also available in print to any shareholder who requests it in writng from our Corporate Secretary. We intend to post on our website any amendment to, or waiver from, a provision of our Code of Business Conduct and Ethics that applies to our principal executve ofcer, principal fnancial ofcer, controller and other persons performing similar functons within four business days following the date of such amendment or waiver. We are not including the informaton contained on our website as part of, or incorporatng it by reference into, this report.</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11. </w:t>
      </w:r>
      <w:r>
        <w:rPr>
          <w:rFonts w:ascii="Calibri" w:cs="Calibri" w:eastAsia="Calibri" w:hAnsi="Calibri"/>
          <w:sz w:val="18"/>
          <w:szCs w:val="18"/>
          <w:b w:val="1"/>
          <w:bCs w:val="1"/>
          <w:i w:val="1"/>
          <w:iCs w:val="1"/>
          <w:color w:val="auto"/>
        </w:rPr>
        <w:t>EXECUTIVE COMPENSATION</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disclosure under the heading “Compensaton of Executve Ofcers and Directors” in the 2022 Proxy Statement is incorporated herein by reference.</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12. </w:t>
      </w:r>
      <w:r>
        <w:rPr>
          <w:rFonts w:ascii="Calibri" w:cs="Calibri" w:eastAsia="Calibri" w:hAnsi="Calibri"/>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disclosure under the headings “Security Ownership of Management and Benefcial Ownership” and “Equity Compensaton Plan Informaton” in the 2022 Proxy Statement is incorporated herein by reference.</w:t>
      </w:r>
    </w:p>
    <w:p>
      <w:pPr>
        <w:spacing w:after="0" w:line="29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13. </w:t>
      </w:r>
      <w:r>
        <w:rPr>
          <w:rFonts w:ascii="Calibri" w:cs="Calibri" w:eastAsia="Calibri" w:hAnsi="Calibri"/>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spacing w:after="0"/>
        <w:rPr>
          <w:sz w:val="20"/>
          <w:szCs w:val="20"/>
          <w:color w:val="auto"/>
        </w:rPr>
      </w:pPr>
      <w:r>
        <w:rPr>
          <w:rFonts w:ascii="Calibri" w:cs="Calibri" w:eastAsia="Calibri" w:hAnsi="Calibri"/>
          <w:sz w:val="17"/>
          <w:szCs w:val="17"/>
          <w:color w:val="auto"/>
        </w:rPr>
        <w:t>The disclosure under the headings “Electon of Directors” and “Related Party Transactons” of the 2022 Proxy Statement is incorporated herein by reference.</w:t>
      </w: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14. </w:t>
      </w:r>
      <w:r>
        <w:rPr>
          <w:rFonts w:ascii="Calibri" w:cs="Calibri" w:eastAsia="Calibri" w:hAnsi="Calibri"/>
          <w:sz w:val="18"/>
          <w:szCs w:val="18"/>
          <w:b w:val="1"/>
          <w:bCs w:val="1"/>
          <w:i w:val="1"/>
          <w:i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Calibri" w:cs="Calibri" w:eastAsia="Calibri" w:hAnsi="Calibri"/>
          <w:sz w:val="17"/>
          <w:szCs w:val="17"/>
          <w:color w:val="auto"/>
        </w:rPr>
        <w:t>The disclosure under the heading “Independent Registered Public Accountng Firm’s Fees” of the 2022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4" w:name="page55"/>
    <w:bookmarkEnd w:id="54"/>
    <w:p>
      <w:pPr>
        <w:jc w:val="center"/>
        <w:ind w:right="-179"/>
        <w:spacing w:after="0"/>
        <w:rPr>
          <w:sz w:val="20"/>
          <w:szCs w:val="20"/>
          <w:color w:val="auto"/>
        </w:rPr>
      </w:pPr>
      <w:r>
        <w:rPr>
          <w:rFonts w:ascii="Calibri" w:cs="Calibri" w:eastAsia="Calibri" w:hAnsi="Calibri"/>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15. </w:t>
      </w:r>
      <w:r>
        <w:rPr>
          <w:rFonts w:ascii="Calibri" w:cs="Calibri" w:eastAsia="Calibri" w:hAnsi="Calibri"/>
          <w:sz w:val="18"/>
          <w:szCs w:val="18"/>
          <w:b w:val="1"/>
          <w:bCs w:val="1"/>
          <w:i w:val="1"/>
          <w:iCs w:val="1"/>
          <w:color w:val="auto"/>
        </w:rPr>
        <w:t>EXHIBITS AND FINANCIAL STATEMENT SCHEDULES</w:t>
      </w:r>
    </w:p>
    <w:p>
      <w:pPr>
        <w:spacing w:after="0" w:line="37" w:lineRule="exact"/>
        <w:rPr>
          <w:sz w:val="20"/>
          <w:szCs w:val="20"/>
          <w:color w:val="auto"/>
        </w:rPr>
      </w:pPr>
    </w:p>
    <w:p>
      <w:pPr>
        <w:ind w:left="20"/>
        <w:spacing w:after="0"/>
        <w:tabs>
          <w:tab w:leader="none" w:pos="1320" w:val="left"/>
        </w:tabs>
        <w:rPr>
          <w:sz w:val="20"/>
          <w:szCs w:val="20"/>
          <w:color w:val="auto"/>
        </w:rPr>
      </w:pPr>
      <w:r>
        <w:rPr>
          <w:rFonts w:ascii="Calibri" w:cs="Calibri" w:eastAsia="Calibri" w:hAnsi="Calibri"/>
          <w:sz w:val="18"/>
          <w:szCs w:val="18"/>
          <w:color w:val="auto"/>
        </w:rPr>
        <w:t>(a)(1)</w:t>
      </w:r>
      <w:r>
        <w:rPr>
          <w:sz w:val="20"/>
          <w:szCs w:val="20"/>
          <w:color w:val="auto"/>
        </w:rPr>
        <w:tab/>
      </w:r>
      <w:r>
        <w:rPr>
          <w:rFonts w:ascii="Calibri" w:cs="Calibri" w:eastAsia="Calibri" w:hAnsi="Calibri"/>
          <w:sz w:val="18"/>
          <w:szCs w:val="18"/>
          <w:color w:val="auto"/>
        </w:rPr>
        <w:t>FINANCIAL STATEMENTS OF THE COMPANY</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The following fnancial statements of Hawkins, Inc. are fled as part of this Annual Report on Form 10-K:</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Reports of Independent Registered Public Accountng Firms.</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Balance Sheets at April 3, 2022 and March 28, 2021.</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Income for the fscal years ended April 3, 2022, March 28, 2021 and March 29, 2020.</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Comprehensive Income for the fscal years ended April 3, 2022, March 28, 2021 and March 29, 2020.</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Shareholders’ Equity for the fscal years ended April 3, 2022, March 28, 2021, and March 29, 2020.</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Cash Flows for the fscal years ended April 3, 2022, March 28, 2021, and March 29, 2020.</w:t>
      </w:r>
    </w:p>
    <w:p>
      <w:pPr>
        <w:spacing w:after="0" w:line="118"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Notes to Consolidated Financial Statements.</w:t>
      </w:r>
    </w:p>
    <w:p>
      <w:pPr>
        <w:spacing w:after="0" w:line="64" w:lineRule="exact"/>
        <w:rPr>
          <w:sz w:val="20"/>
          <w:szCs w:val="20"/>
          <w:color w:val="auto"/>
        </w:rPr>
      </w:pPr>
    </w:p>
    <w:p>
      <w:pPr>
        <w:ind w:left="20"/>
        <w:spacing w:after="0"/>
        <w:tabs>
          <w:tab w:leader="none" w:pos="1320" w:val="left"/>
        </w:tabs>
        <w:rPr>
          <w:sz w:val="20"/>
          <w:szCs w:val="20"/>
          <w:color w:val="auto"/>
        </w:rPr>
      </w:pPr>
      <w:r>
        <w:rPr>
          <w:rFonts w:ascii="Calibri" w:cs="Calibri" w:eastAsia="Calibri" w:hAnsi="Calibri"/>
          <w:sz w:val="18"/>
          <w:szCs w:val="18"/>
          <w:color w:val="auto"/>
        </w:rPr>
        <w:t>(a)(2)</w:t>
      </w:r>
      <w:r>
        <w:rPr>
          <w:sz w:val="20"/>
          <w:szCs w:val="20"/>
          <w:color w:val="auto"/>
        </w:rPr>
        <w:tab/>
      </w:r>
      <w:r>
        <w:rPr>
          <w:rFonts w:ascii="Calibri" w:cs="Calibri" w:eastAsia="Calibri" w:hAnsi="Calibri"/>
          <w:sz w:val="18"/>
          <w:szCs w:val="18"/>
          <w:color w:val="auto"/>
        </w:rPr>
        <w:t>FINANCIAL STATEMENT SCHEDULES OF THE COMPANY</w:t>
      </w:r>
    </w:p>
    <w:p>
      <w:pPr>
        <w:spacing w:after="0" w:line="69" w:lineRule="exact"/>
        <w:rPr>
          <w:sz w:val="20"/>
          <w:szCs w:val="20"/>
          <w:color w:val="auto"/>
        </w:rPr>
      </w:pPr>
    </w:p>
    <w:p>
      <w:pPr>
        <w:ind w:left="1340"/>
        <w:spacing w:after="0" w:line="210" w:lineRule="auto"/>
        <w:rPr>
          <w:sz w:val="20"/>
          <w:szCs w:val="20"/>
          <w:color w:val="auto"/>
        </w:rPr>
      </w:pPr>
      <w:r>
        <w:rPr>
          <w:rFonts w:ascii="Calibri" w:cs="Calibri" w:eastAsia="Calibri" w:hAnsi="Calibri"/>
          <w:sz w:val="18"/>
          <w:szCs w:val="18"/>
          <w:color w:val="auto"/>
        </w:rPr>
        <w:t>The additonal fnancial data listed below is included as a schedule to this Annual Report on Form 10-K and should be read in conjuncton with the fnancial statements presented in Part II, Item 8. Schedules not included with this additonal fnancial data have been omited because they are not required, or the required informaton is included in the fnancial statements or the notes.</w:t>
      </w:r>
    </w:p>
    <w:p>
      <w:pPr>
        <w:spacing w:after="0" w:line="66"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The following fnancial statement schedule for the fscal years 2022, 2021 and 2020.</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Schedule II — Valuaton and Qualifying Accounts.</w:t>
      </w:r>
    </w:p>
    <w:p>
      <w:pPr>
        <w:spacing w:after="0" w:line="64" w:lineRule="exact"/>
        <w:rPr>
          <w:sz w:val="20"/>
          <w:szCs w:val="20"/>
          <w:color w:val="auto"/>
        </w:rPr>
      </w:pPr>
    </w:p>
    <w:p>
      <w:pPr>
        <w:ind w:left="20"/>
        <w:spacing w:after="0"/>
        <w:tabs>
          <w:tab w:leader="none" w:pos="1320" w:val="left"/>
        </w:tabs>
        <w:rPr>
          <w:sz w:val="20"/>
          <w:szCs w:val="20"/>
          <w:color w:val="auto"/>
        </w:rPr>
      </w:pPr>
      <w:r>
        <w:rPr>
          <w:rFonts w:ascii="Calibri" w:cs="Calibri" w:eastAsia="Calibri" w:hAnsi="Calibri"/>
          <w:sz w:val="18"/>
          <w:szCs w:val="18"/>
          <w:color w:val="auto"/>
        </w:rPr>
        <w:t>(a)(3)</w:t>
      </w:r>
      <w:r>
        <w:rPr>
          <w:sz w:val="20"/>
          <w:szCs w:val="20"/>
          <w:color w:val="auto"/>
        </w:rPr>
        <w:tab/>
      </w:r>
      <w:r>
        <w:rPr>
          <w:rFonts w:ascii="Calibri" w:cs="Calibri" w:eastAsia="Calibri" w:hAnsi="Calibri"/>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22" w:right="519" w:bottom="1440" w:gutter="0" w:footer="0" w:header="0"/>
        </w:sectPr>
      </w:pPr>
    </w:p>
    <w:bookmarkStart w:id="55" w:name="page56"/>
    <w:bookmarkEnd w:id="55"/>
    <w:p>
      <w:pPr>
        <w:ind w:left="5134"/>
        <w:spacing w:after="0"/>
        <w:rPr>
          <w:sz w:val="20"/>
          <w:szCs w:val="20"/>
          <w:color w:val="auto"/>
        </w:rPr>
      </w:pPr>
      <w:r>
        <w:rPr>
          <w:rFonts w:ascii="Calibri" w:cs="Calibri" w:eastAsia="Calibri" w:hAnsi="Calibri"/>
          <w:sz w:val="18"/>
          <w:szCs w:val="18"/>
          <w:b w:val="1"/>
          <w:bCs w:val="1"/>
          <w:color w:val="auto"/>
        </w:rPr>
        <w:t>Exhibit Index</w:t>
      </w:r>
    </w:p>
    <w:p>
      <w:pPr>
        <w:spacing w:after="0" w:line="386" w:lineRule="exact"/>
        <w:rPr>
          <w:sz w:val="20"/>
          <w:szCs w:val="20"/>
          <w:color w:val="auto"/>
        </w:rPr>
      </w:pPr>
    </w:p>
    <w:p>
      <w:pPr>
        <w:ind w:left="894"/>
        <w:spacing w:after="0"/>
        <w:tabs>
          <w:tab w:leader="none" w:pos="1534" w:val="left"/>
          <w:tab w:leader="none" w:pos="8534" w:val="left"/>
        </w:tabs>
        <w:rPr>
          <w:sz w:val="20"/>
          <w:szCs w:val="20"/>
          <w:color w:val="auto"/>
        </w:rPr>
      </w:pPr>
      <w:r>
        <w:rPr>
          <w:rFonts w:ascii="Calibri" w:cs="Calibri" w:eastAsia="Calibri" w:hAnsi="Calibri"/>
          <w:sz w:val="14"/>
          <w:szCs w:val="14"/>
          <w:b w:val="1"/>
          <w:bCs w:val="1"/>
          <w:u w:val="single" w:color="auto"/>
          <w:color w:val="auto"/>
        </w:rPr>
        <w:t>Exhibit</w:t>
      </w:r>
      <w:r>
        <w:rPr>
          <w:sz w:val="20"/>
          <w:szCs w:val="20"/>
          <w:color w:val="auto"/>
        </w:rPr>
        <w:tab/>
      </w:r>
      <w:r>
        <w:rPr>
          <w:rFonts w:ascii="Calibri" w:cs="Calibri" w:eastAsia="Calibri" w:hAnsi="Calibri"/>
          <w:sz w:val="14"/>
          <w:szCs w:val="14"/>
          <w:b w:val="1"/>
          <w:bCs w:val="1"/>
          <w:u w:val="single" w:color="auto"/>
          <w:color w:val="auto"/>
        </w:rPr>
        <w:t>Descripton</w:t>
      </w:r>
      <w:r>
        <w:rPr>
          <w:sz w:val="20"/>
          <w:szCs w:val="20"/>
          <w:color w:val="auto"/>
        </w:rPr>
        <w:tab/>
      </w:r>
      <w:r>
        <w:rPr>
          <w:rFonts w:ascii="Calibri" w:cs="Calibri" w:eastAsia="Calibri" w:hAnsi="Calibri"/>
          <w:sz w:val="14"/>
          <w:szCs w:val="14"/>
          <w:b w:val="1"/>
          <w:bCs w:val="1"/>
          <w:u w:val="single" w:color="auto"/>
          <w:color w:val="auto"/>
        </w:rPr>
        <w:t>Method of Filing</w:t>
      </w:r>
    </w:p>
    <w:p>
      <w:pPr>
        <w:sectPr>
          <w:pgSz w:w="11900" w:h="16838" w:orient="portrait"/>
          <w:cols w:equalWidth="0" w:num="1">
            <w:col w:w="10454"/>
          </w:cols>
          <w:pgMar w:left="346" w:top="922" w:right="1099" w:bottom="1440" w:gutter="0" w:footer="0" w:header="0"/>
        </w:sectPr>
      </w:pPr>
    </w:p>
    <w:p>
      <w:pPr>
        <w:spacing w:after="0" w:line="57" w:lineRule="exact"/>
        <w:rPr>
          <w:sz w:val="20"/>
          <w:szCs w:val="20"/>
          <w:color w:val="auto"/>
        </w:rPr>
      </w:pPr>
    </w:p>
    <w:tbl>
      <w:tblPr>
        <w:tblLayout w:type="fixed"/>
        <w:tblInd w:w="914" w:type="dxa"/>
        <w:tblCellMar>
          <w:top w:w="0" w:type="dxa"/>
          <w:left w:w="0" w:type="dxa"/>
          <w:bottom w:w="0" w:type="dxa"/>
          <w:right w:w="0" w:type="dxa"/>
        </w:tblCellMar>
      </w:tblPr>
      <w:tr>
        <w:trPr>
          <w:trHeight w:val="220"/>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3.1</w:t>
            </w:r>
          </w:p>
        </w:tc>
        <w:tc>
          <w:tcPr>
            <w:tcW w:w="6400" w:type="dxa"/>
            <w:vAlign w:val="bottom"/>
            <w:gridSpan w:val="12"/>
          </w:tcPr>
          <w:p>
            <w:pPr>
              <w:spacing w:after="0"/>
              <w:rPr>
                <w:rFonts w:ascii="Calibri" w:cs="Calibri" w:eastAsia="Calibri" w:hAnsi="Calibri"/>
                <w:sz w:val="18"/>
                <w:szCs w:val="18"/>
                <w:color w:val="0000FF"/>
              </w:rPr>
            </w:pPr>
            <w:hyperlink r:id="rId84">
              <w:r>
                <w:rPr>
                  <w:rFonts w:ascii="Calibri" w:cs="Calibri" w:eastAsia="Calibri" w:hAnsi="Calibri"/>
                  <w:sz w:val="18"/>
                  <w:szCs w:val="18"/>
                  <w:color w:val="0000FF"/>
                </w:rPr>
                <w:t>Restated Artcles of Incorporaton. (1)</w:t>
              </w:r>
            </w:hyperlink>
          </w:p>
        </w:tc>
        <w:tc>
          <w:tcPr>
            <w:tcW w:w="0" w:type="dxa"/>
            <w:vAlign w:val="bottom"/>
          </w:tcPr>
          <w:p>
            <w:pPr>
              <w:spacing w:after="0"/>
              <w:rPr>
                <w:sz w:val="1"/>
                <w:szCs w:val="1"/>
                <w:color w:val="auto"/>
              </w:rPr>
            </w:pPr>
          </w:p>
        </w:tc>
      </w:tr>
      <w:tr>
        <w:trPr>
          <w:trHeight w:val="264"/>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3.2</w:t>
            </w:r>
          </w:p>
        </w:tc>
        <w:tc>
          <w:tcPr>
            <w:tcW w:w="2560" w:type="dxa"/>
            <w:vAlign w:val="bottom"/>
            <w:tcBorders>
              <w:top w:val="single" w:sz="8" w:color="0000FF"/>
              <w:bottom w:val="single" w:sz="8" w:color="0000FF"/>
            </w:tcBorders>
            <w:gridSpan w:val="2"/>
          </w:tcPr>
          <w:p>
            <w:pPr>
              <w:spacing w:after="0"/>
              <w:rPr>
                <w:rFonts w:ascii="Calibri" w:cs="Calibri" w:eastAsia="Calibri" w:hAnsi="Calibri"/>
                <w:sz w:val="18"/>
                <w:szCs w:val="18"/>
                <w:color w:val="0000FF"/>
                <w:w w:val="96"/>
              </w:rPr>
            </w:pPr>
            <w:hyperlink r:id="rId85">
              <w:r>
                <w:rPr>
                  <w:rFonts w:ascii="Calibri" w:cs="Calibri" w:eastAsia="Calibri" w:hAnsi="Calibri"/>
                  <w:sz w:val="18"/>
                  <w:szCs w:val="18"/>
                  <w:color w:val="0000FF"/>
                  <w:w w:val="96"/>
                </w:rPr>
                <w:t>Amended and Restated By-Laws. (2)</w:t>
              </w:r>
            </w:hyperlink>
          </w:p>
        </w:tc>
        <w:tc>
          <w:tcPr>
            <w:tcW w:w="100" w:type="dxa"/>
            <w:vAlign w:val="bottom"/>
            <w:tcBorders>
              <w:top w:val="single" w:sz="8" w:color="0000FF"/>
            </w:tcBorders>
          </w:tcPr>
          <w:p>
            <w:pPr>
              <w:spacing w:after="0"/>
              <w:rPr>
                <w:sz w:val="22"/>
                <w:szCs w:val="22"/>
                <w:color w:val="auto"/>
              </w:rPr>
            </w:pPr>
          </w:p>
        </w:tc>
        <w:tc>
          <w:tcPr>
            <w:tcW w:w="37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4.1</w:t>
            </w:r>
          </w:p>
        </w:tc>
        <w:tc>
          <w:tcPr>
            <w:tcW w:w="6400" w:type="dxa"/>
            <w:vAlign w:val="bottom"/>
            <w:gridSpan w:val="12"/>
          </w:tcPr>
          <w:p>
            <w:pPr>
              <w:spacing w:after="0"/>
              <w:rPr>
                <w:rFonts w:ascii="Calibri" w:cs="Calibri" w:eastAsia="Calibri" w:hAnsi="Calibri"/>
                <w:sz w:val="18"/>
                <w:szCs w:val="18"/>
                <w:color w:val="0000FF"/>
              </w:rPr>
            </w:pPr>
            <w:hyperlink r:id="rId86">
              <w:r>
                <w:rPr>
                  <w:rFonts w:ascii="Calibri" w:cs="Calibri" w:eastAsia="Calibri" w:hAnsi="Calibri"/>
                  <w:sz w:val="18"/>
                  <w:szCs w:val="18"/>
                  <w:color w:val="0000FF"/>
                </w:rPr>
                <w:t>Descripton of Securites. (3)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10.1*</w:t>
            </w:r>
          </w:p>
        </w:tc>
        <w:tc>
          <w:tcPr>
            <w:tcW w:w="6400" w:type="dxa"/>
            <w:vAlign w:val="bottom"/>
            <w:gridSpan w:val="12"/>
          </w:tcPr>
          <w:p>
            <w:pPr>
              <w:spacing w:after="0"/>
              <w:rPr>
                <w:rFonts w:ascii="Calibri" w:cs="Calibri" w:eastAsia="Calibri" w:hAnsi="Calibri"/>
                <w:sz w:val="18"/>
                <w:szCs w:val="18"/>
                <w:color w:val="0000FF"/>
              </w:rPr>
            </w:pPr>
            <w:hyperlink r:id="rId87">
              <w:r>
                <w:rPr>
                  <w:rFonts w:ascii="Calibri" w:cs="Calibri" w:eastAsia="Calibri" w:hAnsi="Calibri"/>
                  <w:sz w:val="18"/>
                  <w:szCs w:val="18"/>
                  <w:color w:val="0000FF"/>
                </w:rPr>
                <w:t>Hawkins, Inc. 2010 Omnibus Incentve Plan. (4)</w:t>
              </w:r>
            </w:hyperlink>
          </w:p>
        </w:tc>
        <w:tc>
          <w:tcPr>
            <w:tcW w:w="0" w:type="dxa"/>
            <w:vAlign w:val="bottom"/>
          </w:tcPr>
          <w:p>
            <w:pPr>
              <w:spacing w:after="0"/>
              <w:rPr>
                <w:sz w:val="1"/>
                <w:szCs w:val="1"/>
                <w:color w:val="auto"/>
              </w:rPr>
            </w:pPr>
          </w:p>
        </w:tc>
      </w:tr>
      <w:tr>
        <w:trPr>
          <w:trHeight w:val="263"/>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10.2*</w:t>
            </w:r>
          </w:p>
        </w:tc>
        <w:tc>
          <w:tcPr>
            <w:tcW w:w="3320" w:type="dxa"/>
            <w:vAlign w:val="bottom"/>
            <w:tcBorders>
              <w:top w:val="single" w:sz="8" w:color="0000FF"/>
            </w:tcBorders>
            <w:gridSpan w:val="7"/>
          </w:tcPr>
          <w:p>
            <w:pPr>
              <w:spacing w:after="0"/>
              <w:rPr>
                <w:rFonts w:ascii="Calibri" w:cs="Calibri" w:eastAsia="Calibri" w:hAnsi="Calibri"/>
                <w:sz w:val="18"/>
                <w:szCs w:val="18"/>
                <w:color w:val="0000FF"/>
              </w:rPr>
            </w:pPr>
            <w:hyperlink r:id="rId88">
              <w:r>
                <w:rPr>
                  <w:rFonts w:ascii="Calibri" w:cs="Calibri" w:eastAsia="Calibri" w:hAnsi="Calibri"/>
                  <w:sz w:val="18"/>
                  <w:szCs w:val="18"/>
                  <w:color w:val="0000FF"/>
                </w:rPr>
                <w:t>Hawkins, Inc. Executve Severance Plan. (5)</w:t>
              </w:r>
            </w:hyperlink>
          </w:p>
        </w:tc>
        <w:tc>
          <w:tcPr>
            <w:tcW w:w="30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10.3*</w:t>
            </w:r>
          </w:p>
        </w:tc>
        <w:tc>
          <w:tcPr>
            <w:tcW w:w="3400" w:type="dxa"/>
            <w:vAlign w:val="bottom"/>
            <w:tcBorders>
              <w:bottom w:val="single" w:sz="8" w:color="0000FF"/>
            </w:tcBorders>
            <w:gridSpan w:val="8"/>
          </w:tcPr>
          <w:p>
            <w:pPr>
              <w:spacing w:after="0"/>
              <w:rPr>
                <w:rFonts w:ascii="Calibri" w:cs="Calibri" w:eastAsia="Calibri" w:hAnsi="Calibri"/>
                <w:sz w:val="18"/>
                <w:szCs w:val="18"/>
                <w:color w:val="0000FF"/>
                <w:w w:val="96"/>
              </w:rPr>
            </w:pPr>
            <w:hyperlink r:id="rId89">
              <w:r>
                <w:rPr>
                  <w:rFonts w:ascii="Calibri" w:cs="Calibri" w:eastAsia="Calibri" w:hAnsi="Calibri"/>
                  <w:sz w:val="18"/>
                  <w:szCs w:val="18"/>
                  <w:color w:val="0000FF"/>
                  <w:w w:val="96"/>
                </w:rPr>
                <w:t>Employee Stock Purchase Plan, as amended. (6)</w:t>
              </w:r>
            </w:hyperlink>
          </w:p>
        </w:tc>
        <w:tc>
          <w:tcPr>
            <w:tcW w:w="30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vMerge w:val="restart"/>
          </w:tcPr>
          <w:p>
            <w:pPr>
              <w:jc w:val="right"/>
              <w:ind w:right="190"/>
              <w:spacing w:after="0"/>
              <w:rPr>
                <w:sz w:val="20"/>
                <w:szCs w:val="20"/>
                <w:color w:val="auto"/>
              </w:rPr>
            </w:pPr>
            <w:r>
              <w:rPr>
                <w:rFonts w:ascii="Calibri" w:cs="Calibri" w:eastAsia="Calibri" w:hAnsi="Calibri"/>
                <w:sz w:val="18"/>
                <w:szCs w:val="18"/>
                <w:color w:val="auto"/>
              </w:rPr>
              <w:t>10.4</w:t>
            </w:r>
          </w:p>
        </w:tc>
        <w:tc>
          <w:tcPr>
            <w:tcW w:w="6400" w:type="dxa"/>
            <w:vAlign w:val="bottom"/>
            <w:tcBorders>
              <w:bottom w:val="single" w:sz="8" w:color="0000FF"/>
            </w:tcBorders>
            <w:gridSpan w:val="12"/>
          </w:tcPr>
          <w:p>
            <w:pPr>
              <w:spacing w:after="0"/>
              <w:rPr>
                <w:rFonts w:ascii="Calibri" w:cs="Calibri" w:eastAsia="Calibri" w:hAnsi="Calibri"/>
                <w:sz w:val="18"/>
                <w:szCs w:val="18"/>
                <w:color w:val="0000FF"/>
                <w:w w:val="96"/>
              </w:rPr>
            </w:pPr>
            <w:hyperlink r:id="rId90">
              <w:r>
                <w:rPr>
                  <w:rFonts w:ascii="Calibri" w:cs="Calibri" w:eastAsia="Calibri" w:hAnsi="Calibri"/>
                  <w:sz w:val="18"/>
                  <w:szCs w:val="18"/>
                  <w:color w:val="0000FF"/>
                  <w:w w:val="96"/>
                </w:rPr>
                <w:t>Second Amended and Restated Credit Agreement, dated as of March 31, 2022, among the</w:t>
              </w:r>
            </w:hyperlink>
          </w:p>
        </w:tc>
        <w:tc>
          <w:tcPr>
            <w:tcW w:w="0" w:type="dxa"/>
            <w:vAlign w:val="bottom"/>
          </w:tcPr>
          <w:p>
            <w:pPr>
              <w:spacing w:after="0"/>
              <w:rPr>
                <w:sz w:val="1"/>
                <w:szCs w:val="1"/>
                <w:color w:val="auto"/>
              </w:rPr>
            </w:pPr>
          </w:p>
        </w:tc>
      </w:tr>
      <w:tr>
        <w:trPr>
          <w:trHeight w:val="105"/>
        </w:trPr>
        <w:tc>
          <w:tcPr>
            <w:tcW w:w="640" w:type="dxa"/>
            <w:vAlign w:val="bottom"/>
            <w:vMerge w:val="continue"/>
          </w:tcPr>
          <w:p>
            <w:pPr>
              <w:spacing w:after="0"/>
              <w:rPr>
                <w:sz w:val="9"/>
                <w:szCs w:val="9"/>
                <w:color w:val="auto"/>
              </w:rPr>
            </w:pPr>
          </w:p>
        </w:tc>
        <w:tc>
          <w:tcPr>
            <w:tcW w:w="6400" w:type="dxa"/>
            <w:vAlign w:val="bottom"/>
            <w:gridSpan w:val="12"/>
            <w:vMerge w:val="restart"/>
          </w:tcPr>
          <w:p>
            <w:pPr>
              <w:spacing w:after="0" w:line="169" w:lineRule="exact"/>
              <w:rPr>
                <w:rFonts w:ascii="Calibri" w:cs="Calibri" w:eastAsia="Calibri" w:hAnsi="Calibri"/>
                <w:sz w:val="18"/>
                <w:szCs w:val="18"/>
                <w:color w:val="0000FF"/>
              </w:rPr>
            </w:pPr>
            <w:hyperlink r:id="rId90">
              <w:r>
                <w:rPr>
                  <w:rFonts w:ascii="Calibri" w:cs="Calibri" w:eastAsia="Calibri" w:hAnsi="Calibri"/>
                  <w:sz w:val="18"/>
                  <w:szCs w:val="18"/>
                  <w:color w:val="0000FF"/>
                </w:rPr>
                <w:t>Company, U.S. Bank Natonal Associaton, and certain fnancial insttutons. (7)</w:t>
              </w:r>
            </w:hyperlink>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64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10.5*</w:t>
            </w:r>
          </w:p>
        </w:tc>
        <w:tc>
          <w:tcPr>
            <w:tcW w:w="3140" w:type="dxa"/>
            <w:vAlign w:val="bottom"/>
            <w:tcBorders>
              <w:top w:val="single" w:sz="8" w:color="0000FF"/>
              <w:bottom w:val="single" w:sz="8" w:color="0000FF"/>
            </w:tcBorders>
            <w:gridSpan w:val="6"/>
          </w:tcPr>
          <w:p>
            <w:pPr>
              <w:spacing w:after="0"/>
              <w:rPr>
                <w:rFonts w:ascii="Calibri" w:cs="Calibri" w:eastAsia="Calibri" w:hAnsi="Calibri"/>
                <w:sz w:val="18"/>
                <w:szCs w:val="18"/>
                <w:color w:val="0000FF"/>
                <w:w w:val="98"/>
              </w:rPr>
            </w:pPr>
            <w:hyperlink r:id="rId91">
              <w:r>
                <w:rPr>
                  <w:rFonts w:ascii="Calibri" w:cs="Calibri" w:eastAsia="Calibri" w:hAnsi="Calibri"/>
                  <w:sz w:val="18"/>
                  <w:szCs w:val="18"/>
                  <w:color w:val="0000FF"/>
                  <w:w w:val="98"/>
                </w:rPr>
                <w:t>Hawkins, Inc. 2019 Equity Incentve Plan. (8)</w:t>
              </w:r>
            </w:hyperlink>
          </w:p>
        </w:tc>
        <w:tc>
          <w:tcPr>
            <w:tcW w:w="2400" w:type="dxa"/>
            <w:vAlign w:val="bottom"/>
            <w:tcBorders>
              <w:top w:val="single" w:sz="8" w:color="0000FF"/>
            </w:tcBorders>
            <w:gridSpan w:val="4"/>
          </w:tcPr>
          <w:p>
            <w:pPr>
              <w:spacing w:after="0"/>
              <w:rPr>
                <w:sz w:val="22"/>
                <w:szCs w:val="22"/>
                <w:color w:val="auto"/>
              </w:rPr>
            </w:pPr>
          </w:p>
        </w:tc>
        <w:tc>
          <w:tcPr>
            <w:tcW w:w="8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 w:type="dxa"/>
            <w:vAlign w:val="bottom"/>
            <w:vMerge w:val="restart"/>
          </w:tcPr>
          <w:p>
            <w:pPr>
              <w:jc w:val="right"/>
              <w:ind w:right="150"/>
              <w:spacing w:after="0"/>
              <w:rPr>
                <w:sz w:val="20"/>
                <w:szCs w:val="20"/>
                <w:color w:val="auto"/>
              </w:rPr>
            </w:pPr>
            <w:r>
              <w:rPr>
                <w:rFonts w:ascii="Calibri" w:cs="Calibri" w:eastAsia="Calibri" w:hAnsi="Calibri"/>
                <w:sz w:val="18"/>
                <w:szCs w:val="18"/>
                <w:color w:val="auto"/>
                <w:w w:val="92"/>
              </w:rPr>
              <w:t>10.6*</w:t>
            </w:r>
          </w:p>
        </w:tc>
        <w:tc>
          <w:tcPr>
            <w:tcW w:w="6360" w:type="dxa"/>
            <w:vAlign w:val="bottom"/>
            <w:tcBorders>
              <w:bottom w:val="single" w:sz="8" w:color="0000FF"/>
            </w:tcBorders>
            <w:gridSpan w:val="11"/>
          </w:tcPr>
          <w:p>
            <w:pPr>
              <w:spacing w:after="0"/>
              <w:rPr>
                <w:rFonts w:ascii="Calibri" w:cs="Calibri" w:eastAsia="Calibri" w:hAnsi="Calibri"/>
                <w:sz w:val="18"/>
                <w:szCs w:val="18"/>
                <w:color w:val="0000FF"/>
                <w:w w:val="97"/>
              </w:rPr>
            </w:pPr>
            <w:hyperlink r:id="rId92">
              <w:r>
                <w:rPr>
                  <w:rFonts w:ascii="Calibri" w:cs="Calibri" w:eastAsia="Calibri" w:hAnsi="Calibri"/>
                  <w:sz w:val="18"/>
                  <w:szCs w:val="18"/>
                  <w:color w:val="0000FF"/>
                  <w:w w:val="97"/>
                </w:rPr>
                <w:t>Form of Performance Stock Unit Award Notce and Restricted Stock Agreement under the</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640" w:type="dxa"/>
            <w:vAlign w:val="bottom"/>
            <w:vMerge w:val="continue"/>
          </w:tcPr>
          <w:p>
            <w:pPr>
              <w:spacing w:after="0"/>
              <w:rPr>
                <w:sz w:val="9"/>
                <w:szCs w:val="9"/>
                <w:color w:val="auto"/>
              </w:rPr>
            </w:pPr>
          </w:p>
        </w:tc>
        <w:tc>
          <w:tcPr>
            <w:tcW w:w="3040" w:type="dxa"/>
            <w:vAlign w:val="bottom"/>
            <w:gridSpan w:val="5"/>
            <w:vMerge w:val="restart"/>
          </w:tcPr>
          <w:p>
            <w:pPr>
              <w:spacing w:after="0" w:line="169" w:lineRule="exact"/>
              <w:rPr>
                <w:rFonts w:ascii="Calibri" w:cs="Calibri" w:eastAsia="Calibri" w:hAnsi="Calibri"/>
                <w:sz w:val="18"/>
                <w:szCs w:val="18"/>
                <w:color w:val="0000FF"/>
                <w:w w:val="99"/>
              </w:rPr>
            </w:pPr>
            <w:hyperlink r:id="rId92">
              <w:r>
                <w:rPr>
                  <w:rFonts w:ascii="Calibri" w:cs="Calibri" w:eastAsia="Calibri" w:hAnsi="Calibri"/>
                  <w:sz w:val="18"/>
                  <w:szCs w:val="18"/>
                  <w:color w:val="0000FF"/>
                  <w:w w:val="99"/>
                </w:rPr>
                <w:t>Company’s 2019 Equity Incentve Plan. (9)</w:t>
              </w:r>
            </w:hyperlink>
          </w:p>
        </w:tc>
        <w:tc>
          <w:tcPr>
            <w:tcW w:w="33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640" w:type="dxa"/>
            <w:vAlign w:val="bottom"/>
          </w:tcPr>
          <w:p>
            <w:pPr>
              <w:spacing w:after="0"/>
              <w:rPr>
                <w:sz w:val="5"/>
                <w:szCs w:val="5"/>
                <w:color w:val="auto"/>
              </w:rPr>
            </w:pPr>
          </w:p>
        </w:tc>
        <w:tc>
          <w:tcPr>
            <w:tcW w:w="3040" w:type="dxa"/>
            <w:vAlign w:val="bottom"/>
            <w:tcBorders>
              <w:bottom w:val="single" w:sz="8" w:color="0000FF"/>
            </w:tcBorders>
            <w:gridSpan w:val="5"/>
            <w:vMerge w:val="continue"/>
          </w:tcPr>
          <w:p>
            <w:pPr>
              <w:spacing w:after="0"/>
              <w:rPr>
                <w:sz w:val="5"/>
                <w:szCs w:val="5"/>
                <w:color w:val="auto"/>
              </w:rPr>
            </w:pPr>
          </w:p>
        </w:tc>
        <w:tc>
          <w:tcPr>
            <w:tcW w:w="33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10.7*</w:t>
            </w:r>
          </w:p>
        </w:tc>
        <w:tc>
          <w:tcPr>
            <w:tcW w:w="6400" w:type="dxa"/>
            <w:vAlign w:val="bottom"/>
            <w:gridSpan w:val="12"/>
          </w:tcPr>
          <w:p>
            <w:pPr>
              <w:spacing w:after="0"/>
              <w:rPr>
                <w:rFonts w:ascii="Calibri" w:cs="Calibri" w:eastAsia="Calibri" w:hAnsi="Calibri"/>
                <w:sz w:val="18"/>
                <w:szCs w:val="18"/>
                <w:color w:val="0000FF"/>
              </w:rPr>
            </w:pPr>
            <w:hyperlink r:id="rId93">
              <w:r>
                <w:rPr>
                  <w:rFonts w:ascii="Calibri" w:cs="Calibri" w:eastAsia="Calibri" w:hAnsi="Calibri"/>
                  <w:sz w:val="18"/>
                  <w:szCs w:val="18"/>
                  <w:color w:val="0000FF"/>
                </w:rPr>
                <w:t>Nine Year LTI with Shirley Rozeboom. (10)</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16.1</w:t>
            </w:r>
          </w:p>
        </w:tc>
        <w:tc>
          <w:tcPr>
            <w:tcW w:w="6400" w:type="dxa"/>
            <w:vAlign w:val="bottom"/>
            <w:gridSpan w:val="12"/>
          </w:tcPr>
          <w:p>
            <w:pPr>
              <w:spacing w:after="0"/>
              <w:rPr>
                <w:rFonts w:ascii="Calibri" w:cs="Calibri" w:eastAsia="Calibri" w:hAnsi="Calibri"/>
                <w:sz w:val="18"/>
                <w:szCs w:val="18"/>
                <w:color w:val="0000FF"/>
              </w:rPr>
            </w:pPr>
            <w:hyperlink r:id="rId94">
              <w:r>
                <w:rPr>
                  <w:rFonts w:ascii="Calibri" w:cs="Calibri" w:eastAsia="Calibri" w:hAnsi="Calibri"/>
                  <w:sz w:val="18"/>
                  <w:szCs w:val="18"/>
                  <w:color w:val="0000FF"/>
                </w:rPr>
                <w:t>Correspondence from KPMG LLP dated February 11, 2020. (11)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54" w:right="4560" w:firstLine="134"/>
        <w:spacing w:after="0" w:line="304" w:lineRule="auto"/>
        <w:tabs>
          <w:tab w:leader="none" w:pos="1552" w:val="left"/>
        </w:tabs>
        <w:numPr>
          <w:ilvl w:val="0"/>
          <w:numId w:val="8"/>
        </w:numPr>
        <w:rPr>
          <w:rFonts w:ascii="Calibri" w:cs="Calibri" w:eastAsia="Calibri" w:hAnsi="Calibri"/>
          <w:sz w:val="18"/>
          <w:szCs w:val="18"/>
          <w:color w:val="auto"/>
        </w:rPr>
      </w:pPr>
      <w:r>
        <w:rPr>
          <w:rFonts w:ascii="Calibri" w:cs="Calibri" w:eastAsia="Calibri" w:hAnsi="Calibri"/>
          <w:sz w:val="18"/>
          <w:szCs w:val="18"/>
          <w:u w:val="single" w:color="auto"/>
          <w:color w:val="0000FF"/>
        </w:rPr>
        <w:t xml:space="preserve">Subsidiaries of the registrant. </w:t>
      </w:r>
      <w:r>
        <w:rPr>
          <w:rFonts w:ascii="Calibri" w:cs="Calibri" w:eastAsia="Calibri" w:hAnsi="Calibri"/>
          <w:sz w:val="18"/>
          <w:szCs w:val="18"/>
          <w:color w:val="000000"/>
        </w:rPr>
        <w:t xml:space="preserve">23.1 </w:t>
      </w:r>
      <w:r>
        <w:rPr>
          <w:rFonts w:ascii="Calibri" w:cs="Calibri" w:eastAsia="Calibri" w:hAnsi="Calibri"/>
          <w:sz w:val="18"/>
          <w:szCs w:val="18"/>
          <w:u w:val="single" w:color="auto"/>
          <w:color w:val="0000FF"/>
        </w:rPr>
        <w:t>Consent of Grant Thornton LLP.</w:t>
      </w:r>
    </w:p>
    <w:p>
      <w:pPr>
        <w:spacing w:after="0" w:line="5" w:lineRule="exact"/>
        <w:rPr>
          <w:rFonts w:ascii="Calibri" w:cs="Calibri" w:eastAsia="Calibri" w:hAnsi="Calibri"/>
          <w:sz w:val="18"/>
          <w:szCs w:val="18"/>
          <w:color w:val="auto"/>
        </w:rPr>
      </w:pPr>
    </w:p>
    <w:p>
      <w:pPr>
        <w:ind w:left="954"/>
        <w:spacing w:after="0"/>
        <w:rPr>
          <w:rFonts w:ascii="Calibri" w:cs="Calibri" w:eastAsia="Calibri" w:hAnsi="Calibri"/>
          <w:sz w:val="18"/>
          <w:szCs w:val="18"/>
          <w:color w:val="auto"/>
        </w:rPr>
      </w:pPr>
      <w:r>
        <w:rPr>
          <w:rFonts w:ascii="Calibri" w:cs="Calibri" w:eastAsia="Calibri" w:hAnsi="Calibri"/>
          <w:sz w:val="18"/>
          <w:szCs w:val="18"/>
          <w:color w:val="auto"/>
        </w:rPr>
        <w:t xml:space="preserve">23.2   </w:t>
      </w:r>
      <w:r>
        <w:rPr>
          <w:rFonts w:ascii="Calibri" w:cs="Calibri" w:eastAsia="Calibri" w:hAnsi="Calibri"/>
          <w:sz w:val="18"/>
          <w:szCs w:val="18"/>
          <w:u w:val="single" w:color="auto"/>
          <w:color w:val="0000FF"/>
        </w:rPr>
        <w:t>Consent of KPMG LLP.</w:t>
      </w:r>
    </w:p>
    <w:p>
      <w:pPr>
        <w:spacing w:after="0" w:line="63" w:lineRule="exact"/>
        <w:rPr>
          <w:rFonts w:ascii="Calibri" w:cs="Calibri" w:eastAsia="Calibri" w:hAnsi="Calibri"/>
          <w:sz w:val="18"/>
          <w:szCs w:val="18"/>
          <w:color w:val="auto"/>
        </w:rPr>
      </w:pPr>
    </w:p>
    <w:p>
      <w:pPr>
        <w:ind w:left="954"/>
        <w:spacing w:after="0"/>
        <w:rPr>
          <w:rFonts w:ascii="Calibri" w:cs="Calibri" w:eastAsia="Calibri" w:hAnsi="Calibri"/>
          <w:sz w:val="18"/>
          <w:szCs w:val="18"/>
          <w:color w:val="auto"/>
        </w:rPr>
      </w:pPr>
      <w:r>
        <w:rPr>
          <w:rFonts w:ascii="Calibri" w:cs="Calibri" w:eastAsia="Calibri" w:hAnsi="Calibri"/>
          <w:sz w:val="18"/>
          <w:szCs w:val="18"/>
          <w:color w:val="auto"/>
        </w:rPr>
        <w:t xml:space="preserve">24.1   </w:t>
      </w:r>
      <w:r>
        <w:rPr>
          <w:rFonts w:ascii="Calibri" w:cs="Calibri" w:eastAsia="Calibri" w:hAnsi="Calibri"/>
          <w:sz w:val="18"/>
          <w:szCs w:val="18"/>
          <w:u w:val="single" w:color="auto"/>
          <w:color w:val="0000FF"/>
        </w:rPr>
        <w:t>Powers of Atorney.</w:t>
      </w:r>
    </w:p>
    <w:p>
      <w:pPr>
        <w:spacing w:after="0" w:line="33" w:lineRule="exact"/>
        <w:rPr>
          <w:sz w:val="20"/>
          <w:szCs w:val="20"/>
          <w:color w:val="auto"/>
        </w:rPr>
      </w:pPr>
    </w:p>
    <w:tbl>
      <w:tblPr>
        <w:tblLayout w:type="fixed"/>
        <w:tblInd w:w="954" w:type="dxa"/>
        <w:tblCellMar>
          <w:top w:w="0" w:type="dxa"/>
          <w:left w:w="0" w:type="dxa"/>
          <w:bottom w:w="0" w:type="dxa"/>
          <w:right w:w="0" w:type="dxa"/>
        </w:tblCellMar>
      </w:tblPr>
      <w:tr>
        <w:trPr>
          <w:trHeight w:val="220"/>
        </w:trPr>
        <w:tc>
          <w:tcPr>
            <w:tcW w:w="600" w:type="dxa"/>
            <w:vAlign w:val="bottom"/>
            <w:vMerge w:val="restart"/>
          </w:tcPr>
          <w:p>
            <w:pPr>
              <w:jc w:val="right"/>
              <w:ind w:right="190"/>
              <w:spacing w:after="0"/>
              <w:rPr>
                <w:sz w:val="20"/>
                <w:szCs w:val="20"/>
                <w:color w:val="auto"/>
              </w:rPr>
            </w:pPr>
            <w:r>
              <w:rPr>
                <w:rFonts w:ascii="Calibri" w:cs="Calibri" w:eastAsia="Calibri" w:hAnsi="Calibri"/>
                <w:sz w:val="18"/>
                <w:szCs w:val="18"/>
                <w:color w:val="auto"/>
                <w:w w:val="93"/>
              </w:rPr>
              <w:t>31.1</w:t>
            </w:r>
          </w:p>
        </w:tc>
        <w:tc>
          <w:tcPr>
            <w:tcW w:w="6660" w:type="dxa"/>
            <w:vAlign w:val="bottom"/>
            <w:tcBorders>
              <w:bottom w:val="single" w:sz="8" w:color="0000FF"/>
            </w:tcBorders>
            <w:gridSpan w:val="5"/>
          </w:tcPr>
          <w:p>
            <w:pPr>
              <w:spacing w:after="0"/>
              <w:rPr>
                <w:sz w:val="20"/>
                <w:szCs w:val="20"/>
                <w:color w:val="auto"/>
              </w:rPr>
            </w:pPr>
            <w:r>
              <w:rPr>
                <w:rFonts w:ascii="Calibri" w:cs="Calibri" w:eastAsia="Calibri" w:hAnsi="Calibri"/>
                <w:sz w:val="18"/>
                <w:szCs w:val="18"/>
                <w:color w:val="0000FF"/>
              </w:rPr>
              <w:t>Certfcaton by Chief Certfcaton by Chief Executve Ofcer pursuant to Rule 13a-14(a) of the</w:t>
            </w:r>
          </w:p>
        </w:tc>
        <w:tc>
          <w:tcPr>
            <w:tcW w:w="0" w:type="dxa"/>
            <w:vAlign w:val="bottom"/>
          </w:tcPr>
          <w:p>
            <w:pPr>
              <w:spacing w:after="0"/>
              <w:rPr>
                <w:sz w:val="1"/>
                <w:szCs w:val="1"/>
                <w:color w:val="auto"/>
              </w:rPr>
            </w:pPr>
          </w:p>
        </w:tc>
      </w:tr>
      <w:tr>
        <w:trPr>
          <w:trHeight w:val="105"/>
        </w:trPr>
        <w:tc>
          <w:tcPr>
            <w:tcW w:w="600" w:type="dxa"/>
            <w:vAlign w:val="bottom"/>
            <w:vMerge w:val="continue"/>
          </w:tcPr>
          <w:p>
            <w:pPr>
              <w:spacing w:after="0"/>
              <w:rPr>
                <w:sz w:val="9"/>
                <w:szCs w:val="9"/>
                <w:color w:val="auto"/>
              </w:rPr>
            </w:pPr>
          </w:p>
        </w:tc>
        <w:tc>
          <w:tcPr>
            <w:tcW w:w="6660" w:type="dxa"/>
            <w:vAlign w:val="bottom"/>
            <w:gridSpan w:val="5"/>
            <w:vMerge w:val="restart"/>
          </w:tcPr>
          <w:p>
            <w:pPr>
              <w:spacing w:after="0" w:line="169" w:lineRule="exact"/>
              <w:rPr>
                <w:sz w:val="20"/>
                <w:szCs w:val="20"/>
                <w:color w:val="auto"/>
              </w:rPr>
            </w:pPr>
            <w:r>
              <w:rPr>
                <w:rFonts w:ascii="Calibri" w:cs="Calibri" w:eastAsia="Calibri" w:hAnsi="Calibri"/>
                <w:sz w:val="18"/>
                <w:szCs w:val="18"/>
                <w:color w:val="0000FF"/>
              </w:rPr>
              <w:t>Exchange Act. Ofcer pursuant to Rule 13a-14(a) of the Exchange Act.</w:t>
            </w:r>
          </w:p>
        </w:tc>
        <w:tc>
          <w:tcPr>
            <w:tcW w:w="0" w:type="dxa"/>
            <w:vAlign w:val="bottom"/>
          </w:tcPr>
          <w:p>
            <w:pPr>
              <w:spacing w:after="0"/>
              <w:rPr>
                <w:sz w:val="1"/>
                <w:szCs w:val="1"/>
                <w:color w:val="auto"/>
              </w:rPr>
            </w:pPr>
          </w:p>
        </w:tc>
      </w:tr>
      <w:tr>
        <w:trPr>
          <w:trHeight w:val="64"/>
        </w:trPr>
        <w:tc>
          <w:tcPr>
            <w:tcW w:w="600" w:type="dxa"/>
            <w:vAlign w:val="bottom"/>
          </w:tcPr>
          <w:p>
            <w:pPr>
              <w:spacing w:after="0"/>
              <w:rPr>
                <w:sz w:val="5"/>
                <w:szCs w:val="5"/>
                <w:color w:val="auto"/>
              </w:rPr>
            </w:pPr>
          </w:p>
        </w:tc>
        <w:tc>
          <w:tcPr>
            <w:tcW w:w="6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jc w:val="right"/>
              <w:ind w:right="190"/>
              <w:spacing w:after="0"/>
              <w:rPr>
                <w:sz w:val="20"/>
                <w:szCs w:val="20"/>
                <w:color w:val="auto"/>
              </w:rPr>
            </w:pPr>
            <w:r>
              <w:rPr>
                <w:rFonts w:ascii="Calibri" w:cs="Calibri" w:eastAsia="Calibri" w:hAnsi="Calibri"/>
                <w:sz w:val="18"/>
                <w:szCs w:val="18"/>
                <w:color w:val="auto"/>
                <w:w w:val="93"/>
              </w:rPr>
              <w:t>31.2</w:t>
            </w:r>
          </w:p>
        </w:tc>
        <w:tc>
          <w:tcPr>
            <w:tcW w:w="6660" w:type="dxa"/>
            <w:vAlign w:val="bottom"/>
            <w:gridSpan w:val="5"/>
          </w:tcPr>
          <w:p>
            <w:pPr>
              <w:spacing w:after="0"/>
              <w:rPr>
                <w:sz w:val="20"/>
                <w:szCs w:val="20"/>
                <w:color w:val="auto"/>
              </w:rPr>
            </w:pPr>
            <w:r>
              <w:rPr>
                <w:rFonts w:ascii="Calibri" w:cs="Calibri" w:eastAsia="Calibri" w:hAnsi="Calibri"/>
                <w:sz w:val="18"/>
                <w:szCs w:val="18"/>
                <w:color w:val="0000FF"/>
              </w:rPr>
              <w:t>Certfcaton by Chief Financial Ofcer pursuant to Rule 13a-14(a) of the Exchange Act.</w:t>
            </w:r>
          </w:p>
        </w:tc>
        <w:tc>
          <w:tcPr>
            <w:tcW w:w="0" w:type="dxa"/>
            <w:vAlign w:val="bottom"/>
          </w:tcPr>
          <w:p>
            <w:pPr>
              <w:spacing w:after="0"/>
              <w:rPr>
                <w:sz w:val="1"/>
                <w:szCs w:val="1"/>
                <w:color w:val="auto"/>
              </w:rPr>
            </w:pPr>
          </w:p>
        </w:tc>
      </w:tr>
      <w:tr>
        <w:trPr>
          <w:trHeight w:val="263"/>
        </w:trPr>
        <w:tc>
          <w:tcPr>
            <w:tcW w:w="600" w:type="dxa"/>
            <w:vAlign w:val="bottom"/>
          </w:tcPr>
          <w:p>
            <w:pPr>
              <w:jc w:val="right"/>
              <w:ind w:right="190"/>
              <w:spacing w:after="0"/>
              <w:rPr>
                <w:sz w:val="20"/>
                <w:szCs w:val="20"/>
                <w:color w:val="auto"/>
              </w:rPr>
            </w:pPr>
            <w:r>
              <w:rPr>
                <w:rFonts w:ascii="Calibri" w:cs="Calibri" w:eastAsia="Calibri" w:hAnsi="Calibri"/>
                <w:sz w:val="18"/>
                <w:szCs w:val="18"/>
                <w:color w:val="auto"/>
                <w:w w:val="93"/>
              </w:rPr>
              <w:t>32.1</w:t>
            </w:r>
          </w:p>
        </w:tc>
        <w:tc>
          <w:tcPr>
            <w:tcW w:w="6100" w:type="dxa"/>
            <w:vAlign w:val="bottom"/>
            <w:tcBorders>
              <w:top w:val="single" w:sz="8" w:color="0000FF"/>
            </w:tcBorders>
            <w:gridSpan w:val="4"/>
          </w:tcPr>
          <w:p>
            <w:pPr>
              <w:spacing w:after="0"/>
              <w:rPr>
                <w:sz w:val="20"/>
                <w:szCs w:val="20"/>
                <w:color w:val="auto"/>
              </w:rPr>
            </w:pPr>
            <w:r>
              <w:rPr>
                <w:rFonts w:ascii="Calibri" w:cs="Calibri" w:eastAsia="Calibri" w:hAnsi="Calibri"/>
                <w:sz w:val="18"/>
                <w:szCs w:val="18"/>
                <w:color w:val="0000FF"/>
              </w:rPr>
              <w:t>Secton 1350 Certfcaton by Chief Executve Ofcer.</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 w:type="dxa"/>
            <w:vAlign w:val="bottom"/>
          </w:tcPr>
          <w:p>
            <w:pPr>
              <w:jc w:val="right"/>
              <w:ind w:right="190"/>
              <w:spacing w:after="0"/>
              <w:rPr>
                <w:sz w:val="20"/>
                <w:szCs w:val="20"/>
                <w:color w:val="auto"/>
              </w:rPr>
            </w:pPr>
            <w:r>
              <w:rPr>
                <w:rFonts w:ascii="Calibri" w:cs="Calibri" w:eastAsia="Calibri" w:hAnsi="Calibri"/>
                <w:sz w:val="18"/>
                <w:szCs w:val="18"/>
                <w:color w:val="auto"/>
                <w:w w:val="93"/>
              </w:rPr>
              <w:t>32.2</w:t>
            </w:r>
          </w:p>
        </w:tc>
        <w:tc>
          <w:tcPr>
            <w:tcW w:w="3660" w:type="dxa"/>
            <w:vAlign w:val="bottom"/>
            <w:tcBorders>
              <w:top w:val="single" w:sz="8" w:color="0000FF"/>
              <w:bottom w:val="single" w:sz="8" w:color="0000FF"/>
            </w:tcBorders>
          </w:tcPr>
          <w:p>
            <w:pPr>
              <w:spacing w:after="0"/>
              <w:rPr>
                <w:sz w:val="20"/>
                <w:szCs w:val="20"/>
                <w:color w:val="auto"/>
              </w:rPr>
            </w:pPr>
            <w:r>
              <w:rPr>
                <w:rFonts w:ascii="Calibri" w:cs="Calibri" w:eastAsia="Calibri" w:hAnsi="Calibri"/>
                <w:sz w:val="18"/>
                <w:szCs w:val="18"/>
                <w:color w:val="0000FF"/>
              </w:rPr>
              <w:t>Secton 1350 Certfcaton by Chief Financial Ofcer.</w:t>
            </w:r>
          </w:p>
        </w:tc>
        <w:tc>
          <w:tcPr>
            <w:tcW w:w="40" w:type="dxa"/>
            <w:vAlign w:val="bottom"/>
            <w:tcBorders>
              <w:top w:val="single" w:sz="8" w:color="0000FF"/>
            </w:tcBorders>
          </w:tcPr>
          <w:p>
            <w:pPr>
              <w:spacing w:after="0"/>
              <w:rPr>
                <w:sz w:val="22"/>
                <w:szCs w:val="22"/>
                <w:color w:val="auto"/>
              </w:rPr>
            </w:pPr>
          </w:p>
        </w:tc>
        <w:tc>
          <w:tcPr>
            <w:tcW w:w="29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00" w:type="dxa"/>
            <w:vAlign w:val="bottom"/>
          </w:tcPr>
          <w:p>
            <w:pPr>
              <w:spacing w:after="0"/>
              <w:rPr>
                <w:sz w:val="24"/>
                <w:szCs w:val="24"/>
                <w:color w:val="auto"/>
              </w:rPr>
            </w:pPr>
          </w:p>
        </w:tc>
        <w:tc>
          <w:tcPr>
            <w:tcW w:w="6660" w:type="dxa"/>
            <w:vAlign w:val="bottom"/>
            <w:gridSpan w:val="5"/>
          </w:tcPr>
          <w:p>
            <w:pPr>
              <w:spacing w:after="0"/>
              <w:rPr>
                <w:sz w:val="20"/>
                <w:szCs w:val="20"/>
                <w:color w:val="auto"/>
              </w:rPr>
            </w:pPr>
            <w:r>
              <w:rPr>
                <w:rFonts w:ascii="Calibri" w:cs="Calibri" w:eastAsia="Calibri" w:hAnsi="Calibri"/>
                <w:sz w:val="18"/>
                <w:szCs w:val="18"/>
                <w:color w:val="auto"/>
              </w:rPr>
              <w:t>Financial statements from the Annual Report on Form 10-K of Hawkins, Inc. for the period</w:t>
            </w:r>
          </w:p>
        </w:tc>
        <w:tc>
          <w:tcPr>
            <w:tcW w:w="0" w:type="dxa"/>
            <w:vAlign w:val="bottom"/>
          </w:tcPr>
          <w:p>
            <w:pPr>
              <w:spacing w:after="0"/>
              <w:rPr>
                <w:sz w:val="1"/>
                <w:szCs w:val="1"/>
                <w:color w:val="auto"/>
              </w:rPr>
            </w:pPr>
          </w:p>
        </w:tc>
      </w:tr>
    </w:tbl>
    <w:p>
      <w:pPr>
        <w:jc w:val="both"/>
        <w:ind w:left="1554"/>
        <w:spacing w:after="0" w:line="208" w:lineRule="auto"/>
        <w:rPr>
          <w:sz w:val="20"/>
          <w:szCs w:val="20"/>
          <w:color w:val="auto"/>
        </w:rPr>
      </w:pPr>
      <w:r>
        <w:rPr>
          <w:rFonts w:ascii="Calibri" w:cs="Calibri" w:eastAsia="Calibri" w:hAnsi="Calibri"/>
          <w:sz w:val="17"/>
          <w:szCs w:val="17"/>
          <w:color w:val="auto"/>
        </w:rPr>
        <w:t>ended April 3, 2022, fled with the SEC on May 18, 2022, formated in Inline Extensible Business Reportng Language (iXBRL): (i) the Consolidated Balance Sheets at April 3, 2022 and March 28, 2021 (ii) the Consolidated Statements of Income for the fscal years ended April 3, 2022, March</w:t>
      </w:r>
    </w:p>
    <w:p>
      <w:pPr>
        <w:ind w:left="1554" w:right="20" w:hanging="555"/>
        <w:spacing w:after="0" w:line="208" w:lineRule="auto"/>
        <w:tabs>
          <w:tab w:leader="none" w:pos="1554" w:val="left"/>
        </w:tabs>
        <w:numPr>
          <w:ilvl w:val="0"/>
          <w:numId w:val="9"/>
        </w:numPr>
        <w:rPr>
          <w:rFonts w:ascii="Calibri" w:cs="Calibri" w:eastAsia="Calibri" w:hAnsi="Calibri"/>
          <w:sz w:val="34"/>
          <w:szCs w:val="34"/>
          <w:color w:val="auto"/>
          <w:vertAlign w:val="subscript"/>
        </w:rPr>
      </w:pPr>
      <w:r>
        <w:rPr>
          <w:rFonts w:ascii="Calibri" w:cs="Calibri" w:eastAsia="Calibri" w:hAnsi="Calibri"/>
          <w:sz w:val="17"/>
          <w:szCs w:val="17"/>
          <w:color w:val="auto"/>
        </w:rPr>
        <w:t>28, 2021, and March 29, 2020, (iii) the Consolidated Statements of Comprehensive Income for the fscal years ended April 3, 2022, March 28, 2021, and March 29, 2020, (iv) the Consolidated Statements of Shareholders’ Equity for the fscal years ended April 3, 2022, March 28, 2021, and March 29, 2020, (v) Consolidated Statements of Cash Flows for the fscal years ended April 3, 2022, March 28, 2021, and March 29, 2020, and (iv) Notes to Consolidated Financial Statements.</w:t>
      </w:r>
    </w:p>
    <w:p>
      <w:pPr>
        <w:spacing w:after="0" w:line="65" w:lineRule="exact"/>
        <w:rPr>
          <w:sz w:val="20"/>
          <w:szCs w:val="20"/>
          <w:color w:val="auto"/>
        </w:rPr>
      </w:pPr>
    </w:p>
    <w:p>
      <w:pPr>
        <w:ind w:left="994"/>
        <w:spacing w:after="0"/>
        <w:tabs>
          <w:tab w:leader="none" w:pos="1534" w:val="left"/>
        </w:tabs>
        <w:rPr>
          <w:sz w:val="20"/>
          <w:szCs w:val="20"/>
          <w:color w:val="auto"/>
        </w:rPr>
      </w:pPr>
      <w:r>
        <w:rPr>
          <w:rFonts w:ascii="Calibri" w:cs="Calibri" w:eastAsia="Calibri" w:hAnsi="Calibri"/>
          <w:sz w:val="18"/>
          <w:szCs w:val="18"/>
          <w:color w:val="auto"/>
        </w:rPr>
        <w:t>104</w:t>
      </w:r>
      <w:r>
        <w:rPr>
          <w:sz w:val="20"/>
          <w:szCs w:val="20"/>
          <w:color w:val="auto"/>
        </w:rPr>
        <w:tab/>
      </w:r>
      <w:r>
        <w:rPr>
          <w:rFonts w:ascii="Calibri" w:cs="Calibri" w:eastAsia="Calibri" w:hAnsi="Calibri"/>
          <w:sz w:val="18"/>
          <w:szCs w:val="18"/>
          <w:color w:val="auto"/>
        </w:rPr>
        <w:t>Cover Page Interactve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92075</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line="329" w:lineRule="auto"/>
        <w:rPr>
          <w:sz w:val="20"/>
          <w:szCs w:val="20"/>
          <w:color w:val="auto"/>
        </w:rPr>
      </w:pPr>
      <w:r>
        <w:rPr>
          <w:rFonts w:ascii="Calibri" w:cs="Calibri" w:eastAsia="Calibri" w:hAnsi="Calibri"/>
          <w:sz w:val="17"/>
          <w:szCs w:val="17"/>
          <w:color w:val="auto"/>
        </w:rPr>
        <w:t>Incorporated by Reference Incorporated by Reference Filed Electronically Filed Electronically Filed Electronically Filed Electronically</w:t>
      </w:r>
    </w:p>
    <w:p>
      <w:pPr>
        <w:spacing w:after="0" w:line="8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150" w:lineRule="exact"/>
        <w:rPr>
          <w:sz w:val="20"/>
          <w:szCs w:val="20"/>
          <w:color w:val="auto"/>
        </w:rPr>
      </w:pPr>
    </w:p>
    <w:p>
      <w:pPr>
        <w:sectPr>
          <w:pgSz w:w="11900" w:h="16838" w:orient="portrait"/>
          <w:cols w:equalWidth="0" w:num="2">
            <w:col w:w="8334" w:space="220"/>
            <w:col w:w="1900"/>
          </w:cols>
          <w:pgMar w:left="346" w:top="922" w:right="1099" w:bottom="1440" w:gutter="0" w:footer="0" w:header="0"/>
          <w:type w:val="continuous"/>
        </w:sectPr>
      </w:pPr>
    </w:p>
    <w:p>
      <w:pPr>
        <w:ind w:left="654" w:hanging="654"/>
        <w:spacing w:after="0"/>
        <w:tabs>
          <w:tab w:leader="none" w:pos="654"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Management contract or compensaton plan or arrangement required to be fled as an exhibit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649605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54"/>
          </w:cols>
          <w:pgMar w:left="346" w:top="922" w:right="1099" w:bottom="1440" w:gutter="0" w:footer="0" w:header="0"/>
          <w:type w:val="continuous"/>
        </w:sectPr>
      </w:pPr>
    </w:p>
    <w:bookmarkStart w:id="56" w:name="page57"/>
    <w:bookmarkEnd w:id="56"/>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3.2 to the Company’s Current Report on Form 8-K dated February 26, 2021 and fled March 2, 2021.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3.1 to the Company’s Current Report on Form 8-K dated October 28, 2009 and fled November 3, 2009.</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4.1 to the Company’s Annual Report on Form 10-K fled June 2,2021.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 to the Company’s Registraton Statement on Form S-8 fled June 6, 2011.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 to the Company’s Quarterly Report on Form 10-Q for the quarterly period ended July 3, 2011.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99.1 to the Company’s Registraton Statement on Form S-8 fled November 2, 2018.</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 to the Company’s Registraton Statement on Form 8-K fled December 3, 2018.</w:t>
      </w:r>
    </w:p>
    <w:p>
      <w:pPr>
        <w:spacing w:after="0" w:line="163"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Incorporated by reference to Exhibit 10.3 to the Company’s Quarterly Report on Form 10-Q for the quarterly period ended September 29, 2019.</w:t>
      </w:r>
    </w:p>
    <w:p>
      <w:pPr>
        <w:spacing w:after="0" w:line="165" w:lineRule="exact"/>
        <w:rPr>
          <w:rFonts w:ascii="Calibri" w:cs="Calibri" w:eastAsia="Calibri" w:hAnsi="Calibri"/>
          <w:sz w:val="17"/>
          <w:szCs w:val="17"/>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10.10 to the Company’s Annual Report on Form 10-K fled May 20,2020.</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10.7 to the Company’s Annual Report on Form 10-K fled June 2,2021.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16.1 to the Company’s Current Report on Form 8-K dated February 11,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165" w:right="799" w:bottom="1440" w:gutter="0" w:footer="0" w:header="0"/>
        </w:sectPr>
      </w:pPr>
    </w:p>
    <w:bookmarkStart w:id="57" w:name="page58"/>
    <w:bookmarkEnd w:id="57"/>
    <w:p>
      <w:pPr>
        <w:jc w:val="center"/>
        <w:ind w:right="-159"/>
        <w:spacing w:after="0"/>
        <w:rPr>
          <w:sz w:val="20"/>
          <w:szCs w:val="20"/>
          <w:color w:val="auto"/>
        </w:rPr>
      </w:pPr>
      <w:r>
        <w:rPr>
          <w:rFonts w:ascii="Calibri" w:cs="Calibri" w:eastAsia="Calibri" w:hAnsi="Calibri"/>
          <w:sz w:val="18"/>
          <w:szCs w:val="18"/>
          <w:b w:val="1"/>
          <w:bCs w:val="1"/>
          <w:color w:val="auto"/>
        </w:rPr>
        <w:t>SIGNATURES</w:t>
      </w:r>
    </w:p>
    <w:p>
      <w:pPr>
        <w:spacing w:after="0" w:line="1" w:lineRule="exact"/>
        <w:rPr>
          <w:sz w:val="20"/>
          <w:szCs w:val="20"/>
          <w:color w:val="auto"/>
        </w:rPr>
      </w:pPr>
    </w:p>
    <w:p>
      <w:pPr>
        <w:ind w:right="280"/>
        <w:spacing w:after="0" w:line="227"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39"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Calibri" w:cs="Calibri" w:eastAsia="Calibri" w:hAnsi="Calibri"/>
                <w:sz w:val="18"/>
                <w:szCs w:val="18"/>
                <w:color w:val="auto"/>
              </w:rPr>
              <w:t>HAWKINS, INC.</w:t>
            </w:r>
          </w:p>
        </w:tc>
        <w:tc>
          <w:tcPr>
            <w:tcW w:w="3940" w:type="dxa"/>
            <w:vAlign w:val="bottom"/>
          </w:tcPr>
          <w:p>
            <w:pPr>
              <w:spacing w:after="0"/>
              <w:rPr>
                <w:sz w:val="19"/>
                <w:szCs w:val="19"/>
                <w:color w:val="auto"/>
              </w:rPr>
            </w:pPr>
          </w:p>
        </w:tc>
      </w:tr>
      <w:tr>
        <w:trPr>
          <w:trHeight w:val="499"/>
        </w:trPr>
        <w:tc>
          <w:tcPr>
            <w:tcW w:w="1140" w:type="dxa"/>
            <w:vAlign w:val="bottom"/>
          </w:tcPr>
          <w:p>
            <w:pPr>
              <w:ind w:left="500"/>
              <w:spacing w:after="0"/>
              <w:rPr>
                <w:sz w:val="20"/>
                <w:szCs w:val="20"/>
                <w:color w:val="auto"/>
              </w:rPr>
            </w:pPr>
            <w:r>
              <w:rPr>
                <w:rFonts w:ascii="Calibri" w:cs="Calibri" w:eastAsia="Calibri" w:hAnsi="Calibri"/>
                <w:sz w:val="18"/>
                <w:szCs w:val="18"/>
                <w:color w:val="auto"/>
              </w:rPr>
              <w:t>By</w:t>
            </w:r>
          </w:p>
        </w:tc>
        <w:tc>
          <w:tcPr>
            <w:tcW w:w="3940" w:type="dxa"/>
            <w:vAlign w:val="bottom"/>
          </w:tcPr>
          <w:p>
            <w:pPr>
              <w:ind w:left="20"/>
              <w:spacing w:after="0"/>
              <w:rPr>
                <w:sz w:val="20"/>
                <w:szCs w:val="20"/>
                <w:color w:val="auto"/>
              </w:rPr>
            </w:pPr>
            <w:r>
              <w:rPr>
                <w:rFonts w:ascii="Calibri" w:cs="Calibri" w:eastAsia="Calibri" w:hAnsi="Calibri"/>
                <w:sz w:val="18"/>
                <w:szCs w:val="18"/>
                <w:color w:val="auto"/>
              </w:rPr>
              <w:t>/s/ Patrick H. Hawkins</w:t>
            </w:r>
          </w:p>
        </w:tc>
      </w:tr>
      <w:tr>
        <w:trPr>
          <w:trHeight w:val="23"/>
        </w:trPr>
        <w:tc>
          <w:tcPr>
            <w:tcW w:w="114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160"/>
        </w:trPr>
        <w:tc>
          <w:tcPr>
            <w:tcW w:w="1140" w:type="dxa"/>
            <w:vAlign w:val="bottom"/>
          </w:tcPr>
          <w:p>
            <w:pPr>
              <w:spacing w:after="0"/>
              <w:rPr>
                <w:sz w:val="13"/>
                <w:szCs w:val="13"/>
                <w:color w:val="auto"/>
              </w:rPr>
            </w:pPr>
          </w:p>
        </w:tc>
        <w:tc>
          <w:tcPr>
            <w:tcW w:w="3940" w:type="dxa"/>
            <w:vAlign w:val="bottom"/>
          </w:tcPr>
          <w:p>
            <w:pPr>
              <w:ind w:left="20"/>
              <w:spacing w:after="0" w:line="160" w:lineRule="exact"/>
              <w:rPr>
                <w:sz w:val="20"/>
                <w:szCs w:val="20"/>
                <w:color w:val="auto"/>
              </w:rPr>
            </w:pPr>
            <w:r>
              <w:rPr>
                <w:rFonts w:ascii="Calibri" w:cs="Calibri" w:eastAsia="Calibri" w:hAnsi="Calibri"/>
                <w:sz w:val="17"/>
                <w:szCs w:val="17"/>
                <w:color w:val="auto"/>
              </w:rPr>
              <w:t>Patrick H. Hawkins</w:t>
            </w:r>
          </w:p>
        </w:tc>
      </w:tr>
      <w:tr>
        <w:trPr>
          <w:trHeight w:val="215"/>
        </w:trPr>
        <w:tc>
          <w:tcPr>
            <w:tcW w:w="1140" w:type="dxa"/>
            <w:vAlign w:val="bottom"/>
          </w:tcPr>
          <w:p>
            <w:pPr>
              <w:spacing w:after="0"/>
              <w:rPr>
                <w:sz w:val="18"/>
                <w:szCs w:val="18"/>
                <w:color w:val="auto"/>
              </w:rPr>
            </w:pPr>
          </w:p>
        </w:tc>
        <w:tc>
          <w:tcPr>
            <w:tcW w:w="394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 and President</w:t>
            </w:r>
          </w:p>
        </w:tc>
      </w:tr>
    </w:tbl>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Calibri" w:cs="Calibri" w:eastAsia="Calibri" w:hAnsi="Calibri"/>
                <w:sz w:val="18"/>
                <w:szCs w:val="18"/>
                <w:color w:val="auto"/>
              </w:rPr>
              <w:t>Dated:</w:t>
            </w:r>
          </w:p>
        </w:tc>
        <w:tc>
          <w:tcPr>
            <w:tcW w:w="1140" w:type="dxa"/>
            <w:vAlign w:val="bottom"/>
          </w:tcPr>
          <w:p>
            <w:pPr>
              <w:ind w:left="160"/>
              <w:spacing w:after="0"/>
              <w:rPr>
                <w:sz w:val="20"/>
                <w:szCs w:val="20"/>
                <w:color w:val="auto"/>
              </w:rPr>
            </w:pPr>
            <w:r>
              <w:rPr>
                <w:rFonts w:ascii="Calibri" w:cs="Calibri" w:eastAsia="Calibri" w:hAnsi="Calibri"/>
                <w:sz w:val="18"/>
                <w:szCs w:val="18"/>
                <w:color w:val="auto"/>
                <w:w w:val="96"/>
              </w:rPr>
              <w:t>May 18, 2022</w:t>
            </w:r>
          </w:p>
        </w:tc>
      </w:tr>
    </w:tbl>
    <w:p>
      <w:pPr>
        <w:spacing w:after="0" w:line="32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by the following persons on behalf of the registrant in the capacites and on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ind w:left="20"/>
              <w:spacing w:after="0"/>
              <w:rPr>
                <w:sz w:val="20"/>
                <w:szCs w:val="20"/>
                <w:color w:val="auto"/>
              </w:rPr>
            </w:pPr>
            <w:r>
              <w:rPr>
                <w:rFonts w:ascii="Calibri" w:cs="Calibri" w:eastAsia="Calibri" w:hAnsi="Calibri"/>
                <w:sz w:val="18"/>
                <w:szCs w:val="18"/>
                <w:color w:val="auto"/>
              </w:rPr>
              <w:t>Signature</w:t>
            </w:r>
          </w:p>
        </w:tc>
        <w:tc>
          <w:tcPr>
            <w:tcW w:w="26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Title</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Date</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320" w:type="dxa"/>
            <w:vAlign w:val="bottom"/>
          </w:tcPr>
          <w:p>
            <w:pPr>
              <w:ind w:left="20"/>
              <w:spacing w:after="0"/>
              <w:rPr>
                <w:sz w:val="20"/>
                <w:szCs w:val="20"/>
                <w:color w:val="auto"/>
              </w:rPr>
            </w:pPr>
            <w:r>
              <w:rPr>
                <w:rFonts w:ascii="Calibri" w:cs="Calibri" w:eastAsia="Calibri" w:hAnsi="Calibri"/>
                <w:sz w:val="18"/>
                <w:szCs w:val="18"/>
                <w:color w:val="auto"/>
              </w:rPr>
              <w:t>/s/ Patrick H. Hawkins</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Calibri" w:cs="Calibri" w:eastAsia="Calibri" w:hAnsi="Calibri"/>
                <w:sz w:val="18"/>
                <w:szCs w:val="18"/>
                <w:color w:val="auto"/>
              </w:rPr>
              <w:t>Chief Executve Ofcer, President and Director</w:t>
            </w: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Patrick H. Hawkins</w:t>
            </w:r>
          </w:p>
        </w:tc>
        <w:tc>
          <w:tcPr>
            <w:tcW w:w="26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(principal executve ofcer)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320" w:type="dxa"/>
            <w:vAlign w:val="bottom"/>
          </w:tcPr>
          <w:p>
            <w:pPr>
              <w:ind w:left="20"/>
              <w:spacing w:after="0"/>
              <w:rPr>
                <w:sz w:val="20"/>
                <w:szCs w:val="20"/>
                <w:color w:val="auto"/>
              </w:rPr>
            </w:pPr>
            <w:r>
              <w:rPr>
                <w:rFonts w:ascii="Calibri" w:cs="Calibri" w:eastAsia="Calibri" w:hAnsi="Calibri"/>
                <w:sz w:val="18"/>
                <w:szCs w:val="18"/>
                <w:color w:val="auto"/>
              </w:rPr>
              <w:t>/s/ Jefrey P. Oldenkamp</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Calibri" w:cs="Calibri" w:eastAsia="Calibri" w:hAnsi="Calibri"/>
                <w:sz w:val="18"/>
                <w:szCs w:val="18"/>
                <w:color w:val="auto"/>
              </w:rPr>
              <w:t>Executve Vice President and Chief Financial Ofcer</w:t>
            </w: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Jefrey P. Oldenkamp</w:t>
            </w:r>
          </w:p>
        </w:tc>
        <w:tc>
          <w:tcPr>
            <w:tcW w:w="26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(principal fnancial ofcer and principal accountng ofcer)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James A. Faulconbridge</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Mary J. Schumacher</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Jefrey E. Spethmann</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Daniel J. Stauber</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Yi "Faith" Tang</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James T. Thompson</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18, 2022</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Jefrey L. Wright</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firstLine="8"/>
        <w:spacing w:after="0" w:line="213" w:lineRule="auto"/>
        <w:tabs>
          <w:tab w:leader="none" w:pos="127"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Patrick H. Hawkins, by signing his name hereto, does hereby sign this document on behalf of each of the above-named directors of the registrant pursuant to Powers of Atorney duly executed by such persons.</w:t>
      </w:r>
    </w:p>
    <w:p>
      <w:pPr>
        <w:spacing w:after="0" w:line="10" w:lineRule="exact"/>
        <w:rPr>
          <w:sz w:val="20"/>
          <w:szCs w:val="20"/>
          <w:color w:val="auto"/>
        </w:rPr>
      </w:pPr>
    </w:p>
    <w:p>
      <w:pPr>
        <w:ind w:left="4900"/>
        <w:spacing w:after="0"/>
        <w:rPr>
          <w:sz w:val="20"/>
          <w:szCs w:val="20"/>
          <w:color w:val="auto"/>
        </w:rPr>
      </w:pPr>
      <w:r>
        <w:rPr>
          <w:rFonts w:ascii="Calibri" w:cs="Calibri" w:eastAsia="Calibri" w:hAnsi="Calibri"/>
          <w:sz w:val="18"/>
          <w:szCs w:val="18"/>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15240</wp:posOffset>
            </wp:positionV>
            <wp:extent cx="30772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jc w:val="center"/>
        <w:ind w:right="-339"/>
        <w:spacing w:after="0"/>
        <w:rPr>
          <w:sz w:val="20"/>
          <w:szCs w:val="20"/>
          <w:color w:val="auto"/>
        </w:rPr>
      </w:pPr>
      <w:r>
        <w:rPr>
          <w:rFonts w:ascii="Calibri" w:cs="Calibri" w:eastAsia="Calibri" w:hAnsi="Calibri"/>
          <w:sz w:val="18"/>
          <w:szCs w:val="18"/>
          <w:color w:val="auto"/>
        </w:rPr>
        <w:t>Atorney-in-fact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2" w:right="499" w:bottom="1440" w:gutter="0" w:footer="0" w:header="0"/>
        </w:sectPr>
      </w:pPr>
    </w:p>
    <w:bookmarkStart w:id="58" w:name="page59"/>
    <w:bookmarkEnd w:id="58"/>
    <w:p>
      <w:pPr>
        <w:jc w:val="center"/>
        <w:ind w:right="40"/>
        <w:spacing w:after="0"/>
        <w:rPr>
          <w:sz w:val="20"/>
          <w:szCs w:val="20"/>
          <w:color w:val="auto"/>
        </w:rPr>
      </w:pPr>
      <w:r>
        <w:rPr>
          <w:rFonts w:ascii="Calibri" w:cs="Calibri" w:eastAsia="Calibri" w:hAnsi="Calibri"/>
          <w:sz w:val="18"/>
          <w:szCs w:val="18"/>
          <w:b w:val="1"/>
          <w:bCs w:val="1"/>
          <w:color w:val="auto"/>
        </w:rPr>
        <w:t>SCHEDULE II</w:t>
      </w:r>
    </w:p>
    <w:p>
      <w:pPr>
        <w:spacing w:after="0" w:line="158"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HAWKINS, INC.</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VALUATION AND QUALIFYING ACCOUNTS</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FOR THE FISCAL YEARS ENDED April 3, 2022, March 28, 2021 AND March 29,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Additons</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vMerge w:val="restart"/>
          </w:tcPr>
          <w:p>
            <w:pPr>
              <w:jc w:val="center"/>
              <w:ind w:right="279"/>
              <w:spacing w:after="0"/>
              <w:rPr>
                <w:sz w:val="20"/>
                <w:szCs w:val="20"/>
                <w:color w:val="auto"/>
              </w:rPr>
            </w:pPr>
            <w:r>
              <w:rPr>
                <w:rFonts w:ascii="Calibri" w:cs="Calibri" w:eastAsia="Calibri" w:hAnsi="Calibri"/>
                <w:sz w:val="14"/>
                <w:szCs w:val="14"/>
                <w:b w:val="1"/>
                <w:bCs w:val="1"/>
                <w:color w:val="auto"/>
              </w:rPr>
              <w:t>Balance at</w:t>
            </w: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201"/>
              <w:spacing w:after="0" w:line="127" w:lineRule="exact"/>
              <w:rPr>
                <w:sz w:val="20"/>
                <w:szCs w:val="20"/>
                <w:color w:val="auto"/>
              </w:rPr>
            </w:pPr>
            <w:r>
              <w:rPr>
                <w:rFonts w:ascii="Calibri" w:cs="Calibri" w:eastAsia="Calibri" w:hAnsi="Calibri"/>
                <w:sz w:val="13"/>
                <w:szCs w:val="13"/>
                <w:b w:val="1"/>
                <w:bCs w:val="1"/>
                <w:color w:val="auto"/>
              </w:rPr>
              <w:t>Charged to</w:t>
            </w:r>
          </w:p>
        </w:tc>
        <w:tc>
          <w:tcPr>
            <w:tcW w:w="340" w:type="dxa"/>
            <w:vAlign w:val="bottom"/>
          </w:tcPr>
          <w:p>
            <w:pPr>
              <w:spacing w:after="0"/>
              <w:rPr>
                <w:sz w:val="11"/>
                <w:szCs w:val="11"/>
                <w:color w:val="auto"/>
              </w:rPr>
            </w:pPr>
          </w:p>
        </w:tc>
        <w:tc>
          <w:tcPr>
            <w:tcW w:w="1140" w:type="dxa"/>
            <w:vAlign w:val="bottom"/>
          </w:tcPr>
          <w:p>
            <w:pPr>
              <w:jc w:val="center"/>
              <w:ind w:right="181"/>
              <w:spacing w:after="0" w:line="127" w:lineRule="exact"/>
              <w:rPr>
                <w:sz w:val="20"/>
                <w:szCs w:val="20"/>
                <w:color w:val="auto"/>
              </w:rPr>
            </w:pPr>
            <w:r>
              <w:rPr>
                <w:rFonts w:ascii="Calibri" w:cs="Calibri" w:eastAsia="Calibri" w:hAnsi="Calibri"/>
                <w:sz w:val="13"/>
                <w:szCs w:val="13"/>
                <w:b w:val="1"/>
                <w:bCs w:val="1"/>
                <w:color w:val="auto"/>
              </w:rPr>
              <w:t>Charged to</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279"/>
              <w:spacing w:after="0" w:line="136" w:lineRule="exact"/>
              <w:rPr>
                <w:sz w:val="20"/>
                <w:szCs w:val="20"/>
                <w:color w:val="auto"/>
              </w:rPr>
            </w:pPr>
            <w:r>
              <w:rPr>
                <w:rFonts w:ascii="Calibri" w:cs="Calibri" w:eastAsia="Calibri" w:hAnsi="Calibri"/>
                <w:sz w:val="14"/>
                <w:szCs w:val="14"/>
                <w:b w:val="1"/>
                <w:bCs w:val="1"/>
                <w:color w:val="auto"/>
              </w:rPr>
              <w:t>Beginning</w:t>
            </w:r>
          </w:p>
        </w:tc>
        <w:tc>
          <w:tcPr>
            <w:tcW w:w="240" w:type="dxa"/>
            <w:vAlign w:val="bottom"/>
          </w:tcPr>
          <w:p>
            <w:pPr>
              <w:spacing w:after="0"/>
              <w:rPr>
                <w:sz w:val="11"/>
                <w:szCs w:val="11"/>
                <w:color w:val="auto"/>
              </w:rPr>
            </w:pPr>
          </w:p>
        </w:tc>
        <w:tc>
          <w:tcPr>
            <w:tcW w:w="1160" w:type="dxa"/>
            <w:vAlign w:val="bottom"/>
          </w:tcPr>
          <w:p>
            <w:pPr>
              <w:jc w:val="center"/>
              <w:ind w:right="181"/>
              <w:spacing w:after="0" w:line="136" w:lineRule="exact"/>
              <w:rPr>
                <w:sz w:val="20"/>
                <w:szCs w:val="20"/>
                <w:color w:val="auto"/>
              </w:rPr>
            </w:pPr>
            <w:r>
              <w:rPr>
                <w:rFonts w:ascii="Calibri" w:cs="Calibri" w:eastAsia="Calibri" w:hAnsi="Calibri"/>
                <w:sz w:val="14"/>
                <w:szCs w:val="14"/>
                <w:b w:val="1"/>
                <w:bCs w:val="1"/>
                <w:color w:val="auto"/>
              </w:rPr>
              <w:t>Costs and</w:t>
            </w:r>
          </w:p>
        </w:tc>
        <w:tc>
          <w:tcPr>
            <w:tcW w:w="340" w:type="dxa"/>
            <w:vAlign w:val="bottom"/>
          </w:tcPr>
          <w:p>
            <w:pPr>
              <w:spacing w:after="0"/>
              <w:rPr>
                <w:sz w:val="11"/>
                <w:szCs w:val="11"/>
                <w:color w:val="auto"/>
              </w:rPr>
            </w:pPr>
          </w:p>
        </w:tc>
        <w:tc>
          <w:tcPr>
            <w:tcW w:w="1140" w:type="dxa"/>
            <w:vAlign w:val="bottom"/>
          </w:tcPr>
          <w:p>
            <w:pPr>
              <w:jc w:val="center"/>
              <w:ind w:right="181"/>
              <w:spacing w:after="0" w:line="136" w:lineRule="exact"/>
              <w:rPr>
                <w:sz w:val="20"/>
                <w:szCs w:val="20"/>
                <w:color w:val="auto"/>
              </w:rPr>
            </w:pPr>
            <w:r>
              <w:rPr>
                <w:rFonts w:ascii="Calibri" w:cs="Calibri" w:eastAsia="Calibri" w:hAnsi="Calibri"/>
                <w:sz w:val="14"/>
                <w:szCs w:val="14"/>
                <w:b w:val="1"/>
                <w:bCs w:val="1"/>
                <w:color w:val="auto"/>
              </w:rPr>
              <w:t>Other</w:t>
            </w:r>
          </w:p>
        </w:tc>
        <w:tc>
          <w:tcPr>
            <w:tcW w:w="340" w:type="dxa"/>
            <w:vAlign w:val="bottom"/>
          </w:tcPr>
          <w:p>
            <w:pPr>
              <w:spacing w:after="0"/>
              <w:rPr>
                <w:sz w:val="11"/>
                <w:szCs w:val="11"/>
                <w:color w:val="auto"/>
              </w:rPr>
            </w:pPr>
          </w:p>
        </w:tc>
        <w:tc>
          <w:tcPr>
            <w:tcW w:w="1200" w:type="dxa"/>
            <w:vAlign w:val="bottom"/>
          </w:tcPr>
          <w:p>
            <w:pPr>
              <w:jc w:val="right"/>
              <w:ind w:right="317"/>
              <w:spacing w:after="0" w:line="136" w:lineRule="exact"/>
              <w:rPr>
                <w:sz w:val="20"/>
                <w:szCs w:val="20"/>
                <w:color w:val="auto"/>
              </w:rPr>
            </w:pPr>
            <w:r>
              <w:rPr>
                <w:rFonts w:ascii="Calibri" w:cs="Calibri" w:eastAsia="Calibri" w:hAnsi="Calibri"/>
                <w:sz w:val="14"/>
                <w:szCs w:val="14"/>
                <w:b w:val="1"/>
                <w:bCs w:val="1"/>
                <w:color w:val="auto"/>
              </w:rPr>
              <w:t>Deductons</w:t>
            </w:r>
          </w:p>
        </w:tc>
        <w:tc>
          <w:tcPr>
            <w:tcW w:w="280" w:type="dxa"/>
            <w:vAlign w:val="bottom"/>
          </w:tcPr>
          <w:p>
            <w:pPr>
              <w:spacing w:after="0"/>
              <w:rPr>
                <w:sz w:val="11"/>
                <w:szCs w:val="11"/>
                <w:color w:val="auto"/>
              </w:rPr>
            </w:pPr>
          </w:p>
        </w:tc>
        <w:tc>
          <w:tcPr>
            <w:tcW w:w="1180" w:type="dxa"/>
            <w:vAlign w:val="bottom"/>
          </w:tcPr>
          <w:p>
            <w:pPr>
              <w:jc w:val="right"/>
              <w:ind w:right="317"/>
              <w:spacing w:after="0" w:line="136" w:lineRule="exact"/>
              <w:rPr>
                <w:sz w:val="20"/>
                <w:szCs w:val="20"/>
                <w:color w:val="auto"/>
              </w:rPr>
            </w:pPr>
            <w:r>
              <w:rPr>
                <w:rFonts w:ascii="Calibri" w:cs="Calibri" w:eastAsia="Calibri" w:hAnsi="Calibri"/>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29" w:lineRule="exact"/>
              <w:rPr>
                <w:sz w:val="20"/>
                <w:szCs w:val="20"/>
                <w:color w:val="auto"/>
              </w:rPr>
            </w:pPr>
            <w:r>
              <w:rPr>
                <w:rFonts w:ascii="Calibri" w:cs="Calibri" w:eastAsia="Calibri" w:hAnsi="Calibri"/>
                <w:sz w:val="14"/>
                <w:szCs w:val="14"/>
                <w:b w:val="1"/>
                <w:bCs w:val="1"/>
                <w:color w:val="auto"/>
              </w:rPr>
              <w:t>Descripton</w:t>
            </w:r>
          </w:p>
        </w:tc>
        <w:tc>
          <w:tcPr>
            <w:tcW w:w="240" w:type="dxa"/>
            <w:vAlign w:val="bottom"/>
          </w:tcPr>
          <w:p>
            <w:pPr>
              <w:spacing w:after="0"/>
              <w:rPr>
                <w:sz w:val="12"/>
                <w:szCs w:val="12"/>
                <w:color w:val="auto"/>
              </w:rPr>
            </w:pPr>
          </w:p>
        </w:tc>
        <w:tc>
          <w:tcPr>
            <w:tcW w:w="1260" w:type="dxa"/>
            <w:vAlign w:val="bottom"/>
          </w:tcPr>
          <w:p>
            <w:pPr>
              <w:jc w:val="center"/>
              <w:ind w:right="279"/>
              <w:spacing w:after="0" w:line="129" w:lineRule="exact"/>
              <w:rPr>
                <w:sz w:val="20"/>
                <w:szCs w:val="20"/>
                <w:color w:val="auto"/>
              </w:rPr>
            </w:pPr>
            <w:r>
              <w:rPr>
                <w:rFonts w:ascii="Calibri" w:cs="Calibri" w:eastAsia="Calibri" w:hAnsi="Calibri"/>
                <w:sz w:val="14"/>
                <w:szCs w:val="14"/>
                <w:b w:val="1"/>
                <w:bCs w:val="1"/>
                <w:color w:val="auto"/>
              </w:rPr>
              <w:t>of Year</w:t>
            </w:r>
          </w:p>
        </w:tc>
        <w:tc>
          <w:tcPr>
            <w:tcW w:w="240" w:type="dxa"/>
            <w:vAlign w:val="bottom"/>
          </w:tcPr>
          <w:p>
            <w:pPr>
              <w:spacing w:after="0"/>
              <w:rPr>
                <w:sz w:val="12"/>
                <w:szCs w:val="12"/>
                <w:color w:val="auto"/>
              </w:rPr>
            </w:pPr>
          </w:p>
        </w:tc>
        <w:tc>
          <w:tcPr>
            <w:tcW w:w="1160" w:type="dxa"/>
            <w:vAlign w:val="bottom"/>
          </w:tcPr>
          <w:p>
            <w:pPr>
              <w:jc w:val="center"/>
              <w:ind w:right="181"/>
              <w:spacing w:after="0" w:line="129" w:lineRule="exact"/>
              <w:rPr>
                <w:sz w:val="20"/>
                <w:szCs w:val="20"/>
                <w:color w:val="auto"/>
              </w:rPr>
            </w:pPr>
            <w:r>
              <w:rPr>
                <w:rFonts w:ascii="Calibri" w:cs="Calibri" w:eastAsia="Calibri" w:hAnsi="Calibri"/>
                <w:sz w:val="14"/>
                <w:szCs w:val="14"/>
                <w:b w:val="1"/>
                <w:bCs w:val="1"/>
                <w:color w:val="auto"/>
              </w:rPr>
              <w:t>Expenses</w:t>
            </w:r>
          </w:p>
        </w:tc>
        <w:tc>
          <w:tcPr>
            <w:tcW w:w="340" w:type="dxa"/>
            <w:vAlign w:val="bottom"/>
          </w:tcPr>
          <w:p>
            <w:pPr>
              <w:spacing w:after="0"/>
              <w:rPr>
                <w:sz w:val="12"/>
                <w:szCs w:val="12"/>
                <w:color w:val="auto"/>
              </w:rPr>
            </w:pPr>
          </w:p>
        </w:tc>
        <w:tc>
          <w:tcPr>
            <w:tcW w:w="1140" w:type="dxa"/>
            <w:vAlign w:val="bottom"/>
          </w:tcPr>
          <w:p>
            <w:pPr>
              <w:jc w:val="center"/>
              <w:ind w:right="201"/>
              <w:spacing w:after="0" w:line="129" w:lineRule="exact"/>
              <w:rPr>
                <w:sz w:val="20"/>
                <w:szCs w:val="20"/>
                <w:color w:val="auto"/>
              </w:rPr>
            </w:pPr>
            <w:r>
              <w:rPr>
                <w:rFonts w:ascii="Calibri" w:cs="Calibri" w:eastAsia="Calibri" w:hAnsi="Calibri"/>
                <w:sz w:val="14"/>
                <w:szCs w:val="14"/>
                <w:b w:val="1"/>
                <w:bCs w:val="1"/>
                <w:color w:val="auto"/>
              </w:rPr>
              <w:t>Accounts</w:t>
            </w:r>
          </w:p>
        </w:tc>
        <w:tc>
          <w:tcPr>
            <w:tcW w:w="340" w:type="dxa"/>
            <w:vAlign w:val="bottom"/>
          </w:tcPr>
          <w:p>
            <w:pPr>
              <w:spacing w:after="0"/>
              <w:rPr>
                <w:sz w:val="12"/>
                <w:szCs w:val="12"/>
                <w:color w:val="auto"/>
              </w:rPr>
            </w:pPr>
          </w:p>
        </w:tc>
        <w:tc>
          <w:tcPr>
            <w:tcW w:w="1200" w:type="dxa"/>
            <w:vAlign w:val="bottom"/>
          </w:tcPr>
          <w:p>
            <w:pPr>
              <w:jc w:val="right"/>
              <w:ind w:right="357"/>
              <w:spacing w:after="0" w:line="129" w:lineRule="exact"/>
              <w:rPr>
                <w:sz w:val="20"/>
                <w:szCs w:val="20"/>
                <w:color w:val="auto"/>
              </w:rPr>
            </w:pPr>
            <w:r>
              <w:rPr>
                <w:rFonts w:ascii="Calibri" w:cs="Calibri" w:eastAsia="Calibri" w:hAnsi="Calibri"/>
                <w:sz w:val="14"/>
                <w:szCs w:val="14"/>
                <w:b w:val="1"/>
                <w:bCs w:val="1"/>
                <w:color w:val="auto"/>
              </w:rPr>
              <w:t>Write-Ofs</w:t>
            </w:r>
          </w:p>
        </w:tc>
        <w:tc>
          <w:tcPr>
            <w:tcW w:w="280" w:type="dxa"/>
            <w:vAlign w:val="bottom"/>
          </w:tcPr>
          <w:p>
            <w:pPr>
              <w:spacing w:after="0"/>
              <w:rPr>
                <w:sz w:val="12"/>
                <w:szCs w:val="12"/>
                <w:color w:val="auto"/>
              </w:rPr>
            </w:pPr>
          </w:p>
        </w:tc>
        <w:tc>
          <w:tcPr>
            <w:tcW w:w="1180" w:type="dxa"/>
            <w:vAlign w:val="bottom"/>
          </w:tcPr>
          <w:p>
            <w:pPr>
              <w:jc w:val="right"/>
              <w:ind w:right="277"/>
              <w:spacing w:after="0" w:line="129" w:lineRule="exact"/>
              <w:rPr>
                <w:sz w:val="20"/>
                <w:szCs w:val="20"/>
                <w:color w:val="auto"/>
              </w:rPr>
            </w:pPr>
            <w:r>
              <w:rPr>
                <w:rFonts w:ascii="Calibri" w:cs="Calibri" w:eastAsia="Calibri" w:hAnsi="Calibri"/>
                <w:sz w:val="14"/>
                <w:szCs w:val="14"/>
                <w:b w:val="1"/>
                <w:bCs w:val="1"/>
                <w:color w:val="auto"/>
              </w:rPr>
              <w:t>End of Year</w:t>
            </w:r>
          </w:p>
        </w:tc>
        <w:tc>
          <w:tcPr>
            <w:tcW w:w="0" w:type="dxa"/>
            <w:vAlign w:val="bottom"/>
          </w:tcPr>
          <w:p>
            <w:pPr>
              <w:spacing w:after="0"/>
              <w:rPr>
                <w:sz w:val="1"/>
                <w:szCs w:val="1"/>
                <w:color w:val="auto"/>
              </w:rPr>
            </w:pPr>
          </w:p>
        </w:tc>
      </w:tr>
      <w:tr>
        <w:trPr>
          <w:trHeight w:val="48"/>
        </w:trPr>
        <w:tc>
          <w:tcPr>
            <w:tcW w:w="68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161"/>
              <w:spacing w:after="0" w:line="164" w:lineRule="exact"/>
              <w:rPr>
                <w:sz w:val="20"/>
                <w:szCs w:val="20"/>
                <w:color w:val="auto"/>
              </w:rPr>
            </w:pPr>
            <w:r>
              <w:rPr>
                <w:rFonts w:ascii="Calibri" w:cs="Calibri" w:eastAsia="Calibri" w:hAnsi="Calibri"/>
                <w:sz w:val="14"/>
                <w:szCs w:val="14"/>
                <w:b w:val="1"/>
                <w:bCs w:val="1"/>
                <w:color w:val="auto"/>
              </w:rPr>
              <w:t>(In thousands)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780" w:type="dxa"/>
            <w:vAlign w:val="bottom"/>
            <w:gridSpan w:val="2"/>
          </w:tcPr>
          <w:p>
            <w:pPr>
              <w:spacing w:after="0"/>
              <w:rPr>
                <w:sz w:val="20"/>
                <w:szCs w:val="20"/>
                <w:color w:val="auto"/>
              </w:rPr>
            </w:pPr>
            <w:r>
              <w:rPr>
                <w:rFonts w:ascii="Calibri" w:cs="Calibri" w:eastAsia="Calibri" w:hAnsi="Calibri"/>
                <w:sz w:val="18"/>
                <w:szCs w:val="18"/>
                <w:color w:val="auto"/>
              </w:rPr>
              <w:t>Reserve deducted from asset to which it applies: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Calibri" w:cs="Calibri" w:eastAsia="Calibri" w:hAnsi="Calibri"/>
                <w:sz w:val="18"/>
                <w:szCs w:val="18"/>
                <w:color w:val="auto"/>
              </w:rPr>
              <w:t>Fiscal Year Ended April 3, 2022:</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280"/>
              <w:spacing w:after="0"/>
              <w:rPr>
                <w:sz w:val="20"/>
                <w:szCs w:val="20"/>
                <w:color w:val="auto"/>
              </w:rPr>
            </w:pPr>
            <w:r>
              <w:rPr>
                <w:rFonts w:ascii="Calibri" w:cs="Calibri" w:eastAsia="Calibri" w:hAnsi="Calibri"/>
                <w:sz w:val="18"/>
                <w:szCs w:val="18"/>
                <w:color w:val="auto"/>
              </w:rPr>
              <w:t>Allowance for credit losses</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260" w:type="dxa"/>
            <w:vAlign w:val="bottom"/>
          </w:tcPr>
          <w:p>
            <w:pPr>
              <w:jc w:val="right"/>
              <w:ind w:right="99"/>
              <w:spacing w:after="0"/>
              <w:rPr>
                <w:sz w:val="20"/>
                <w:szCs w:val="20"/>
                <w:color w:val="auto"/>
              </w:rPr>
            </w:pPr>
            <w:r>
              <w:rPr>
                <w:rFonts w:ascii="Calibri" w:cs="Calibri" w:eastAsia="Calibri" w:hAnsi="Calibri"/>
                <w:sz w:val="18"/>
                <w:szCs w:val="18"/>
                <w:color w:val="auto"/>
              </w:rPr>
              <w:t>497</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160" w:type="dxa"/>
            <w:vAlign w:val="bottom"/>
          </w:tcPr>
          <w:p>
            <w:pPr>
              <w:jc w:val="right"/>
              <w:ind w:right="1"/>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140" w:type="dxa"/>
            <w:vAlign w:val="bottom"/>
          </w:tcPr>
          <w:p>
            <w:pPr>
              <w:ind w:left="900"/>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rPr>
                <w:sz w:val="20"/>
                <w:szCs w:val="20"/>
                <w:color w:val="auto"/>
              </w:rPr>
            </w:pPr>
            <w:r>
              <w:rPr>
                <w:rFonts w:ascii="Calibri" w:cs="Calibri" w:eastAsia="Calibri" w:hAnsi="Calibri"/>
                <w:sz w:val="18"/>
                <w:szCs w:val="18"/>
                <w:color w:val="auto"/>
              </w:rPr>
              <w:t>(130)</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367</w:t>
            </w: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Calibri" w:cs="Calibri" w:eastAsia="Calibri" w:hAnsi="Calibri"/>
                <w:sz w:val="18"/>
                <w:szCs w:val="18"/>
                <w:color w:val="auto"/>
              </w:rPr>
              <w:t>Fiscal Year Ended March 28, 2021: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280"/>
              <w:spacing w:after="0"/>
              <w:rPr>
                <w:sz w:val="20"/>
                <w:szCs w:val="20"/>
                <w:color w:val="auto"/>
              </w:rPr>
            </w:pPr>
            <w:r>
              <w:rPr>
                <w:rFonts w:ascii="Calibri" w:cs="Calibri" w:eastAsia="Calibri" w:hAnsi="Calibri"/>
                <w:sz w:val="18"/>
                <w:szCs w:val="18"/>
                <w:color w:val="auto"/>
              </w:rPr>
              <w:t>Allowance for credit losses</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260" w:type="dxa"/>
            <w:vAlign w:val="bottom"/>
          </w:tcPr>
          <w:p>
            <w:pPr>
              <w:jc w:val="right"/>
              <w:ind w:right="99"/>
              <w:spacing w:after="0"/>
              <w:rPr>
                <w:sz w:val="20"/>
                <w:szCs w:val="20"/>
                <w:color w:val="auto"/>
              </w:rPr>
            </w:pPr>
            <w:r>
              <w:rPr>
                <w:rFonts w:ascii="Calibri" w:cs="Calibri" w:eastAsia="Calibri" w:hAnsi="Calibri"/>
                <w:sz w:val="18"/>
                <w:szCs w:val="18"/>
                <w:color w:val="auto"/>
              </w:rPr>
              <w:t>784</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160" w:type="dxa"/>
            <w:vAlign w:val="bottom"/>
          </w:tcPr>
          <w:p>
            <w:pPr>
              <w:jc w:val="right"/>
              <w:ind w:right="1"/>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140" w:type="dxa"/>
            <w:vAlign w:val="bottom"/>
          </w:tcPr>
          <w:p>
            <w:pPr>
              <w:ind w:left="900"/>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rPr>
                <w:sz w:val="20"/>
                <w:szCs w:val="20"/>
                <w:color w:val="auto"/>
              </w:rPr>
            </w:pPr>
            <w:r>
              <w:rPr>
                <w:rFonts w:ascii="Calibri" w:cs="Calibri" w:eastAsia="Calibri" w:hAnsi="Calibri"/>
                <w:sz w:val="18"/>
                <w:szCs w:val="18"/>
                <w:color w:val="auto"/>
              </w:rPr>
              <w:t>(287)</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497</w:t>
            </w: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Calibri" w:cs="Calibri" w:eastAsia="Calibri" w:hAnsi="Calibri"/>
                <w:sz w:val="18"/>
                <w:szCs w:val="18"/>
                <w:color w:val="auto"/>
              </w:rPr>
              <w:t>Fiscal Year Ended March 29, 2020: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80"/>
              <w:spacing w:after="0"/>
              <w:rPr>
                <w:sz w:val="20"/>
                <w:szCs w:val="20"/>
                <w:color w:val="auto"/>
              </w:rPr>
            </w:pPr>
            <w:r>
              <w:rPr>
                <w:rFonts w:ascii="Calibri" w:cs="Calibri" w:eastAsia="Calibri" w:hAnsi="Calibri"/>
                <w:sz w:val="18"/>
                <w:szCs w:val="18"/>
                <w:color w:val="auto"/>
              </w:rPr>
              <w:t>Allowance for credit losses</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260" w:type="dxa"/>
            <w:vAlign w:val="bottom"/>
          </w:tcPr>
          <w:p>
            <w:pPr>
              <w:jc w:val="right"/>
              <w:ind w:right="99"/>
              <w:spacing w:after="0"/>
              <w:rPr>
                <w:sz w:val="20"/>
                <w:szCs w:val="20"/>
                <w:color w:val="auto"/>
              </w:rPr>
            </w:pPr>
            <w:r>
              <w:rPr>
                <w:rFonts w:ascii="Calibri" w:cs="Calibri" w:eastAsia="Calibri" w:hAnsi="Calibri"/>
                <w:sz w:val="18"/>
                <w:szCs w:val="18"/>
                <w:color w:val="auto"/>
              </w:rPr>
              <w:t>620</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160" w:type="dxa"/>
            <w:vAlign w:val="bottom"/>
          </w:tcPr>
          <w:p>
            <w:pPr>
              <w:jc w:val="right"/>
              <w:ind w:right="21"/>
              <w:spacing w:after="0"/>
              <w:rPr>
                <w:sz w:val="20"/>
                <w:szCs w:val="20"/>
                <w:color w:val="auto"/>
              </w:rPr>
            </w:pPr>
            <w:r>
              <w:rPr>
                <w:rFonts w:ascii="Calibri" w:cs="Calibri" w:eastAsia="Calibri" w:hAnsi="Calibri"/>
                <w:sz w:val="18"/>
                <w:szCs w:val="18"/>
                <w:color w:val="auto"/>
              </w:rPr>
              <w:t>448</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140" w:type="dxa"/>
            <w:vAlign w:val="bottom"/>
          </w:tcPr>
          <w:p>
            <w:pPr>
              <w:ind w:left="900"/>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rPr>
                <w:sz w:val="20"/>
                <w:szCs w:val="20"/>
                <w:color w:val="auto"/>
              </w:rPr>
            </w:pPr>
            <w:r>
              <w:rPr>
                <w:rFonts w:ascii="Calibri" w:cs="Calibri" w:eastAsia="Calibri" w:hAnsi="Calibri"/>
                <w:sz w:val="18"/>
                <w:szCs w:val="18"/>
                <w:color w:val="auto"/>
              </w:rPr>
              <w:t>(284)</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784</w:t>
            </w:r>
          </w:p>
        </w:tc>
        <w:tc>
          <w:tcPr>
            <w:tcW w:w="0" w:type="dxa"/>
            <w:vAlign w:val="bottom"/>
          </w:tcPr>
          <w:p>
            <w:pPr>
              <w:spacing w:after="0"/>
              <w:rPr>
                <w:sz w:val="1"/>
                <w:szCs w:val="1"/>
                <w:color w:val="auto"/>
              </w:rPr>
            </w:pPr>
          </w:p>
        </w:tc>
      </w:tr>
    </w:tbl>
    <w:p>
      <w:pPr>
        <w:sectPr>
          <w:pgSz w:w="11900" w:h="16838" w:orient="portrait"/>
          <w:cols w:equalWidth="0" w:num="1">
            <w:col w:w="11160"/>
          </w:cols>
          <w:pgMar w:left="380" w:top="922" w:right="35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b w:val="1"/>
          <w:bCs w:val="1"/>
          <w:color w:val="auto"/>
        </w:rPr>
        <w:t>Exhibit 21</w:t>
      </w: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8040" w:type="dxa"/>
            <w:vAlign w:val="bottom"/>
          </w:tcPr>
          <w:p>
            <w:pPr>
              <w:ind w:left="3840"/>
              <w:spacing w:after="0" w:line="216" w:lineRule="exact"/>
              <w:rPr>
                <w:sz w:val="20"/>
                <w:szCs w:val="20"/>
                <w:color w:val="auto"/>
              </w:rPr>
            </w:pPr>
            <w:r>
              <w:rPr>
                <w:rFonts w:ascii="Calibri" w:cs="Calibri" w:eastAsia="Calibri" w:hAnsi="Calibri"/>
                <w:sz w:val="18"/>
                <w:szCs w:val="18"/>
                <w:b w:val="1"/>
                <w:bCs w:val="1"/>
                <w:color w:val="auto"/>
              </w:rPr>
              <w:t>Subsidiaries of Hawkins, Inc.</w:t>
            </w:r>
          </w:p>
        </w:tc>
        <w:tc>
          <w:tcPr>
            <w:tcW w:w="1500" w:type="dxa"/>
            <w:vAlign w:val="bottom"/>
          </w:tcPr>
          <w:p>
            <w:pPr>
              <w:spacing w:after="0"/>
              <w:rPr>
                <w:sz w:val="18"/>
                <w:szCs w:val="18"/>
                <w:color w:val="auto"/>
              </w:rPr>
            </w:pPr>
          </w:p>
        </w:tc>
      </w:tr>
      <w:tr>
        <w:trPr>
          <w:trHeight w:val="712"/>
        </w:trPr>
        <w:tc>
          <w:tcPr>
            <w:tcW w:w="74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w w:val="95"/>
              </w:rPr>
              <w:t>Subsidiary</w:t>
            </w:r>
          </w:p>
        </w:tc>
        <w:tc>
          <w:tcPr>
            <w:tcW w:w="804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w w:val="98"/>
              </w:rPr>
              <w:t>State of Organizaton</w:t>
            </w:r>
          </w:p>
        </w:tc>
      </w:tr>
      <w:tr>
        <w:trPr>
          <w:trHeight w:val="240"/>
        </w:trPr>
        <w:tc>
          <w:tcPr>
            <w:tcW w:w="8780" w:type="dxa"/>
            <w:vAlign w:val="bottom"/>
            <w:gridSpan w:val="2"/>
          </w:tcPr>
          <w:p>
            <w:pPr>
              <w:spacing w:after="0"/>
              <w:rPr>
                <w:sz w:val="20"/>
                <w:szCs w:val="20"/>
                <w:color w:val="auto"/>
              </w:rPr>
            </w:pPr>
            <w:r>
              <w:rPr>
                <w:rFonts w:ascii="Calibri" w:cs="Calibri" w:eastAsia="Calibri" w:hAnsi="Calibri"/>
                <w:sz w:val="18"/>
                <w:szCs w:val="18"/>
                <w:color w:val="auto"/>
              </w:rPr>
              <w:t>Stauber Holdings, Inc.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29"/>
        </w:trPr>
        <w:tc>
          <w:tcPr>
            <w:tcW w:w="8780" w:type="dxa"/>
            <w:vAlign w:val="bottom"/>
            <w:gridSpan w:val="2"/>
          </w:tcPr>
          <w:p>
            <w:pPr>
              <w:spacing w:after="0"/>
              <w:rPr>
                <w:sz w:val="20"/>
                <w:szCs w:val="20"/>
                <w:color w:val="auto"/>
              </w:rPr>
            </w:pPr>
            <w:r>
              <w:rPr>
                <w:rFonts w:ascii="Calibri" w:cs="Calibri" w:eastAsia="Calibri" w:hAnsi="Calibri"/>
                <w:sz w:val="18"/>
                <w:szCs w:val="18"/>
                <w:color w:val="auto"/>
              </w:rPr>
              <w:t>Stauber Performance Ingredients, Inc., a subsidiary of Stauber Holdings, Inc.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29"/>
        </w:trPr>
        <w:tc>
          <w:tcPr>
            <w:tcW w:w="8780" w:type="dxa"/>
            <w:vAlign w:val="bottom"/>
            <w:gridSpan w:val="2"/>
          </w:tcPr>
          <w:p>
            <w:pPr>
              <w:spacing w:after="0"/>
              <w:rPr>
                <w:sz w:val="20"/>
                <w:szCs w:val="20"/>
                <w:color w:val="auto"/>
              </w:rPr>
            </w:pPr>
            <w:r>
              <w:rPr>
                <w:rFonts w:ascii="Calibri" w:cs="Calibri" w:eastAsia="Calibri" w:hAnsi="Calibri"/>
                <w:sz w:val="18"/>
                <w:szCs w:val="18"/>
                <w:color w:val="auto"/>
              </w:rPr>
              <w:t>NAPCO Chemical Company, Inc.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bl>
    <w:p>
      <w:pPr>
        <w:sectPr>
          <w:pgSz w:w="11900" w:h="16838" w:orient="portrait"/>
          <w:cols w:equalWidth="0" w:num="1">
            <w:col w:w="11220"/>
          </w:cols>
          <w:pgMar w:left="340" w:top="1408" w:right="339" w:bottom="1440" w:gutter="0" w:footer="0" w:header="0"/>
        </w:sectPr>
      </w:pPr>
    </w:p>
    <w:bookmarkStart w:id="60" w:name="page61"/>
    <w:bookmarkEnd w:id="60"/>
    <w:p>
      <w:pPr>
        <w:jc w:val="right"/>
        <w:spacing w:after="0"/>
        <w:rPr>
          <w:sz w:val="20"/>
          <w:szCs w:val="20"/>
          <w:color w:val="auto"/>
        </w:rPr>
      </w:pPr>
      <w:r>
        <w:rPr>
          <w:rFonts w:ascii="Calibri" w:cs="Calibri" w:eastAsia="Calibri" w:hAnsi="Calibri"/>
          <w:sz w:val="18"/>
          <w:szCs w:val="18"/>
          <w:b w:val="1"/>
          <w:bCs w:val="1"/>
          <w:color w:val="auto"/>
        </w:rPr>
        <w:t>Exhibit 23.1</w:t>
      </w:r>
    </w:p>
    <w:p>
      <w:pPr>
        <w:jc w:val="center"/>
        <w:spacing w:after="0" w:line="235" w:lineRule="auto"/>
        <w:rPr>
          <w:sz w:val="20"/>
          <w:szCs w:val="20"/>
          <w:color w:val="auto"/>
        </w:rPr>
      </w:pPr>
      <w:r>
        <w:rPr>
          <w:rFonts w:ascii="Calibri" w:cs="Calibri" w:eastAsia="Calibri" w:hAnsi="Calibri"/>
          <w:sz w:val="18"/>
          <w:szCs w:val="18"/>
          <w:b w:val="1"/>
          <w:bCs w:val="1"/>
          <w:color w:val="auto"/>
        </w:rPr>
        <w:t>Consent of Independent Registered Public Accountng Firm</w:t>
      </w: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color w:val="auto"/>
        </w:rPr>
        <w:t>The Board of Directors</w:t>
      </w:r>
    </w:p>
    <w:p>
      <w:pPr>
        <w:spacing w:after="0" w:line="235" w:lineRule="auto"/>
        <w:rPr>
          <w:sz w:val="20"/>
          <w:szCs w:val="20"/>
          <w:color w:val="auto"/>
        </w:rPr>
      </w:pPr>
      <w:r>
        <w:rPr>
          <w:rFonts w:ascii="Calibri" w:cs="Calibri" w:eastAsia="Calibri" w:hAnsi="Calibri"/>
          <w:sz w:val="18"/>
          <w:szCs w:val="18"/>
          <w:color w:val="auto"/>
        </w:rPr>
        <w:t>Hawkins, Inc.:</w:t>
      </w:r>
    </w:p>
    <w:p>
      <w:pPr>
        <w:spacing w:after="0" w:line="245" w:lineRule="exact"/>
        <w:rPr>
          <w:sz w:val="20"/>
          <w:szCs w:val="20"/>
          <w:color w:val="auto"/>
        </w:rPr>
      </w:pPr>
    </w:p>
    <w:p>
      <w:pPr>
        <w:ind w:right="160"/>
        <w:spacing w:after="0" w:line="239" w:lineRule="auto"/>
        <w:rPr>
          <w:sz w:val="20"/>
          <w:szCs w:val="20"/>
          <w:color w:val="auto"/>
        </w:rPr>
      </w:pPr>
      <w:r>
        <w:rPr>
          <w:rFonts w:ascii="Calibri" w:cs="Calibri" w:eastAsia="Calibri" w:hAnsi="Calibri"/>
          <w:sz w:val="17"/>
          <w:szCs w:val="17"/>
          <w:color w:val="auto"/>
        </w:rPr>
        <w:t>We have issued our reports dated May 18, 2022, with respect to the consolidated fnancial statements and internal control over fnancial reportng included in the Annual Report of Hawkins, Inc. on Form 10-K for the year ended April 3, 2022. We consent to the incorporaton by reference of said reports in the Registraton Statements of Hawkins, Inc. on Forms S-8 (File Nos. 333-87582, 333-123080, 333-172761, 333-174735, 333-228128 and 333-234432).</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/s/ Grant Thornton LLP</w:t>
      </w:r>
    </w:p>
    <w:p>
      <w:pPr>
        <w:spacing w:after="0" w:line="235" w:lineRule="auto"/>
        <w:rPr>
          <w:sz w:val="20"/>
          <w:szCs w:val="20"/>
          <w:color w:val="auto"/>
        </w:rPr>
      </w:pPr>
      <w:r>
        <w:rPr>
          <w:rFonts w:ascii="Calibri" w:cs="Calibri" w:eastAsia="Calibri" w:hAnsi="Calibri"/>
          <w:sz w:val="18"/>
          <w:szCs w:val="18"/>
          <w:color w:val="auto"/>
        </w:rPr>
        <w:t>Minneapolis, Minnesota</w:t>
      </w:r>
    </w:p>
    <w:p>
      <w:pPr>
        <w:spacing w:after="0" w:line="236" w:lineRule="auto"/>
        <w:rPr>
          <w:sz w:val="20"/>
          <w:szCs w:val="20"/>
          <w:color w:val="auto"/>
        </w:rPr>
      </w:pPr>
      <w:r>
        <w:rPr>
          <w:rFonts w:ascii="Calibri" w:cs="Calibri" w:eastAsia="Calibri" w:hAnsi="Calibri"/>
          <w:sz w:val="18"/>
          <w:szCs w:val="18"/>
          <w:color w:val="auto"/>
        </w:rPr>
        <w:t>May 18, 2022</w:t>
      </w:r>
    </w:p>
    <w:p>
      <w:pPr>
        <w:sectPr>
          <w:pgSz w:w="11900" w:h="16838" w:orient="portrait"/>
          <w:cols w:equalWidth="0" w:num="1">
            <w:col w:w="11240"/>
          </w:cols>
          <w:pgMar w:left="320" w:top="882" w:right="339" w:bottom="1440" w:gutter="0" w:footer="0" w:header="0"/>
        </w:sectPr>
      </w:pPr>
    </w:p>
    <w:bookmarkStart w:id="61" w:name="page62"/>
    <w:bookmarkEnd w:id="61"/>
    <w:p>
      <w:pPr>
        <w:jc w:val="right"/>
        <w:spacing w:after="0"/>
        <w:rPr>
          <w:sz w:val="20"/>
          <w:szCs w:val="20"/>
          <w:color w:val="auto"/>
        </w:rPr>
      </w:pPr>
      <w:r>
        <w:rPr>
          <w:rFonts w:ascii="Calibri" w:cs="Calibri" w:eastAsia="Calibri" w:hAnsi="Calibri"/>
          <w:sz w:val="18"/>
          <w:szCs w:val="18"/>
          <w:b w:val="1"/>
          <w:bCs w:val="1"/>
          <w:color w:val="auto"/>
        </w:rPr>
        <w:t>Exhibit 23.2</w:t>
      </w:r>
    </w:p>
    <w:p>
      <w:pPr>
        <w:jc w:val="center"/>
        <w:spacing w:after="0" w:line="235" w:lineRule="auto"/>
        <w:rPr>
          <w:sz w:val="20"/>
          <w:szCs w:val="20"/>
          <w:color w:val="auto"/>
        </w:rPr>
      </w:pPr>
      <w:r>
        <w:rPr>
          <w:rFonts w:ascii="Calibri" w:cs="Calibri" w:eastAsia="Calibri" w:hAnsi="Calibri"/>
          <w:sz w:val="18"/>
          <w:szCs w:val="18"/>
          <w:b w:val="1"/>
          <w:bCs w:val="1"/>
          <w:color w:val="auto"/>
        </w:rPr>
        <w:t>Consent of Independent Registered Public Accountng Firm</w:t>
      </w: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color w:val="auto"/>
        </w:rPr>
        <w:t>The Board of Directors</w:t>
      </w:r>
    </w:p>
    <w:p>
      <w:pPr>
        <w:spacing w:after="0" w:line="235" w:lineRule="auto"/>
        <w:rPr>
          <w:sz w:val="20"/>
          <w:szCs w:val="20"/>
          <w:color w:val="auto"/>
        </w:rPr>
      </w:pPr>
      <w:r>
        <w:rPr>
          <w:rFonts w:ascii="Calibri" w:cs="Calibri" w:eastAsia="Calibri" w:hAnsi="Calibri"/>
          <w:sz w:val="18"/>
          <w:szCs w:val="18"/>
          <w:color w:val="auto"/>
        </w:rPr>
        <w:t>Hawkins, Inc.:</w:t>
      </w:r>
    </w:p>
    <w:p>
      <w:pPr>
        <w:spacing w:after="0" w:line="245"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We consent to the incorporaton by reference in the registraton statements (No. 333-87582, 333-123080, 333-172761, 333-174735, 333-228128, 333-234432) on Form S-8 of our report dated May 20, 2020, except as to the stock split and par value adjustment as described in Note 1, which are as of June 2, 2021, with respect to the consolidated fnancial statements of Hawkins, Inc.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18"/>
          <w:szCs w:val="18"/>
          <w:color w:val="auto"/>
        </w:rPr>
        <w:t>/s/ KPMG LLP</w:t>
      </w:r>
    </w:p>
    <w:p>
      <w:pPr>
        <w:spacing w:after="0" w:line="235" w:lineRule="auto"/>
        <w:rPr>
          <w:sz w:val="20"/>
          <w:szCs w:val="20"/>
          <w:color w:val="auto"/>
        </w:rPr>
      </w:pPr>
      <w:r>
        <w:rPr>
          <w:rFonts w:ascii="Calibri" w:cs="Calibri" w:eastAsia="Calibri" w:hAnsi="Calibri"/>
          <w:sz w:val="18"/>
          <w:szCs w:val="18"/>
          <w:color w:val="auto"/>
        </w:rPr>
        <w:t>Minneapolis, Minnesota</w:t>
      </w:r>
    </w:p>
    <w:p>
      <w:pPr>
        <w:spacing w:after="0" w:line="236" w:lineRule="auto"/>
        <w:rPr>
          <w:sz w:val="20"/>
          <w:szCs w:val="20"/>
          <w:color w:val="auto"/>
        </w:rPr>
      </w:pPr>
      <w:r>
        <w:rPr>
          <w:rFonts w:ascii="Calibri" w:cs="Calibri" w:eastAsia="Calibri" w:hAnsi="Calibri"/>
          <w:sz w:val="18"/>
          <w:szCs w:val="18"/>
          <w:color w:val="auto"/>
        </w:rPr>
        <w:t>May 18, 2022</w:t>
      </w:r>
    </w:p>
    <w:p>
      <w:pPr>
        <w:sectPr>
          <w:pgSz w:w="11900" w:h="16838" w:orient="portrait"/>
          <w:cols w:equalWidth="0" w:num="1">
            <w:col w:w="11240"/>
          </w:cols>
          <w:pgMar w:left="320" w:top="882" w:right="339" w:bottom="1440" w:gutter="0" w:footer="0" w:header="0"/>
        </w:sectPr>
      </w:pPr>
    </w:p>
    <w:bookmarkStart w:id="62" w:name="page63"/>
    <w:bookmarkEnd w:id="62"/>
    <w:p>
      <w:pPr>
        <w:jc w:val="center"/>
        <w:ind w:right="-7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3, 2022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James A. Faulconbridge</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27, 2022</w:t>
      </w:r>
    </w:p>
    <w:p>
      <w:pPr>
        <w:sectPr>
          <w:pgSz w:w="11900" w:h="16838" w:orient="portrait"/>
          <w:cols w:equalWidth="0" w:num="1">
            <w:col w:w="11160"/>
          </w:cols>
          <w:pgMar w:left="320" w:top="1388" w:right="419" w:bottom="1440" w:gutter="0" w:footer="0" w:header="0"/>
        </w:sectPr>
      </w:pPr>
    </w:p>
    <w:bookmarkStart w:id="63" w:name="page64"/>
    <w:bookmarkEnd w:id="63"/>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3, 2022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/s/ Mary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091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Mary J. Schumacher</w:t>
      </w:r>
    </w:p>
    <w:p>
      <w:pPr>
        <w:spacing w:after="0" w:line="10"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April 27, 2022</w:t>
      </w:r>
    </w:p>
    <w:p>
      <w:pPr>
        <w:sectPr>
          <w:pgSz w:w="11900" w:h="16838" w:orient="portrait"/>
          <w:cols w:equalWidth="0" w:num="1">
            <w:col w:w="11160"/>
          </w:cols>
          <w:pgMar w:left="320" w:top="1388" w:right="419" w:bottom="1440" w:gutter="0" w:footer="0" w:header="0"/>
        </w:sectPr>
      </w:pPr>
    </w:p>
    <w:bookmarkStart w:id="64" w:name="page65"/>
    <w:bookmarkEnd w:id="64"/>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3, 2022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/s/ Jefrey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091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Jefrey E. Spethmann</w:t>
      </w:r>
    </w:p>
    <w:p>
      <w:pPr>
        <w:spacing w:after="0" w:line="10"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April 27, 2022</w:t>
      </w:r>
    </w:p>
    <w:p>
      <w:pPr>
        <w:sectPr>
          <w:pgSz w:w="11900" w:h="16838" w:orient="portrait"/>
          <w:cols w:equalWidth="0" w:num="1">
            <w:col w:w="11160"/>
          </w:cols>
          <w:pgMar w:left="320" w:top="1388" w:right="419" w:bottom="1440" w:gutter="0" w:footer="0" w:header="0"/>
        </w:sectPr>
      </w:pPr>
    </w:p>
    <w:bookmarkStart w:id="65" w:name="page66"/>
    <w:bookmarkEnd w:id="65"/>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3, 2022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Daniel J.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Daniel J. Stauber</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27, 2022</w:t>
      </w:r>
    </w:p>
    <w:p>
      <w:pPr>
        <w:sectPr>
          <w:pgSz w:w="11900" w:h="16838" w:orient="portrait"/>
          <w:cols w:equalWidth="0" w:num="1">
            <w:col w:w="11160"/>
          </w:cols>
          <w:pgMar w:left="320" w:top="1388" w:right="419" w:bottom="1440" w:gutter="0" w:footer="0" w:header="0"/>
        </w:sectPr>
      </w:pPr>
    </w:p>
    <w:bookmarkStart w:id="66" w:name="page67"/>
    <w:bookmarkEnd w:id="66"/>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3, 2022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Yi “Faith”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Yi “Faith” Tang</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27, 2022</w:t>
      </w:r>
    </w:p>
    <w:p>
      <w:pPr>
        <w:sectPr>
          <w:pgSz w:w="11900" w:h="16838" w:orient="portrait"/>
          <w:cols w:equalWidth="0" w:num="1">
            <w:col w:w="11160"/>
          </w:cols>
          <w:pgMar w:left="320" w:top="1388" w:right="419" w:bottom="1440" w:gutter="0" w:footer="0" w:header="0"/>
        </w:sectPr>
      </w:pPr>
    </w:p>
    <w:bookmarkStart w:id="67" w:name="page68"/>
    <w:bookmarkEnd w:id="67"/>
    <w:p>
      <w:pPr>
        <w:jc w:val="center"/>
        <w:ind w:right="-7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3, 2022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7"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James Thompson</w:t>
      </w:r>
    </w:p>
    <w:p>
      <w:pPr>
        <w:spacing w:after="0" w:line="37"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27, 2022</w:t>
      </w:r>
    </w:p>
    <w:p>
      <w:pPr>
        <w:sectPr>
          <w:pgSz w:w="11900" w:h="16838" w:orient="portrait"/>
          <w:cols w:equalWidth="0" w:num="1">
            <w:col w:w="11160"/>
          </w:cols>
          <w:pgMar w:left="320" w:top="1388" w:right="419" w:bottom="1440" w:gutter="0" w:footer="0" w:header="0"/>
        </w:sectPr>
      </w:pPr>
    </w:p>
    <w:bookmarkStart w:id="68" w:name="page69"/>
    <w:bookmarkEnd w:id="68"/>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3, 2022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Jefrey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Jefrey L. Wright</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27, 2022</w:t>
      </w:r>
    </w:p>
    <w:p>
      <w:pPr>
        <w:sectPr>
          <w:pgSz w:w="11900" w:h="16838" w:orient="portrait"/>
          <w:cols w:equalWidth="0" w:num="1">
            <w:col w:w="11160"/>
          </w:cols>
          <w:pgMar w:left="320" w:top="1388" w:right="419" w:bottom="1440" w:gutter="0" w:footer="0" w:header="0"/>
        </w:sectPr>
      </w:pPr>
    </w:p>
    <w:bookmarkStart w:id="69" w:name="page70"/>
    <w:bookmarkEnd w:id="69"/>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Patrick H. Hawkins, certfy that:</w:t>
      </w:r>
    </w:p>
    <w:p>
      <w:pPr>
        <w:spacing w:after="0" w:line="347" w:lineRule="exact"/>
        <w:rPr>
          <w:sz w:val="20"/>
          <w:szCs w:val="20"/>
          <w:color w:val="auto"/>
        </w:rPr>
      </w:pPr>
    </w:p>
    <w:p>
      <w:pPr>
        <w:ind w:left="640" w:hanging="308"/>
        <w:spacing w:after="0"/>
        <w:tabs>
          <w:tab w:leader="none" w:pos="64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Hawkins, Inc.;</w:t>
      </w:r>
    </w:p>
    <w:p>
      <w:pPr>
        <w:spacing w:after="0" w:line="109" w:lineRule="exact"/>
        <w:rPr>
          <w:rFonts w:ascii="Calibri" w:cs="Calibri" w:eastAsia="Calibri" w:hAnsi="Calibri"/>
          <w:sz w:val="18"/>
          <w:szCs w:val="18"/>
          <w:color w:val="auto"/>
        </w:rPr>
      </w:pPr>
    </w:p>
    <w:p>
      <w:pPr>
        <w:jc w:val="both"/>
        <w:ind w:left="660" w:right="140" w:hanging="328"/>
        <w:spacing w:after="0" w:line="225" w:lineRule="auto"/>
        <w:tabs>
          <w:tab w:leader="none" w:pos="645"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Calibri" w:cs="Calibri" w:eastAsia="Calibri" w:hAnsi="Calibri"/>
          <w:sz w:val="18"/>
          <w:szCs w:val="18"/>
          <w:color w:val="auto"/>
        </w:rPr>
      </w:pPr>
    </w:p>
    <w:p>
      <w:pPr>
        <w:ind w:left="660" w:right="220" w:hanging="328"/>
        <w:spacing w:after="0" w:line="227" w:lineRule="auto"/>
        <w:tabs>
          <w:tab w:leader="none" w:pos="645"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97" w:lineRule="exact"/>
        <w:rPr>
          <w:rFonts w:ascii="Calibri" w:cs="Calibri" w:eastAsia="Calibri" w:hAnsi="Calibri"/>
          <w:sz w:val="18"/>
          <w:szCs w:val="18"/>
          <w:color w:val="auto"/>
        </w:rPr>
      </w:pPr>
    </w:p>
    <w:p>
      <w:pPr>
        <w:ind w:left="660" w:right="80" w:hanging="328"/>
        <w:spacing w:after="0" w:line="230" w:lineRule="auto"/>
        <w:tabs>
          <w:tab w:leader="none" w:pos="645"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0" w:lineRule="auto"/>
        <w:tabs>
          <w:tab w:leader="none" w:pos="1289"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0" w:lineRule="auto"/>
        <w:tabs>
          <w:tab w:leader="none" w:pos="1283"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97"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13"/>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0" w:lineRule="auto"/>
        <w:tabs>
          <w:tab w:leader="none" w:pos="1283"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27" w:lineRule="auto"/>
        <w:tabs>
          <w:tab w:leader="none" w:pos="645"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10" w:lineRule="exact"/>
        <w:rPr>
          <w:rFonts w:ascii="Calibri" w:cs="Calibri" w:eastAsia="Calibri" w:hAnsi="Calibri"/>
          <w:sz w:val="18"/>
          <w:szCs w:val="18"/>
          <w:color w:val="auto"/>
        </w:rPr>
      </w:pPr>
    </w:p>
    <w:p>
      <w:pPr>
        <w:ind w:left="1300" w:right="680" w:hanging="320"/>
        <w:spacing w:after="0" w:line="242" w:lineRule="auto"/>
        <w:tabs>
          <w:tab w:leader="none" w:pos="1289" w:val="left"/>
        </w:tabs>
        <w:numPr>
          <w:ilvl w:val="1"/>
          <w:numId w:val="13"/>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4"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May 18, 2022</w:t>
      </w:r>
    </w:p>
    <w:p>
      <w:pPr>
        <w:spacing w:after="0" w:line="226" w:lineRule="exact"/>
        <w:rPr>
          <w:sz w:val="20"/>
          <w:szCs w:val="20"/>
          <w:color w:val="auto"/>
        </w:rPr>
      </w:pPr>
    </w:p>
    <w:p>
      <w:pPr>
        <w:ind w:left="5840"/>
        <w:spacing w:after="0"/>
        <w:rPr>
          <w:sz w:val="20"/>
          <w:szCs w:val="20"/>
          <w:color w:val="auto"/>
        </w:rPr>
      </w:pPr>
      <w:r>
        <w:rPr>
          <w:rFonts w:ascii="Calibri" w:cs="Calibri" w:eastAsia="Calibri" w:hAnsi="Calibri"/>
          <w:sz w:val="18"/>
          <w:szCs w:val="18"/>
          <w:u w:val="single" w:color="auto"/>
          <w:color w:val="auto"/>
        </w:rPr>
        <w:t>/s/ 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Chief Executve Ofcer and President</w:t>
      </w:r>
    </w:p>
    <w:p>
      <w:pPr>
        <w:sectPr>
          <w:pgSz w:w="11900" w:h="16838" w:orient="portrait"/>
          <w:cols w:equalWidth="0" w:num="1">
            <w:col w:w="11240"/>
          </w:cols>
          <w:pgMar w:left="320" w:top="882" w:right="339" w:bottom="1440" w:gutter="0" w:footer="0" w:header="0"/>
        </w:sectPr>
      </w:pPr>
    </w:p>
    <w:bookmarkStart w:id="70" w:name="page71"/>
    <w:bookmarkEnd w:id="70"/>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Jefrey P. Oldenkamp, certfy that:</w:t>
      </w:r>
    </w:p>
    <w:p>
      <w:pPr>
        <w:spacing w:after="0" w:line="320" w:lineRule="exact"/>
        <w:rPr>
          <w:sz w:val="20"/>
          <w:szCs w:val="20"/>
          <w:color w:val="auto"/>
        </w:rPr>
      </w:pPr>
    </w:p>
    <w:p>
      <w:pPr>
        <w:ind w:left="640" w:hanging="308"/>
        <w:spacing w:after="0"/>
        <w:tabs>
          <w:tab w:leader="none" w:pos="64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Hawkins, Inc.;</w:t>
      </w:r>
    </w:p>
    <w:p>
      <w:pPr>
        <w:spacing w:after="0" w:line="109" w:lineRule="exact"/>
        <w:rPr>
          <w:rFonts w:ascii="Calibri" w:cs="Calibri" w:eastAsia="Calibri" w:hAnsi="Calibri"/>
          <w:sz w:val="18"/>
          <w:szCs w:val="18"/>
          <w:color w:val="auto"/>
        </w:rPr>
      </w:pPr>
    </w:p>
    <w:p>
      <w:pPr>
        <w:jc w:val="both"/>
        <w:ind w:left="660" w:right="140" w:hanging="328"/>
        <w:spacing w:after="0" w:line="225" w:lineRule="auto"/>
        <w:tabs>
          <w:tab w:leader="none" w:pos="645"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Calibri" w:cs="Calibri" w:eastAsia="Calibri" w:hAnsi="Calibri"/>
          <w:sz w:val="18"/>
          <w:szCs w:val="18"/>
          <w:color w:val="auto"/>
        </w:rPr>
      </w:pPr>
    </w:p>
    <w:p>
      <w:pPr>
        <w:ind w:left="660" w:right="220" w:hanging="328"/>
        <w:spacing w:after="0" w:line="227" w:lineRule="auto"/>
        <w:tabs>
          <w:tab w:leader="none" w:pos="645"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97" w:lineRule="exact"/>
        <w:rPr>
          <w:rFonts w:ascii="Calibri" w:cs="Calibri" w:eastAsia="Calibri" w:hAnsi="Calibri"/>
          <w:sz w:val="18"/>
          <w:szCs w:val="18"/>
          <w:color w:val="auto"/>
        </w:rPr>
      </w:pPr>
    </w:p>
    <w:p>
      <w:pPr>
        <w:ind w:left="660" w:right="80" w:hanging="328"/>
        <w:spacing w:after="0" w:line="230" w:lineRule="auto"/>
        <w:tabs>
          <w:tab w:leader="none" w:pos="645"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0" w:lineRule="auto"/>
        <w:tabs>
          <w:tab w:leader="none" w:pos="1289"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0" w:lineRule="auto"/>
        <w:tabs>
          <w:tab w:leader="none" w:pos="1283"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97"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14"/>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0" w:lineRule="auto"/>
        <w:tabs>
          <w:tab w:leader="none" w:pos="1283"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27" w:lineRule="auto"/>
        <w:tabs>
          <w:tab w:leader="none" w:pos="645"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10" w:lineRule="exact"/>
        <w:rPr>
          <w:rFonts w:ascii="Calibri" w:cs="Calibri" w:eastAsia="Calibri" w:hAnsi="Calibri"/>
          <w:sz w:val="18"/>
          <w:szCs w:val="18"/>
          <w:color w:val="auto"/>
        </w:rPr>
      </w:pPr>
    </w:p>
    <w:p>
      <w:pPr>
        <w:ind w:left="1300" w:right="680" w:hanging="320"/>
        <w:spacing w:after="0" w:line="242" w:lineRule="auto"/>
        <w:tabs>
          <w:tab w:leader="none" w:pos="1289" w:val="left"/>
        </w:tabs>
        <w:numPr>
          <w:ilvl w:val="1"/>
          <w:numId w:val="14"/>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4"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388"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May 18, 2022</w:t>
      </w:r>
    </w:p>
    <w:p>
      <w:pPr>
        <w:spacing w:after="0" w:line="37" w:lineRule="exact"/>
        <w:rPr>
          <w:sz w:val="20"/>
          <w:szCs w:val="20"/>
          <w:color w:val="auto"/>
        </w:rPr>
      </w:pPr>
    </w:p>
    <w:p>
      <w:pPr>
        <w:ind w:left="6020"/>
        <w:spacing w:after="0"/>
        <w:rPr>
          <w:sz w:val="20"/>
          <w:szCs w:val="20"/>
          <w:color w:val="auto"/>
        </w:rPr>
      </w:pPr>
      <w:r>
        <w:rPr>
          <w:rFonts w:ascii="Calibri" w:cs="Calibri" w:eastAsia="Calibri" w:hAnsi="Calibri"/>
          <w:sz w:val="18"/>
          <w:szCs w:val="18"/>
          <w:u w:val="single" w:color="auto"/>
          <w:color w:val="auto"/>
        </w:rPr>
        <w:t>/s/ Jefrey P. Oldenkamp</w:t>
      </w:r>
    </w:p>
    <w:p>
      <w:pPr>
        <w:spacing w:after="0" w:line="10" w:lineRule="exact"/>
        <w:rPr>
          <w:sz w:val="20"/>
          <w:szCs w:val="20"/>
          <w:color w:val="auto"/>
        </w:rPr>
      </w:pPr>
    </w:p>
    <w:p>
      <w:pPr>
        <w:ind w:left="602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6020"/>
        <w:spacing w:after="0"/>
        <w:rPr>
          <w:sz w:val="20"/>
          <w:szCs w:val="20"/>
          <w:color w:val="auto"/>
        </w:rPr>
      </w:pPr>
      <w:r>
        <w:rPr>
          <w:rFonts w:ascii="Calibri" w:cs="Calibri" w:eastAsia="Calibri" w:hAnsi="Calibri"/>
          <w:sz w:val="18"/>
          <w:szCs w:val="18"/>
          <w:color w:val="auto"/>
        </w:rPr>
        <w:t>Executve Vice President and Chief Financial Ofcer</w:t>
      </w:r>
    </w:p>
    <w:p>
      <w:pPr>
        <w:sectPr>
          <w:pgSz w:w="11900" w:h="16838" w:orient="portrait"/>
          <w:cols w:equalWidth="0" w:num="1">
            <w:col w:w="11240"/>
          </w:cols>
          <w:pgMar w:left="320" w:top="882" w:right="339" w:bottom="1440" w:gutter="0" w:footer="0" w:header="0"/>
        </w:sectPr>
      </w:pPr>
    </w:p>
    <w:bookmarkStart w:id="71" w:name="page72"/>
    <w:bookmarkEnd w:id="71"/>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56" w:lineRule="exact"/>
        <w:rPr>
          <w:sz w:val="20"/>
          <w:szCs w:val="20"/>
          <w:color w:val="auto"/>
        </w:rPr>
      </w:pPr>
    </w:p>
    <w:p>
      <w:pPr>
        <w:ind w:right="320"/>
        <w:spacing w:after="0" w:line="230" w:lineRule="auto"/>
        <w:rPr>
          <w:sz w:val="20"/>
          <w:szCs w:val="20"/>
          <w:color w:val="auto"/>
        </w:rPr>
      </w:pPr>
      <w:r>
        <w:rPr>
          <w:rFonts w:ascii="Calibri" w:cs="Calibri" w:eastAsia="Calibri" w:hAnsi="Calibri"/>
          <w:sz w:val="18"/>
          <w:szCs w:val="18"/>
          <w:color w:val="auto"/>
        </w:rPr>
        <w:t>In connecton with the Annual Report of Hawkins, Inc. (the Company) on Form 10-K for the period ended April 3, 2022, as fled with the Securites and Exchange Commission on the date hereof (the Report), I, Patrick H. Hawkins, Chief Executve Ofcer and President of the Company, certfy, pursuant to 18 U.S.C. § 1350, as adopted pursuant to § 906 of the Sarbanes-Oxley Act of 2002, that:</w:t>
      </w:r>
    </w:p>
    <w:p>
      <w:pPr>
        <w:spacing w:after="0" w:line="79"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(2) The informaton contained in the Report fairly presents, in all material respects, the fnancial conditon and results of operatons of the Company.</w:t>
      </w:r>
    </w:p>
    <w:p>
      <w:pPr>
        <w:spacing w:after="0" w:line="239" w:lineRule="exact"/>
        <w:rPr>
          <w:sz w:val="20"/>
          <w:szCs w:val="20"/>
          <w:color w:val="auto"/>
        </w:rPr>
      </w:pPr>
    </w:p>
    <w:p>
      <w:pPr>
        <w:ind w:left="20"/>
        <w:spacing w:after="0"/>
        <w:rPr>
          <w:sz w:val="20"/>
          <w:szCs w:val="20"/>
          <w:color w:val="auto"/>
        </w:rPr>
      </w:pPr>
      <w:r>
        <w:rPr>
          <w:rFonts w:ascii="Calibri" w:cs="Calibri" w:eastAsia="Calibri" w:hAnsi="Calibri"/>
          <w:sz w:val="18"/>
          <w:szCs w:val="18"/>
          <w:u w:val="single" w:color="auto"/>
          <w:color w:val="auto"/>
        </w:rPr>
        <w:t>/s/ Patrick H. Hawkins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Chief Executve Ofcer and President</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May 18, 2022</w:t>
      </w:r>
    </w:p>
    <w:p>
      <w:pPr>
        <w:sectPr>
          <w:pgSz w:w="11900" w:h="16838" w:orient="portrait"/>
          <w:cols w:equalWidth="0" w:num="1">
            <w:col w:w="11240"/>
          </w:cols>
          <w:pgMar w:left="320" w:top="882" w:right="339" w:bottom="1440" w:gutter="0" w:footer="0" w:header="0"/>
        </w:sectPr>
      </w:pPr>
    </w:p>
    <w:bookmarkStart w:id="72" w:name="page73"/>
    <w:bookmarkEnd w:id="72"/>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10" w:lineRule="exact"/>
        <w:rPr>
          <w:sz w:val="20"/>
          <w:szCs w:val="20"/>
          <w:color w:val="auto"/>
        </w:rPr>
      </w:pPr>
    </w:p>
    <w:p>
      <w:pPr>
        <w:ind w:right="20"/>
        <w:spacing w:after="0" w:line="230" w:lineRule="auto"/>
        <w:rPr>
          <w:sz w:val="20"/>
          <w:szCs w:val="20"/>
          <w:color w:val="auto"/>
        </w:rPr>
      </w:pPr>
      <w:r>
        <w:rPr>
          <w:rFonts w:ascii="Calibri" w:cs="Calibri" w:eastAsia="Calibri" w:hAnsi="Calibri"/>
          <w:sz w:val="18"/>
          <w:szCs w:val="18"/>
          <w:color w:val="auto"/>
        </w:rPr>
        <w:t>In connecton with the Annual Report of Hawkins, Inc. (the Company) on Form 10-K for the period ended April 3, 2022, as fled with the Securites and Exchange Commission on the date hereof (the Report), I, Jefrey P. Oldenkamp, Chief Financial Ofcer of the Company, certfy, pursuant to 18 U.S.C. § 1350, as adopted pursuant to § 906 of the Sarbanes-Oxley Act of 2002, that:</w:t>
      </w:r>
    </w:p>
    <w:p>
      <w:pPr>
        <w:spacing w:after="0" w:line="79"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(2) The informaton contained in the Report fairly presents, in all material respects, the fnancial conditon and results of operatons of the Company.</w:t>
      </w:r>
    </w:p>
    <w:p>
      <w:pPr>
        <w:spacing w:after="0" w:line="239" w:lineRule="exact"/>
        <w:rPr>
          <w:sz w:val="20"/>
          <w:szCs w:val="20"/>
          <w:color w:val="auto"/>
        </w:rPr>
      </w:pPr>
    </w:p>
    <w:p>
      <w:pPr>
        <w:ind w:left="20"/>
        <w:spacing w:after="0"/>
        <w:rPr>
          <w:sz w:val="20"/>
          <w:szCs w:val="20"/>
          <w:color w:val="auto"/>
        </w:rPr>
      </w:pPr>
      <w:r>
        <w:rPr>
          <w:rFonts w:ascii="Calibri" w:cs="Calibri" w:eastAsia="Calibri" w:hAnsi="Calibri"/>
          <w:sz w:val="18"/>
          <w:szCs w:val="18"/>
          <w:u w:val="single" w:color="auto"/>
          <w:color w:val="auto"/>
        </w:rPr>
        <w:t>/s/ Jefrey P. Oldenkamp</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Executve Vice President and Chief Financial Ofcer</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May 18, 2022</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2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31" Type="http://schemas.openxmlformats.org/officeDocument/2006/relationships/hyperlink" Target="http://www.sec.gov/ix?doc=/Archives/edgar/data/46250/000004625020000027/hwkn-20200329.htm" TargetMode="External"/><Relationship Id="rId84" Type="http://schemas.openxmlformats.org/officeDocument/2006/relationships/hyperlink" Target="http://www.sec.gov/Archives/edgar/data/46250/000004625021000012/exhibit32.htm" TargetMode="External"/><Relationship Id="rId85" Type="http://schemas.openxmlformats.org/officeDocument/2006/relationships/hyperlink" Target="http://www.sec.gov/Archives/edgar/data/46250/000089710109002205/hawkins095018_ex3-1.htm" TargetMode="External"/><Relationship Id="rId86" Type="http://schemas.openxmlformats.org/officeDocument/2006/relationships/hyperlink" Target="http://www.sec.gov/Archives/edgar/data/46250/000004625021000019/hwkn10k2021exhibit41.htm" TargetMode="External"/><Relationship Id="rId87" Type="http://schemas.openxmlformats.org/officeDocument/2006/relationships/hyperlink" Target="http://www.sec.gov/Archives/edgar/data/46250/000095012311056962/c65009exv10w1.htm" TargetMode="External"/><Relationship Id="rId88" Type="http://schemas.openxmlformats.org/officeDocument/2006/relationships/hyperlink" Target="http://www.sec.gov/Archives/edgar/data/46250/000095012311073038/c64584exv10w1.htm" TargetMode="External"/><Relationship Id="rId89" Type="http://schemas.openxmlformats.org/officeDocument/2006/relationships/hyperlink" Target="http://www.sec.gov/Archives/edgar/data/46250/000119312518316437/d643918dex991.htm" TargetMode="External"/><Relationship Id="rId90" Type="http://schemas.openxmlformats.org/officeDocument/2006/relationships/hyperlink" Target="http://www.sec.gov/Archives/edgar/data/46250/000004625022000010/exhibit101.htm" TargetMode="External"/><Relationship Id="rId91" Type="http://schemas.openxmlformats.org/officeDocument/2006/relationships/hyperlink" Target="https://www.sec.gov/Archives/edgar/data/46250/000004625019000039/hawkins10qq2092919ex103.htm" TargetMode="External"/><Relationship Id="rId92" Type="http://schemas.openxmlformats.org/officeDocument/2006/relationships/hyperlink" Target="http://www.sec.gov/Archives/edgar/data/46250/000004625020000027/hwkn10k2020exhibit1010.htm" TargetMode="External"/><Relationship Id="rId93" Type="http://schemas.openxmlformats.org/officeDocument/2006/relationships/hyperlink" Target="http://www.sec.gov/Archives/edgar/data/46250/000004625021000019/hwkn10k2021exhibit107.htm" TargetMode="External"/><Relationship Id="rId94" Type="http://schemas.openxmlformats.org/officeDocument/2006/relationships/hyperlink" Target="http://www.sec.gov/Archives/edgar/data/46250/000004625020000016/exhibit161kpmg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2022-05-18T15:19:13Z</dcterms:created>
  <dcterms:modified xsi:type="dcterms:W3CDTF">2022-05-18T15:19:13Z</dcterms:modified>
</cp:coreProperties>
</file>