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Minnesota</w:t>
            </w:r>
          </w:p>
        </w:tc>
        <w:tc>
          <w:tcPr>
            <w:tcW w:w="5800" w:type="dxa"/>
            <w:vAlign w:val="bottom"/>
          </w:tcPr>
          <w:p>
            <w:pPr>
              <w:jc w:val="right"/>
              <w:ind w:right="2279"/>
              <w:spacing w:after="0"/>
              <w:rPr>
                <w:sz w:val="20"/>
                <w:szCs w:val="20"/>
                <w:color w:val="auto"/>
              </w:rPr>
            </w:pPr>
            <w:r>
              <w:rPr>
                <w:rFonts w:ascii="Arial" w:cs="Arial" w:eastAsia="Arial" w:hAnsi="Arial"/>
                <w:sz w:val="18"/>
                <w:szCs w:val="18"/>
                <w:b w:val="1"/>
                <w:bCs w:val="1"/>
                <w:color w:val="auto"/>
              </w:rPr>
              <w:t>0-7647</w:t>
            </w:r>
          </w:p>
        </w:tc>
        <w:tc>
          <w:tcPr>
            <w:tcW w:w="2120" w:type="dxa"/>
            <w:vAlign w:val="bottom"/>
          </w:tcPr>
          <w:p>
            <w:pPr>
              <w:jc w:val="right"/>
              <w:ind w:right="482"/>
              <w:spacing w:after="0"/>
              <w:rPr>
                <w:sz w:val="20"/>
                <w:szCs w:val="20"/>
                <w:color w:val="auto"/>
              </w:rPr>
            </w:pPr>
            <w:r>
              <w:rPr>
                <w:rFonts w:ascii="Arial" w:cs="Arial" w:eastAsia="Arial" w:hAnsi="Arial"/>
                <w:sz w:val="18"/>
                <w:szCs w:val="18"/>
                <w:b w:val="1"/>
                <w:bCs w:val="1"/>
                <w:color w:val="auto"/>
              </w:rPr>
              <w:t>41-0771293</w:t>
            </w:r>
          </w:p>
        </w:tc>
      </w:tr>
      <w:tr>
        <w:trPr>
          <w:trHeight w:val="174"/>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(State of Incorporation)</w:t>
            </w:r>
          </w:p>
        </w:tc>
        <w:tc>
          <w:tcPr>
            <w:tcW w:w="5800" w:type="dxa"/>
            <w:vAlign w:val="bottom"/>
          </w:tcPr>
          <w:p>
            <w:pPr>
              <w:jc w:val="center"/>
              <w:ind w:left="479"/>
              <w:spacing w:after="0"/>
              <w:rPr>
                <w:sz w:val="20"/>
                <w:szCs w:val="20"/>
                <w:color w:val="auto"/>
              </w:rPr>
            </w:pPr>
            <w:r>
              <w:rPr>
                <w:rFonts w:ascii="Arial" w:cs="Arial" w:eastAsia="Arial" w:hAnsi="Arial"/>
                <w:sz w:val="14"/>
                <w:szCs w:val="14"/>
                <w:b w:val="1"/>
                <w:bCs w:val="1"/>
                <w:color w:val="auto"/>
                <w:w w:val="87"/>
              </w:rPr>
              <w:t>(Commission File Number)</w:t>
            </w:r>
          </w:p>
        </w:tc>
        <w:tc>
          <w:tcPr>
            <w:tcW w:w="2120" w:type="dxa"/>
            <w:vAlign w:val="bottom"/>
          </w:tcPr>
          <w:p>
            <w:pPr>
              <w:jc w:val="center"/>
              <w:ind w:left="8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1400" w:type="dxa"/>
            <w:vAlign w:val="bottom"/>
          </w:tcPr>
          <w:p>
            <w:pPr>
              <w:spacing w:after="0"/>
              <w:rPr>
                <w:sz w:val="24"/>
                <w:szCs w:val="24"/>
                <w:color w:val="auto"/>
              </w:rPr>
            </w:pPr>
          </w:p>
        </w:tc>
        <w:tc>
          <w:tcPr>
            <w:tcW w:w="5800" w:type="dxa"/>
            <w:vAlign w:val="bottom"/>
          </w:tcPr>
          <w:p>
            <w:pPr>
              <w:jc w:val="center"/>
              <w:ind w:right="3379"/>
              <w:spacing w:after="0"/>
              <w:rPr>
                <w:sz w:val="20"/>
                <w:szCs w:val="20"/>
                <w:color w:val="auto"/>
              </w:rPr>
            </w:pPr>
            <w:r>
              <w:rPr>
                <w:rFonts w:ascii="Arial" w:cs="Arial" w:eastAsia="Arial" w:hAnsi="Arial"/>
                <w:sz w:val="18"/>
                <w:szCs w:val="18"/>
                <w:b w:val="1"/>
                <w:bCs w:val="1"/>
                <w:color w:val="auto"/>
                <w:w w:val="87"/>
              </w:rPr>
              <w:t>3100 East Hennepin Avenue</w:t>
            </w:r>
          </w:p>
        </w:tc>
        <w:tc>
          <w:tcPr>
            <w:tcW w:w="2120" w:type="dxa"/>
            <w:vAlign w:val="bottom"/>
          </w:tcPr>
          <w:p>
            <w:pPr>
              <w:spacing w:after="0"/>
              <w:rPr>
                <w:sz w:val="24"/>
                <w:szCs w:val="24"/>
                <w:color w:val="auto"/>
              </w:rPr>
            </w:pPr>
          </w:p>
        </w:tc>
      </w:tr>
      <w:tr>
        <w:trPr>
          <w:trHeight w:val="231"/>
        </w:trPr>
        <w:tc>
          <w:tcPr>
            <w:tcW w:w="1400" w:type="dxa"/>
            <w:vAlign w:val="bottom"/>
          </w:tcPr>
          <w:p>
            <w:pPr>
              <w:spacing w:after="0"/>
              <w:rPr>
                <w:sz w:val="20"/>
                <w:szCs w:val="20"/>
                <w:color w:val="auto"/>
              </w:rPr>
            </w:pPr>
          </w:p>
        </w:tc>
        <w:tc>
          <w:tcPr>
            <w:tcW w:w="5800" w:type="dxa"/>
            <w:vAlign w:val="bottom"/>
          </w:tcPr>
          <w:p>
            <w:pPr>
              <w:jc w:val="center"/>
              <w:ind w:right="3399"/>
              <w:spacing w:after="0"/>
              <w:rPr>
                <w:sz w:val="20"/>
                <w:szCs w:val="20"/>
                <w:color w:val="auto"/>
              </w:rPr>
            </w:pPr>
            <w:r>
              <w:rPr>
                <w:rFonts w:ascii="Arial" w:cs="Arial" w:eastAsia="Arial" w:hAnsi="Arial"/>
                <w:sz w:val="18"/>
                <w:szCs w:val="18"/>
                <w:b w:val="1"/>
                <w:bCs w:val="1"/>
                <w:color w:val="auto"/>
                <w:w w:val="92"/>
              </w:rPr>
              <w:t>Minneapolis, MN</w:t>
            </w:r>
          </w:p>
        </w:tc>
        <w:tc>
          <w:tcPr>
            <w:tcW w:w="2120" w:type="dxa"/>
            <w:vAlign w:val="bottom"/>
          </w:tcPr>
          <w:p>
            <w:pPr>
              <w:jc w:val="right"/>
              <w:ind w:right="622"/>
              <w:spacing w:after="0"/>
              <w:rPr>
                <w:sz w:val="20"/>
                <w:szCs w:val="20"/>
                <w:color w:val="auto"/>
              </w:rPr>
            </w:pPr>
            <w:r>
              <w:rPr>
                <w:rFonts w:ascii="Arial" w:cs="Arial" w:eastAsia="Arial" w:hAnsi="Arial"/>
                <w:sz w:val="18"/>
                <w:szCs w:val="18"/>
                <w:b w:val="1"/>
                <w:bCs w:val="1"/>
                <w:color w:val="auto"/>
              </w:rPr>
              <w:t>55413</w:t>
            </w:r>
          </w:p>
        </w:tc>
      </w:tr>
      <w:tr>
        <w:trPr>
          <w:trHeight w:val="174"/>
        </w:trPr>
        <w:tc>
          <w:tcPr>
            <w:tcW w:w="1400" w:type="dxa"/>
            <w:vAlign w:val="bottom"/>
          </w:tcPr>
          <w:p>
            <w:pPr>
              <w:spacing w:after="0"/>
              <w:rPr>
                <w:sz w:val="15"/>
                <w:szCs w:val="15"/>
                <w:color w:val="auto"/>
              </w:rPr>
            </w:pPr>
          </w:p>
        </w:tc>
        <w:tc>
          <w:tcPr>
            <w:tcW w:w="5800" w:type="dxa"/>
            <w:vAlign w:val="bottom"/>
          </w:tcPr>
          <w:p>
            <w:pPr>
              <w:jc w:val="center"/>
              <w:ind w:right="3399"/>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120" w:type="dxa"/>
            <w:vAlign w:val="bottom"/>
          </w:tcPr>
          <w:p>
            <w:pPr>
              <w:jc w:val="center"/>
              <w:ind w:left="202"/>
              <w:spacing w:after="0"/>
              <w:rPr>
                <w:sz w:val="20"/>
                <w:szCs w:val="20"/>
                <w:color w:val="auto"/>
              </w:rPr>
            </w:pPr>
            <w:r>
              <w:rPr>
                <w:rFonts w:ascii="Arial" w:cs="Arial" w:eastAsia="Arial" w:hAnsi="Arial"/>
                <w:sz w:val="14"/>
                <w:szCs w:val="14"/>
                <w:b w:val="1"/>
                <w:bCs w:val="1"/>
                <w:color w:val="auto"/>
                <w:w w:val="92"/>
              </w:rPr>
              <w:t>(Zip Code)</w:t>
            </w:r>
          </w:p>
        </w:tc>
      </w:tr>
      <w:tr>
        <w:trPr>
          <w:trHeight w:val="363"/>
        </w:trPr>
        <w:tc>
          <w:tcPr>
            <w:tcW w:w="1400" w:type="dxa"/>
            <w:vAlign w:val="bottom"/>
          </w:tcPr>
          <w:p>
            <w:pPr>
              <w:spacing w:after="0"/>
              <w:rPr>
                <w:sz w:val="24"/>
                <w:szCs w:val="24"/>
                <w:color w:val="auto"/>
              </w:rPr>
            </w:pPr>
          </w:p>
        </w:tc>
        <w:tc>
          <w:tcPr>
            <w:tcW w:w="5800" w:type="dxa"/>
            <w:vAlign w:val="bottom"/>
          </w:tcPr>
          <w:p>
            <w:pPr>
              <w:ind w:left="480"/>
              <w:spacing w:after="0"/>
              <w:rPr>
                <w:sz w:val="20"/>
                <w:szCs w:val="20"/>
                <w:color w:val="auto"/>
              </w:rPr>
            </w:pPr>
            <w:r>
              <w:rPr>
                <w:rFonts w:ascii="Arial" w:cs="Arial" w:eastAsia="Arial" w:hAnsi="Arial"/>
                <w:sz w:val="18"/>
                <w:szCs w:val="18"/>
                <w:b w:val="1"/>
                <w:bCs w:val="1"/>
                <w:color w:val="auto"/>
                <w:w w:val="90"/>
              </w:rPr>
              <w:t>Registrant’s Telephone Number, Including Area Code (612) 331-6910</w:t>
            </w:r>
          </w:p>
        </w:tc>
        <w:tc>
          <w:tcPr>
            <w:tcW w:w="21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August 2, 2012, our board of directors and John S. McKeon, chairman of our board of directors, agreed to terminate the compensation arrangement relating to Mr. McKeon’s provision of consulting services to the Company, effective as of the same date. The material terms of the arrangement in effect at the time of its termination were previously disclosed under Item 1.01 of the current report on Form 8-K filed by our company on August 11, 2009 (File No. 0-7647), which is incorporated herein by reference.</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our annual meeting of shareholders held August 2, 2012, the following proposals, each as described in further detail in the definitive proxy statement filed by our company on June 27,2012 (File No. 0-7647), were voted upon by our shareholders as set forth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One – Election of Directors</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Our shareholders elected each of the seven nominees to serve as director for a term of one year, which term shall expire at the next annual meeting of shareholders, based on the following votes: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Director Nominee</w:t>
            </w:r>
          </w:p>
        </w:tc>
        <w:tc>
          <w:tcPr>
            <w:tcW w:w="4640" w:type="dxa"/>
            <w:vAlign w:val="bottom"/>
          </w:tcPr>
          <w:p>
            <w:pPr>
              <w:spacing w:after="0"/>
              <w:rPr>
                <w:sz w:val="15"/>
                <w:szCs w:val="15"/>
                <w:color w:val="auto"/>
              </w:rPr>
            </w:pP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For</w:t>
            </w: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Against</w:t>
            </w: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Abstain</w:t>
            </w:r>
          </w:p>
        </w:tc>
      </w:tr>
      <w:tr>
        <w:trPr>
          <w:trHeight w:val="203"/>
        </w:trPr>
        <w:tc>
          <w:tcPr>
            <w:tcW w:w="5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S. McKeon</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6,291,187.215</w:t>
            </w:r>
          </w:p>
        </w:tc>
        <w:tc>
          <w:tcPr>
            <w:tcW w:w="3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2,029,315.950</w:t>
            </w:r>
          </w:p>
        </w:tc>
        <w:tc>
          <w:tcPr>
            <w:tcW w:w="3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5,842.424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Patrick H. Hawkins</w:t>
            </w: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8,263,172.165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60,141.000</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3,032.424</w:t>
            </w:r>
          </w:p>
        </w:tc>
        <w:tc>
          <w:tcPr>
            <w:tcW w:w="10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Faulconbridge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7,428,481.215</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893,793.950</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4,070.424</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Duane M. Jergenson</w:t>
            </w: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8,246,010.215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73,992.950</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6,342.424</w:t>
            </w:r>
          </w:p>
        </w:tc>
        <w:tc>
          <w:tcPr>
            <w:tcW w:w="10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Daryl I. Skaar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8,103,764.215</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210,834.950</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11,746.424</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James T. Thompson</w:t>
            </w: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8,250,133.215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70,222.950</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5,989.424</w:t>
            </w:r>
          </w:p>
        </w:tc>
        <w:tc>
          <w:tcPr>
            <w:tcW w:w="10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L. Wright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7,400,546.215</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919,856.950</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5,942.424</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Two – Non-Binding Advisory Vote on Executive Compensation</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shareholders approved, on an advisory basis, the compensation of the Company’s executive officers as disclosed in the proxy statement distributed in connection with the annual meeting, based on the votes listed below:</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8"/>
              </w:rPr>
              <w:t>For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1440" w:type="dxa"/>
            <w:vAlign w:val="bottom"/>
          </w:tcPr>
          <w:p>
            <w:pPr>
              <w:spacing w:after="0"/>
              <w:rPr>
                <w:sz w:val="14"/>
                <w:szCs w:val="14"/>
                <w:color w:val="auto"/>
              </w:rPr>
            </w:pPr>
          </w:p>
        </w:tc>
        <w:tc>
          <w:tcPr>
            <w:tcW w:w="232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85"/>
              </w:rPr>
              <w:t>Abstain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0"/>
        </w:trPr>
        <w:tc>
          <w:tcPr>
            <w:tcW w:w="1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3"/>
        </w:trPr>
        <w:tc>
          <w:tcPr>
            <w:tcW w:w="3900" w:type="dxa"/>
            <w:vAlign w:val="bottom"/>
            <w:gridSpan w:val="3"/>
            <w:shd w:val="clear" w:color="auto" w:fill="CCEEFF"/>
          </w:tcPr>
          <w:p>
            <w:pPr>
              <w:jc w:val="right"/>
              <w:ind w:right="2160"/>
              <w:spacing w:after="0" w:line="202" w:lineRule="exact"/>
              <w:rPr>
                <w:sz w:val="20"/>
                <w:szCs w:val="20"/>
                <w:color w:val="auto"/>
              </w:rPr>
            </w:pPr>
            <w:r>
              <w:rPr>
                <w:rFonts w:ascii="Arial" w:cs="Arial" w:eastAsia="Arial" w:hAnsi="Arial"/>
                <w:sz w:val="18"/>
                <w:szCs w:val="18"/>
                <w:color w:val="auto"/>
              </w:rPr>
              <w:t>7,730,743.003</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446,349.889</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149,252.697</w:t>
            </w:r>
          </w:p>
        </w:tc>
        <w:tc>
          <w:tcPr>
            <w:tcW w:w="1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2"/>
              <w:spacing w:after="0" w:line="203" w:lineRule="exact"/>
              <w:rPr>
                <w:sz w:val="20"/>
                <w:szCs w:val="20"/>
                <w:color w:val="auto"/>
              </w:rPr>
            </w:pPr>
            <w:r>
              <w:rPr>
                <w:rFonts w:ascii="Arial" w:cs="Arial" w:eastAsia="Arial" w:hAnsi="Arial"/>
                <w:sz w:val="18"/>
                <w:szCs w:val="18"/>
                <w:color w:val="auto"/>
              </w:rPr>
              <w:t>0</w:t>
            </w:r>
          </w:p>
        </w:tc>
      </w:tr>
    </w:tbl>
    <w:p>
      <w:pPr>
        <w:sectPr>
          <w:pgSz w:w="11900" w:h="16838" w:orient="portrait"/>
          <w:cols w:equalWidth="0" w:num="1">
            <w:col w:w="11300"/>
          </w:cols>
          <w:pgMar w:left="240" w:top="274" w:right="3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6, 2012</w:t>
      </w:r>
      <w:r>
        <w:rPr>
          <w:sz w:val="20"/>
          <w:szCs w:val="20"/>
          <w:color w:val="auto"/>
        </w:rPr>
        <w:tab/>
      </w:r>
      <w:r>
        <w:rPr>
          <w:rFonts w:ascii="Arial" w:cs="Arial" w:eastAsia="Arial" w:hAnsi="Arial"/>
          <w:sz w:val="15"/>
          <w:szCs w:val="15"/>
          <w:color w:val="auto"/>
        </w:rPr>
        <w:t>/s/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G. Erstad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Vice President, General Counsel and Secretary</w:t>
      </w:r>
    </w:p>
    <w:sectPr>
      <w:pgSz w:w="11900" w:h="16838" w:orient="portrait"/>
      <w:cols w:equalWidth="0" w:num="1">
        <w:col w:w="10540"/>
      </w:cols>
      <w:pgMar w:left="240" w:top="28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2019-12-09T06:58:11Z</dcterms:created>
  <dcterms:modified xsi:type="dcterms:W3CDTF">2019-12-09T06:58:11Z</dcterms:modified>
</cp:coreProperties>
</file>