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PAULSON KEENAN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08/23/2005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V.P., Water Treatment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08/23/2005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(1)</w:t>
            </w:r>
          </w:p>
        </w:tc>
        <w:tc>
          <w:tcPr>
            <w:tcW w:w="720" w:type="dxa"/>
            <w:vAlign w:val="bottom"/>
            <w:tcBorders>
              <w:bottom w:val="single" w:sz="8" w:color="2C2C2C"/>
            </w:tcBorders>
          </w:tcPr>
          <w:p>
            <w:pPr>
              <w:jc w:val="right"/>
              <w:ind w:right="29"/>
              <w:spacing w:after="0"/>
              <w:rPr>
                <w:sz w:val="20"/>
                <w:szCs w:val="20"/>
                <w:color w:val="auto"/>
              </w:rPr>
            </w:pPr>
            <w:r>
              <w:rPr>
                <w:rFonts w:ascii="Arial" w:cs="Arial" w:eastAsia="Arial" w:hAnsi="Arial"/>
                <w:sz w:val="18"/>
                <w:szCs w:val="18"/>
                <w:color w:val="0000FF"/>
              </w:rPr>
              <w:t>2,000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tcPr>
          <w:p>
            <w:pPr>
              <w:jc w:val="center"/>
              <w:ind w:left="297"/>
              <w:spacing w:after="0"/>
              <w:rPr>
                <w:sz w:val="20"/>
                <w:szCs w:val="20"/>
                <w:color w:val="auto"/>
              </w:rPr>
            </w:pPr>
            <w:r>
              <w:rPr>
                <w:rFonts w:ascii="Arial" w:cs="Arial" w:eastAsia="Arial" w:hAnsi="Arial"/>
                <w:sz w:val="11"/>
                <w:szCs w:val="11"/>
                <w:color w:val="008000"/>
              </w:rPr>
              <w:t>(2)</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2,174.533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08/23/2005</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jc w:val="center"/>
              <w:ind w:right="299"/>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(1)</w:t>
            </w:r>
          </w:p>
        </w:tc>
        <w:tc>
          <w:tcPr>
            <w:tcW w:w="720" w:type="dxa"/>
            <w:vAlign w:val="bottom"/>
            <w:vMerge w:val="restart"/>
          </w:tcPr>
          <w:p>
            <w:pPr>
              <w:jc w:val="right"/>
              <w:ind w:right="29"/>
              <w:spacing w:after="0"/>
              <w:rPr>
                <w:sz w:val="20"/>
                <w:szCs w:val="20"/>
                <w:color w:val="auto"/>
              </w:rPr>
            </w:pPr>
            <w:r>
              <w:rPr>
                <w:rFonts w:ascii="Arial" w:cs="Arial" w:eastAsia="Arial" w:hAnsi="Arial"/>
                <w:sz w:val="18"/>
                <w:szCs w:val="18"/>
                <w:color w:val="0000FF"/>
              </w:rPr>
              <w:t>2,000</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jc w:val="center"/>
              <w:ind w:left="297"/>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5,700.088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08/25/2005</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S</w:t>
            </w:r>
          </w:p>
        </w:tc>
        <w:tc>
          <w:tcPr>
            <w:tcW w:w="720" w:type="dxa"/>
            <w:vAlign w:val="bottom"/>
            <w:vMerge w:val="restart"/>
          </w:tcPr>
          <w:p>
            <w:pPr>
              <w:jc w:val="right"/>
              <w:ind w:right="29"/>
              <w:spacing w:after="0"/>
              <w:rPr>
                <w:sz w:val="20"/>
                <w:szCs w:val="20"/>
                <w:color w:val="auto"/>
              </w:rPr>
            </w:pPr>
            <w:r>
              <w:rPr>
                <w:rFonts w:ascii="Arial" w:cs="Arial" w:eastAsia="Arial" w:hAnsi="Arial"/>
                <w:sz w:val="18"/>
                <w:szCs w:val="18"/>
                <w:color w:val="0000FF"/>
              </w:rPr>
              <w:t>2,000</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jc w:val="center"/>
              <w:ind w:left="5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12.865</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3,700.088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65,990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ESOP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0"/>
              </w:rPr>
              <w:t>Trustees</w:t>
            </w:r>
            <w:r>
              <w:rPr>
                <w:rFonts w:ascii="Arial" w:cs="Arial" w:eastAsia="Arial" w:hAnsi="Arial"/>
                <w:sz w:val="22"/>
                <w:szCs w:val="22"/>
                <w:color w:val="008000"/>
                <w:w w:val="9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Gift to daughter who is the reporting person's dependant. The reporting person disclaims beneficial ownership of the shares held by her daughter, and this report should not be deemed an admission that the reporting person is the beneficial owner of her daughter's shares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last report dated 3/31/05.</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 Morgan Burns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Keenan A. Paulson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08/29/2005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442"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2019-12-17T08:08:57Z</dcterms:created>
  <dcterms:modified xsi:type="dcterms:W3CDTF">2019-12-17T08:08:57Z</dcterms:modified>
</cp:coreProperties>
</file>