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28)*</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6350</wp:posOffset>
            </wp:positionV>
            <wp:extent cx="30943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(Name of Issuer)</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6350</wp:posOffset>
            </wp:positionV>
            <wp:extent cx="30943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(Title of Class of Securities)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6350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(CUSIP Number)</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6350</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1"/>
          <w:szCs w:val="1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5"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13d-1(b)</w:t>
      </w:r>
    </w:p>
    <w:p>
      <w:pPr>
        <w:spacing w:after="0" w:line="223" w:lineRule="exact"/>
        <w:rPr>
          <w:sz w:val="24"/>
          <w:szCs w:val="24"/>
          <w:color w:val="auto"/>
        </w:rPr>
      </w:pPr>
    </w:p>
    <w:p>
      <w:pPr>
        <w:ind w:left="20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13d-1(c)</w:t>
      </w:r>
    </w:p>
    <w:p>
      <w:pPr>
        <w:spacing w:after="0" w:line="220" w:lineRule="exact"/>
        <w:rPr>
          <w:sz w:val="24"/>
          <w:szCs w:val="24"/>
          <w:color w:val="auto"/>
        </w:rPr>
      </w:pPr>
    </w:p>
    <w:p>
      <w:pPr>
        <w:ind w:left="20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13d-1(d)</w:t>
      </w:r>
    </w:p>
    <w:p>
      <w:pPr>
        <w:spacing w:after="0" w:line="212" w:lineRule="exact"/>
        <w:rPr>
          <w:sz w:val="24"/>
          <w:szCs w:val="24"/>
          <w:color w:val="auto"/>
        </w:rPr>
      </w:pPr>
    </w:p>
    <w:p>
      <w:pPr>
        <w:ind w:left="340" w:right="20" w:hanging="332"/>
        <w:spacing w:after="0" w:line="261" w:lineRule="auto"/>
        <w:tabs>
          <w:tab w:leader="none" w:pos="33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8"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87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3"/>
        </w:trPr>
        <w:tc>
          <w:tcPr>
            <w:tcW w:w="3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420261109</w:t>
            </w:r>
          </w:p>
        </w:tc>
        <w:tc>
          <w:tcPr>
            <w:tcW w:w="3780" w:type="dxa"/>
            <w:vAlign w:val="bottom"/>
            <w:tcBorders>
              <w:right w:val="single" w:sz="8" w:color="auto"/>
            </w:tcBorders>
          </w:tcPr>
          <w:p>
            <w:pPr>
              <w:ind w:left="1720"/>
              <w:spacing w:after="0"/>
              <w:rPr>
                <w:sz w:val="20"/>
                <w:szCs w:val="20"/>
                <w:color w:val="auto"/>
              </w:rPr>
            </w:pPr>
            <w:r>
              <w:rPr>
                <w:rFonts w:ascii="Arial" w:cs="Arial" w:eastAsia="Arial" w:hAnsi="Arial"/>
                <w:sz w:val="18"/>
                <w:szCs w:val="18"/>
                <w:b w:val="1"/>
                <w:bCs w:val="1"/>
                <w:color w:val="auto"/>
              </w:rPr>
              <w:t>13G</w:t>
            </w:r>
          </w:p>
        </w:tc>
        <w:tc>
          <w:tcPr>
            <w:tcW w:w="376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Page 2 of 5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76835</wp:posOffset>
            </wp:positionV>
            <wp:extent cx="7140575" cy="4620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0575" cy="4620895"/>
                    </a:xfrm>
                    <a:prstGeom prst="rect">
                      <a:avLst/>
                    </a:prstGeom>
                    <a:noFill/>
                  </pic:spPr>
                </pic:pic>
              </a:graphicData>
            </a:graphic>
          </wp:anchor>
        </w:drawing>
      </w:r>
    </w:p>
    <w:p>
      <w:pPr>
        <w:spacing w:after="0" w:line="99" w:lineRule="exact"/>
        <w:rPr>
          <w:sz w:val="20"/>
          <w:szCs w:val="20"/>
          <w:color w:val="auto"/>
        </w:rPr>
      </w:pPr>
    </w:p>
    <w:p>
      <w:pPr>
        <w:ind w:left="680" w:hanging="45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Hawkins, Inc. Employee Stock Ownership Plan and Trust (Tax ID: 41-0771293)</w:t>
      </w:r>
    </w:p>
    <w:p>
      <w:pPr>
        <w:ind w:left="680"/>
        <w:spacing w:after="0"/>
        <w:rPr>
          <w:sz w:val="20"/>
          <w:szCs w:val="20"/>
          <w:color w:val="auto"/>
        </w:rPr>
      </w:pPr>
      <w:r>
        <w:rPr>
          <w:rFonts w:ascii="Arial" w:cs="Arial" w:eastAsia="Arial" w:hAnsi="Arial"/>
          <w:sz w:val="18"/>
          <w:szCs w:val="18"/>
          <w:color w:val="auto"/>
        </w:rPr>
        <w:t>Hawkins, Inc. Employee Stock Ownership Plan for Certain Collectively Bargained Employees and Trust (Tax ID: 41-0771293)</w:t>
      </w:r>
    </w:p>
    <w:p>
      <w:pPr>
        <w:ind w:left="680" w:hanging="452"/>
        <w:spacing w:after="0" w:line="213" w:lineRule="auto"/>
        <w:tabs>
          <w:tab w:leader="none" w:pos="680" w:val="left"/>
        </w:tabs>
        <w:numPr>
          <w:ilvl w:val="0"/>
          <w:numId w:val="4"/>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CHECK THE APPROPRIATE BOX IF A MEMBER OF A GROUP (a) </w:t>
      </w:r>
      <w:r>
        <w:rPr>
          <w:rFonts w:ascii="Arial" w:cs="Arial" w:eastAsia="Arial" w:hAnsi="Arial"/>
          <w:sz w:val="21"/>
          <w:szCs w:val="21"/>
          <w:color w:val="auto"/>
        </w:rPr>
        <w:t>o</w:t>
      </w:r>
    </w:p>
    <w:p>
      <w:pPr>
        <w:spacing w:after="0" w:line="254"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p>
      <w:pPr>
        <w:spacing w:after="0" w:line="102" w:lineRule="exact"/>
        <w:rPr>
          <w:sz w:val="20"/>
          <w:szCs w:val="20"/>
          <w:color w:val="auto"/>
        </w:rPr>
      </w:pPr>
    </w:p>
    <w:p>
      <w:pPr>
        <w:ind w:left="680" w:hanging="452"/>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36" w:lineRule="exact"/>
        <w:rPr>
          <w:sz w:val="20"/>
          <w:szCs w:val="20"/>
          <w:color w:val="auto"/>
        </w:rPr>
      </w:pPr>
    </w:p>
    <w:p>
      <w:pPr>
        <w:ind w:left="680" w:right="6800" w:hanging="452"/>
        <w:spacing w:after="0" w:line="342" w:lineRule="auto"/>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Minnesota</w:t>
      </w:r>
    </w:p>
    <w:p>
      <w:pPr>
        <w:spacing w:after="0" w:line="4" w:lineRule="exact"/>
        <w:rPr>
          <w:sz w:val="20"/>
          <w:szCs w:val="20"/>
          <w:color w:val="auto"/>
        </w:rPr>
      </w:pPr>
    </w:p>
    <w:p>
      <w:pPr>
        <w:ind w:left="3760" w:hanging="522"/>
        <w:spacing w:after="0"/>
        <w:tabs>
          <w:tab w:leader="none" w:pos="37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144"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2100" w:type="dxa"/>
            <w:vAlign w:val="bottom"/>
            <w:vMerge w:val="restart"/>
          </w:tcPr>
          <w:p>
            <w:pPr>
              <w:jc w:val="center"/>
              <w:ind w:right="772"/>
              <w:spacing w:after="0"/>
              <w:rPr>
                <w:sz w:val="20"/>
                <w:szCs w:val="20"/>
                <w:color w:val="auto"/>
              </w:rPr>
            </w:pPr>
            <w:r>
              <w:rPr>
                <w:rFonts w:ascii="Arial" w:cs="Arial" w:eastAsia="Arial" w:hAnsi="Arial"/>
                <w:sz w:val="18"/>
                <w:szCs w:val="18"/>
                <w:color w:val="auto"/>
                <w:w w:val="96"/>
              </w:rPr>
              <w:t>NUMBER OF</w:t>
            </w:r>
          </w:p>
        </w:tc>
        <w:tc>
          <w:tcPr>
            <w:tcW w:w="700" w:type="dxa"/>
            <w:vAlign w:val="bottom"/>
            <w:tcBorders>
              <w:bottom w:val="single" w:sz="8" w:color="auto"/>
            </w:tcBorders>
          </w:tcPr>
          <w:p>
            <w:pPr>
              <w:spacing w:after="0"/>
              <w:rPr>
                <w:sz w:val="20"/>
                <w:szCs w:val="20"/>
                <w:color w:val="auto"/>
              </w:rPr>
            </w:pPr>
          </w:p>
        </w:tc>
        <w:tc>
          <w:tcPr>
            <w:tcW w:w="76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100" w:type="dxa"/>
            <w:vAlign w:val="bottom"/>
            <w:vMerge w:val="continue"/>
          </w:tcPr>
          <w:p>
            <w:pPr>
              <w:spacing w:after="0" w:line="20" w:lineRule="exact"/>
              <w:rPr>
                <w:sz w:val="1"/>
                <w:szCs w:val="1"/>
                <w:color w:val="auto"/>
              </w:rPr>
            </w:pPr>
          </w:p>
        </w:tc>
        <w:tc>
          <w:tcPr>
            <w:tcW w:w="700" w:type="dxa"/>
            <w:vAlign w:val="bottom"/>
            <w:vMerge w:val="restart"/>
          </w:tcPr>
          <w:p>
            <w:pPr>
              <w:jc w:val="right"/>
              <w:ind w:right="130"/>
              <w:spacing w:after="0" w:line="196" w:lineRule="exact"/>
              <w:rPr>
                <w:sz w:val="20"/>
                <w:szCs w:val="20"/>
                <w:color w:val="auto"/>
              </w:rPr>
            </w:pPr>
            <w:r>
              <w:rPr>
                <w:rFonts w:ascii="Arial" w:cs="Arial" w:eastAsia="Arial" w:hAnsi="Arial"/>
                <w:sz w:val="18"/>
                <w:szCs w:val="18"/>
                <w:b w:val="1"/>
                <w:bCs w:val="1"/>
                <w:color w:val="auto"/>
              </w:rPr>
              <w:t>6</w:t>
            </w:r>
          </w:p>
        </w:tc>
        <w:tc>
          <w:tcPr>
            <w:tcW w:w="7600" w:type="dxa"/>
            <w:vAlign w:val="bottom"/>
            <w:vMerge w:val="restart"/>
          </w:tcPr>
          <w:p>
            <w:pPr>
              <w:ind w:left="220"/>
              <w:spacing w:after="0" w:line="19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line="20" w:lineRule="exact"/>
              <w:rPr>
                <w:sz w:val="1"/>
                <w:szCs w:val="1"/>
                <w:color w:val="auto"/>
              </w:rPr>
            </w:pPr>
          </w:p>
        </w:tc>
      </w:tr>
      <w:tr>
        <w:trPr>
          <w:trHeight w:val="176"/>
        </w:trPr>
        <w:tc>
          <w:tcPr>
            <w:tcW w:w="2100" w:type="dxa"/>
            <w:vAlign w:val="bottom"/>
          </w:tcPr>
          <w:p>
            <w:pPr>
              <w:jc w:val="center"/>
              <w:ind w:right="752"/>
              <w:spacing w:after="0" w:line="176" w:lineRule="exact"/>
              <w:rPr>
                <w:sz w:val="20"/>
                <w:szCs w:val="20"/>
                <w:color w:val="auto"/>
              </w:rPr>
            </w:pPr>
            <w:r>
              <w:rPr>
                <w:rFonts w:ascii="Arial" w:cs="Arial" w:eastAsia="Arial" w:hAnsi="Arial"/>
                <w:sz w:val="18"/>
                <w:szCs w:val="18"/>
                <w:color w:val="auto"/>
                <w:w w:val="94"/>
              </w:rPr>
              <w:t>SHARES</w:t>
            </w:r>
          </w:p>
        </w:tc>
        <w:tc>
          <w:tcPr>
            <w:tcW w:w="700" w:type="dxa"/>
            <w:vAlign w:val="bottom"/>
            <w:vMerge w:val="continue"/>
          </w:tcPr>
          <w:p>
            <w:pPr>
              <w:spacing w:after="0"/>
              <w:rPr>
                <w:sz w:val="15"/>
                <w:szCs w:val="15"/>
                <w:color w:val="auto"/>
              </w:rPr>
            </w:pPr>
          </w:p>
        </w:tc>
        <w:tc>
          <w:tcPr>
            <w:tcW w:w="7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00" w:type="dxa"/>
            <w:vAlign w:val="bottom"/>
          </w:tcPr>
          <w:p>
            <w:pPr>
              <w:jc w:val="center"/>
              <w:ind w:right="752"/>
              <w:spacing w:after="0" w:line="176" w:lineRule="exact"/>
              <w:rPr>
                <w:sz w:val="20"/>
                <w:szCs w:val="20"/>
                <w:color w:val="auto"/>
              </w:rPr>
            </w:pPr>
            <w:r>
              <w:rPr>
                <w:rFonts w:ascii="Arial" w:cs="Arial" w:eastAsia="Arial" w:hAnsi="Arial"/>
                <w:sz w:val="18"/>
                <w:szCs w:val="18"/>
                <w:color w:val="auto"/>
                <w:w w:val="99"/>
              </w:rPr>
              <w:t>BENEFICIALLY</w:t>
            </w:r>
          </w:p>
        </w:tc>
        <w:tc>
          <w:tcPr>
            <w:tcW w:w="700" w:type="dxa"/>
            <w:vAlign w:val="bottom"/>
          </w:tcPr>
          <w:p>
            <w:pPr>
              <w:spacing w:after="0"/>
              <w:rPr>
                <w:sz w:val="15"/>
                <w:szCs w:val="15"/>
                <w:color w:val="auto"/>
              </w:rPr>
            </w:pPr>
          </w:p>
        </w:tc>
        <w:tc>
          <w:tcPr>
            <w:tcW w:w="7600" w:type="dxa"/>
            <w:vAlign w:val="bottom"/>
            <w:vMerge w:val="restart"/>
          </w:tcPr>
          <w:p>
            <w:pPr>
              <w:ind w:left="220"/>
              <w:spacing w:after="0"/>
              <w:rPr>
                <w:sz w:val="20"/>
                <w:szCs w:val="20"/>
                <w:color w:val="auto"/>
              </w:rPr>
            </w:pPr>
            <w:r>
              <w:rPr>
                <w:rFonts w:ascii="Arial" w:cs="Arial" w:eastAsia="Arial" w:hAnsi="Arial"/>
                <w:sz w:val="18"/>
                <w:szCs w:val="18"/>
                <w:color w:val="auto"/>
              </w:rPr>
              <w:t>1,191,502.64</w:t>
            </w:r>
          </w:p>
        </w:tc>
        <w:tc>
          <w:tcPr>
            <w:tcW w:w="0" w:type="dxa"/>
            <w:vAlign w:val="bottom"/>
          </w:tcPr>
          <w:p>
            <w:pPr>
              <w:spacing w:after="0"/>
              <w:rPr>
                <w:sz w:val="1"/>
                <w:szCs w:val="1"/>
                <w:color w:val="auto"/>
              </w:rPr>
            </w:pPr>
          </w:p>
        </w:tc>
      </w:tr>
      <w:tr>
        <w:trPr>
          <w:trHeight w:val="175"/>
        </w:trPr>
        <w:tc>
          <w:tcPr>
            <w:tcW w:w="2100" w:type="dxa"/>
            <w:vAlign w:val="bottom"/>
          </w:tcPr>
          <w:p>
            <w:pPr>
              <w:jc w:val="center"/>
              <w:ind w:right="772"/>
              <w:spacing w:after="0" w:line="176" w:lineRule="exact"/>
              <w:rPr>
                <w:sz w:val="20"/>
                <w:szCs w:val="20"/>
                <w:color w:val="auto"/>
              </w:rPr>
            </w:pPr>
            <w:r>
              <w:rPr>
                <w:rFonts w:ascii="Arial" w:cs="Arial" w:eastAsia="Arial" w:hAnsi="Arial"/>
                <w:sz w:val="18"/>
                <w:szCs w:val="18"/>
                <w:color w:val="auto"/>
                <w:w w:val="97"/>
              </w:rPr>
              <w:t>OWNED BY</w:t>
            </w:r>
          </w:p>
        </w:tc>
        <w:tc>
          <w:tcPr>
            <w:tcW w:w="700" w:type="dxa"/>
            <w:vAlign w:val="bottom"/>
          </w:tcPr>
          <w:p>
            <w:pPr>
              <w:spacing w:after="0"/>
              <w:rPr>
                <w:sz w:val="15"/>
                <w:szCs w:val="15"/>
                <w:color w:val="auto"/>
              </w:rPr>
            </w:pPr>
          </w:p>
        </w:tc>
        <w:tc>
          <w:tcPr>
            <w:tcW w:w="7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100" w:type="dxa"/>
            <w:vAlign w:val="bottom"/>
            <w:vMerge w:val="restart"/>
          </w:tcPr>
          <w:p>
            <w:pPr>
              <w:jc w:val="center"/>
              <w:ind w:right="752"/>
              <w:spacing w:after="0"/>
              <w:rPr>
                <w:sz w:val="20"/>
                <w:szCs w:val="20"/>
                <w:color w:val="auto"/>
              </w:rPr>
            </w:pPr>
            <w:r>
              <w:rPr>
                <w:rFonts w:ascii="Arial" w:cs="Arial" w:eastAsia="Arial" w:hAnsi="Arial"/>
                <w:sz w:val="18"/>
                <w:szCs w:val="18"/>
                <w:color w:val="auto"/>
                <w:w w:val="99"/>
              </w:rPr>
              <w:t>EACH</w:t>
            </w:r>
          </w:p>
        </w:tc>
        <w:tc>
          <w:tcPr>
            <w:tcW w:w="700" w:type="dxa"/>
            <w:vAlign w:val="bottom"/>
            <w:tcBorders>
              <w:bottom w:val="single" w:sz="8" w:color="auto"/>
            </w:tcBorders>
          </w:tcPr>
          <w:p>
            <w:pPr>
              <w:spacing w:after="0"/>
              <w:rPr>
                <w:sz w:val="2"/>
                <w:szCs w:val="2"/>
                <w:color w:val="auto"/>
              </w:rPr>
            </w:pPr>
          </w:p>
        </w:tc>
        <w:tc>
          <w:tcPr>
            <w:tcW w:w="7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100" w:type="dxa"/>
            <w:vAlign w:val="bottom"/>
            <w:vMerge w:val="continue"/>
          </w:tcPr>
          <w:p>
            <w:pPr>
              <w:spacing w:after="0"/>
              <w:rPr>
                <w:sz w:val="14"/>
                <w:szCs w:val="14"/>
                <w:color w:val="auto"/>
              </w:rPr>
            </w:pPr>
          </w:p>
        </w:tc>
        <w:tc>
          <w:tcPr>
            <w:tcW w:w="70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rPr>
              <w:t>7</w:t>
            </w:r>
          </w:p>
        </w:tc>
        <w:tc>
          <w:tcPr>
            <w:tcW w:w="7600" w:type="dxa"/>
            <w:vAlign w:val="bottom"/>
          </w:tcPr>
          <w:p>
            <w:pPr>
              <w:ind w:left="220"/>
              <w:spacing w:after="0" w:line="16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5"/>
        </w:trPr>
        <w:tc>
          <w:tcPr>
            <w:tcW w:w="2100" w:type="dxa"/>
            <w:vAlign w:val="bottom"/>
          </w:tcPr>
          <w:p>
            <w:pPr>
              <w:jc w:val="center"/>
              <w:ind w:right="772"/>
              <w:spacing w:after="0" w:line="135" w:lineRule="exact"/>
              <w:rPr>
                <w:sz w:val="20"/>
                <w:szCs w:val="20"/>
                <w:color w:val="auto"/>
              </w:rPr>
            </w:pPr>
            <w:r>
              <w:rPr>
                <w:rFonts w:ascii="Arial" w:cs="Arial" w:eastAsia="Arial" w:hAnsi="Arial"/>
                <w:sz w:val="15"/>
                <w:szCs w:val="15"/>
                <w:color w:val="auto"/>
              </w:rPr>
              <w:t>REPORTING</w:t>
            </w:r>
          </w:p>
        </w:tc>
        <w:tc>
          <w:tcPr>
            <w:tcW w:w="70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100" w:type="dxa"/>
            <w:vAlign w:val="bottom"/>
          </w:tcPr>
          <w:p>
            <w:pPr>
              <w:jc w:val="center"/>
              <w:ind w:right="752"/>
              <w:spacing w:after="0" w:line="191" w:lineRule="exact"/>
              <w:rPr>
                <w:sz w:val="20"/>
                <w:szCs w:val="20"/>
                <w:color w:val="auto"/>
              </w:rPr>
            </w:pPr>
            <w:r>
              <w:rPr>
                <w:rFonts w:ascii="Arial" w:cs="Arial" w:eastAsia="Arial" w:hAnsi="Arial"/>
                <w:sz w:val="18"/>
                <w:szCs w:val="18"/>
                <w:color w:val="auto"/>
                <w:w w:val="92"/>
              </w:rPr>
              <w:t>PERSON</w:t>
            </w:r>
          </w:p>
        </w:tc>
        <w:tc>
          <w:tcPr>
            <w:tcW w:w="700" w:type="dxa"/>
            <w:vAlign w:val="bottom"/>
          </w:tcPr>
          <w:p>
            <w:pPr>
              <w:spacing w:after="0"/>
              <w:rPr>
                <w:sz w:val="16"/>
                <w:szCs w:val="16"/>
                <w:color w:val="auto"/>
              </w:rPr>
            </w:pPr>
          </w:p>
        </w:tc>
        <w:tc>
          <w:tcPr>
            <w:tcW w:w="7600" w:type="dxa"/>
            <w:vAlign w:val="bottom"/>
          </w:tcPr>
          <w:p>
            <w:pPr>
              <w:ind w:left="220"/>
              <w:spacing w:after="0" w:line="191"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79"/>
        </w:trPr>
        <w:tc>
          <w:tcPr>
            <w:tcW w:w="2100" w:type="dxa"/>
            <w:vAlign w:val="bottom"/>
            <w:vMerge w:val="restart"/>
          </w:tcPr>
          <w:p>
            <w:pPr>
              <w:jc w:val="center"/>
              <w:ind w:right="772"/>
              <w:spacing w:after="0"/>
              <w:rPr>
                <w:sz w:val="20"/>
                <w:szCs w:val="20"/>
                <w:color w:val="auto"/>
              </w:rPr>
            </w:pPr>
            <w:r>
              <w:rPr>
                <w:rFonts w:ascii="Arial" w:cs="Arial" w:eastAsia="Arial" w:hAnsi="Arial"/>
                <w:sz w:val="18"/>
                <w:szCs w:val="18"/>
                <w:color w:val="auto"/>
              </w:rPr>
              <w:t>WITH:</w:t>
            </w:r>
          </w:p>
        </w:tc>
        <w:tc>
          <w:tcPr>
            <w:tcW w:w="700" w:type="dxa"/>
            <w:vAlign w:val="bottom"/>
            <w:tcBorders>
              <w:bottom w:val="single" w:sz="8" w:color="auto"/>
            </w:tcBorders>
          </w:tcPr>
          <w:p>
            <w:pPr>
              <w:spacing w:after="0"/>
              <w:rPr>
                <w:sz w:val="6"/>
                <w:szCs w:val="6"/>
                <w:color w:val="auto"/>
              </w:rPr>
            </w:pPr>
          </w:p>
        </w:tc>
        <w:tc>
          <w:tcPr>
            <w:tcW w:w="7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100" w:type="dxa"/>
            <w:vAlign w:val="bottom"/>
            <w:vMerge w:val="continue"/>
          </w:tcPr>
          <w:p>
            <w:pPr>
              <w:spacing w:after="0"/>
              <w:rPr>
                <w:sz w:val="11"/>
                <w:szCs w:val="11"/>
                <w:color w:val="auto"/>
              </w:rPr>
            </w:pPr>
          </w:p>
        </w:tc>
        <w:tc>
          <w:tcPr>
            <w:tcW w:w="700" w:type="dxa"/>
            <w:vAlign w:val="bottom"/>
            <w:vMerge w:val="restart"/>
          </w:tcPr>
          <w:p>
            <w:pPr>
              <w:jc w:val="right"/>
              <w:ind w:right="130"/>
              <w:spacing w:after="0" w:line="169" w:lineRule="exact"/>
              <w:rPr>
                <w:sz w:val="20"/>
                <w:szCs w:val="20"/>
                <w:color w:val="auto"/>
              </w:rPr>
            </w:pPr>
            <w:r>
              <w:rPr>
                <w:rFonts w:ascii="Arial" w:cs="Arial" w:eastAsia="Arial" w:hAnsi="Arial"/>
                <w:sz w:val="18"/>
                <w:szCs w:val="18"/>
                <w:b w:val="1"/>
                <w:bCs w:val="1"/>
                <w:color w:val="auto"/>
              </w:rPr>
              <w:t>8</w:t>
            </w:r>
          </w:p>
        </w:tc>
        <w:tc>
          <w:tcPr>
            <w:tcW w:w="7600" w:type="dxa"/>
            <w:vAlign w:val="bottom"/>
            <w:vMerge w:val="restart"/>
          </w:tcPr>
          <w:p>
            <w:pPr>
              <w:ind w:left="220"/>
              <w:spacing w:after="0" w:line="169"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8"/>
        </w:trPr>
        <w:tc>
          <w:tcPr>
            <w:tcW w:w="21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0" w:type="dxa"/>
            <w:vAlign w:val="bottom"/>
          </w:tcPr>
          <w:p>
            <w:pPr>
              <w:ind w:left="220"/>
              <w:spacing w:after="0"/>
              <w:rPr>
                <w:sz w:val="20"/>
                <w:szCs w:val="20"/>
                <w:color w:val="auto"/>
              </w:rPr>
            </w:pPr>
            <w:r>
              <w:rPr>
                <w:rFonts w:ascii="Arial" w:cs="Arial" w:eastAsia="Arial" w:hAnsi="Arial"/>
                <w:sz w:val="18"/>
                <w:szCs w:val="18"/>
                <w:color w:val="auto"/>
              </w:rPr>
              <w:t>1,191,502.64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80" w:right="3920" w:hanging="452"/>
        <w:spacing w:after="0" w:line="342" w:lineRule="auto"/>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1,191,502.64</w:t>
      </w:r>
    </w:p>
    <w:p>
      <w:pPr>
        <w:ind w:left="680" w:hanging="497"/>
        <w:spacing w:after="0" w:line="204" w:lineRule="auto"/>
        <w:tabs>
          <w:tab w:leader="none" w:pos="680" w:val="left"/>
        </w:tabs>
        <w:numPr>
          <w:ilvl w:val="0"/>
          <w:numId w:val="9"/>
        </w:numPr>
        <w:rPr>
          <w:rFonts w:ascii="Arial" w:cs="Arial" w:eastAsia="Arial" w:hAnsi="Arial"/>
          <w:sz w:val="36"/>
          <w:szCs w:val="36"/>
          <w:b w:val="1"/>
          <w:bCs w:val="1"/>
          <w:color w:val="auto"/>
          <w:vertAlign w:val="superscript"/>
        </w:rPr>
      </w:pPr>
      <w:r>
        <w:rPr>
          <w:rFonts w:ascii="Arial" w:cs="Arial" w:eastAsia="Arial" w:hAnsi="Arial"/>
          <w:sz w:val="18"/>
          <w:szCs w:val="18"/>
          <w:color w:val="auto"/>
        </w:rPr>
        <w:t xml:space="preserve">CHECK IF THE AGGREGATE AMOUNT IN ROW (9) EXCLUDES CERTAIN SHARES </w:t>
      </w:r>
      <w:r>
        <w:rPr>
          <w:rFonts w:ascii="Arial" w:cs="Arial" w:eastAsia="Arial" w:hAnsi="Arial"/>
          <w:sz w:val="21"/>
          <w:szCs w:val="21"/>
          <w:color w:val="auto"/>
        </w:rPr>
        <w:t>o</w:t>
      </w:r>
    </w:p>
    <w:p>
      <w:pPr>
        <w:spacing w:after="0" w:line="46" w:lineRule="exact"/>
        <w:rPr>
          <w:rFonts w:ascii="Arial" w:cs="Arial" w:eastAsia="Arial" w:hAnsi="Arial"/>
          <w:sz w:val="36"/>
          <w:szCs w:val="36"/>
          <w:b w:val="1"/>
          <w:bCs w:val="1"/>
          <w:color w:val="auto"/>
          <w:vertAlign w:val="superscript"/>
        </w:rPr>
      </w:pPr>
    </w:p>
    <w:p>
      <w:pPr>
        <w:ind w:left="680" w:right="5400" w:hanging="492"/>
        <w:spacing w:after="0" w:line="332" w:lineRule="auto"/>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5.7%</w:t>
      </w:r>
    </w:p>
    <w:p>
      <w:pPr>
        <w:spacing w:after="0" w:line="5" w:lineRule="exact"/>
        <w:rPr>
          <w:rFonts w:ascii="Arial" w:cs="Arial" w:eastAsia="Arial" w:hAnsi="Arial"/>
          <w:sz w:val="18"/>
          <w:szCs w:val="18"/>
          <w:b w:val="1"/>
          <w:bCs w:val="1"/>
          <w:color w:val="auto"/>
        </w:rPr>
      </w:pPr>
    </w:p>
    <w:p>
      <w:pPr>
        <w:ind w:left="680" w:right="7960" w:hanging="497"/>
        <w:spacing w:after="0" w:line="434" w:lineRule="auto"/>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EP</w:t>
      </w:r>
    </w:p>
    <w:p>
      <w:pPr>
        <w:sectPr>
          <w:pgSz w:w="11900" w:h="16838" w:orient="portrait"/>
          <w:cols w:equalWidth="0" w:num="1">
            <w:col w:w="11140"/>
          </w:cols>
          <w:pgMar w:left="440" w:top="795" w:right="319" w:bottom="1440" w:gutter="0" w:footer="0" w:header="0"/>
        </w:sectPr>
      </w:pPr>
    </w:p>
    <w:bookmarkStart w:id="2" w:name="page3"/>
    <w:bookmarkEnd w:id="2"/>
    <w:p>
      <w:pPr>
        <w:spacing w:after="0"/>
        <w:tabs>
          <w:tab w:leader="none" w:pos="700" w:val="left"/>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Name of Issuer:</w:t>
      </w:r>
    </w:p>
    <w:p>
      <w:pPr>
        <w:spacing w:after="0" w:line="2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Hawkins, Inc.</w:t>
      </w:r>
    </w:p>
    <w:p>
      <w:pPr>
        <w:spacing w:after="0" w:line="238" w:lineRule="exact"/>
        <w:rPr>
          <w:sz w:val="20"/>
          <w:szCs w:val="20"/>
          <w:color w:val="auto"/>
        </w:rPr>
      </w:pPr>
    </w:p>
    <w:p>
      <w:pPr>
        <w:ind w:left="1460" w:right="6740" w:hanging="804"/>
        <w:spacing w:after="0" w:line="258" w:lineRule="auto"/>
        <w:tabs>
          <w:tab w:leader="none" w:pos="10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 2381 Rosegate</w:t>
      </w:r>
    </w:p>
    <w:p>
      <w:pPr>
        <w:spacing w:after="0" w:line="1"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Roseville, MN 55113</w:t>
      </w:r>
    </w:p>
    <w:p>
      <w:pPr>
        <w:spacing w:after="0" w:line="232" w:lineRule="exact"/>
        <w:rPr>
          <w:sz w:val="20"/>
          <w:szCs w:val="20"/>
          <w:color w:val="auto"/>
        </w:rPr>
      </w:pPr>
    </w:p>
    <w:p>
      <w:pPr>
        <w:spacing w:after="0"/>
        <w:tabs>
          <w:tab w:leader="none" w:pos="700" w:val="left"/>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 xml:space="preserve">Name of Person Filing: </w:t>
      </w:r>
      <w:r>
        <w:rPr>
          <w:rFonts w:ascii="Arial" w:cs="Arial" w:eastAsia="Arial" w:hAnsi="Arial"/>
          <w:sz w:val="20"/>
          <w:szCs w:val="20"/>
          <w:color w:val="auto"/>
          <w:vertAlign w:val="superscript"/>
        </w:rPr>
        <w:t>1</w:t>
      </w:r>
    </w:p>
    <w:p>
      <w:pPr>
        <w:spacing w:after="0" w:line="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Hawkins, Inc. Employee Stock Ownership Plan and Trust</w:t>
      </w:r>
    </w:p>
    <w:p>
      <w:pPr>
        <w:spacing w:after="0" w:line="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Hawkins, Inc. Employee Stock Ownership Plan for Certain Collectively Bargained Employees and Trust</w:t>
      </w:r>
    </w:p>
    <w:p>
      <w:pPr>
        <w:spacing w:after="0" w:line="238" w:lineRule="exact"/>
        <w:rPr>
          <w:sz w:val="20"/>
          <w:szCs w:val="20"/>
          <w:color w:val="auto"/>
        </w:rPr>
      </w:pPr>
    </w:p>
    <w:p>
      <w:pPr>
        <w:ind w:left="1460" w:right="5880" w:hanging="804"/>
        <w:spacing w:after="0" w:line="258" w:lineRule="auto"/>
        <w:tabs>
          <w:tab w:leader="none" w:pos="10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c/o Hawkins, Inc.</w:t>
      </w:r>
    </w:p>
    <w:p>
      <w:pPr>
        <w:spacing w:after="0" w:line="1" w:lineRule="exact"/>
        <w:rPr>
          <w:rFonts w:ascii="Arial" w:cs="Arial" w:eastAsia="Arial" w:hAnsi="Arial"/>
          <w:sz w:val="18"/>
          <w:szCs w:val="18"/>
          <w:color w:val="auto"/>
        </w:rPr>
      </w:pPr>
    </w:p>
    <w:p>
      <w:pPr>
        <w:ind w:left="1460" w:right="8220"/>
        <w:spacing w:after="0" w:line="323" w:lineRule="auto"/>
        <w:rPr>
          <w:rFonts w:ascii="Arial" w:cs="Arial" w:eastAsia="Arial" w:hAnsi="Arial"/>
          <w:sz w:val="18"/>
          <w:szCs w:val="18"/>
          <w:color w:val="auto"/>
        </w:rPr>
      </w:pPr>
      <w:r>
        <w:rPr>
          <w:rFonts w:ascii="Arial" w:cs="Arial" w:eastAsia="Arial" w:hAnsi="Arial"/>
          <w:sz w:val="16"/>
          <w:szCs w:val="16"/>
          <w:color w:val="auto"/>
        </w:rPr>
        <w:t>2381 Rosegate Roseville, MN 55113</w:t>
      </w:r>
    </w:p>
    <w:p>
      <w:pPr>
        <w:spacing w:after="0" w:line="165" w:lineRule="exact"/>
        <w:rPr>
          <w:rFonts w:ascii="Arial" w:cs="Arial" w:eastAsia="Arial" w:hAnsi="Arial"/>
          <w:sz w:val="18"/>
          <w:szCs w:val="18"/>
          <w:color w:val="auto"/>
        </w:rPr>
      </w:pPr>
    </w:p>
    <w:p>
      <w:pPr>
        <w:ind w:left="1040" w:hanging="384"/>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sz w:val="20"/>
          <w:szCs w:val="20"/>
          <w:color w:val="auto"/>
        </w:rPr>
      </w:pPr>
    </w:p>
    <w:p>
      <w:pPr>
        <w:jc w:val="center"/>
        <w:ind w:right="7560"/>
        <w:spacing w:after="0"/>
        <w:rPr>
          <w:sz w:val="20"/>
          <w:szCs w:val="20"/>
          <w:color w:val="auto"/>
        </w:rPr>
      </w:pPr>
      <w:r>
        <w:rPr>
          <w:rFonts w:ascii="Arial" w:cs="Arial" w:eastAsia="Arial" w:hAnsi="Arial"/>
          <w:sz w:val="18"/>
          <w:szCs w:val="18"/>
          <w:color w:val="auto"/>
        </w:rPr>
        <w:t>Minnesota</w:t>
      </w:r>
    </w:p>
    <w:p>
      <w:pPr>
        <w:spacing w:after="0" w:line="238"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Title of Class of Securities:</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Common Stock, Par Value $.01 per share</w:t>
      </w:r>
    </w:p>
    <w:p>
      <w:pPr>
        <w:spacing w:after="0" w:line="238" w:lineRule="exact"/>
        <w:rPr>
          <w:sz w:val="20"/>
          <w:szCs w:val="20"/>
          <w:color w:val="auto"/>
        </w:rPr>
      </w:pPr>
    </w:p>
    <w:p>
      <w:pPr>
        <w:jc w:val="right"/>
        <w:ind w:left="1460" w:right="8980" w:hanging="804"/>
        <w:spacing w:after="0" w:line="381" w:lineRule="auto"/>
        <w:tabs>
          <w:tab w:leader="none" w:pos="103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CUSIP Number: 420261109</w:t>
      </w:r>
    </w:p>
    <w:p>
      <w:pPr>
        <w:spacing w:after="0" w:line="1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50" w:lineRule="exact"/>
        <w:rPr>
          <w:sz w:val="20"/>
          <w:szCs w:val="20"/>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Broker or dealer registered under section 15 of the Act;</w:t>
      </w:r>
    </w:p>
    <w:p>
      <w:pPr>
        <w:spacing w:after="0" w:line="179"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Bank as defined in section 3(a)(6) of the Act;</w:t>
      </w:r>
    </w:p>
    <w:p>
      <w:pPr>
        <w:spacing w:after="0" w:line="192"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Insurance company as defined in section 3(a)(19) of the Act;</w:t>
      </w:r>
    </w:p>
    <w:p>
      <w:pPr>
        <w:spacing w:after="0" w:line="179"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Investment company registered under section 8 of the Investment Company Act of 1940;</w:t>
      </w:r>
    </w:p>
    <w:p>
      <w:pPr>
        <w:spacing w:after="0" w:line="179"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An investment adviser in accordance with § 240.13d-1(b)(1)(ii)(E);</w:t>
      </w:r>
    </w:p>
    <w:p>
      <w:pPr>
        <w:spacing w:after="0" w:line="137" w:lineRule="exact"/>
        <w:rPr>
          <w:rFonts w:ascii="Arial" w:cs="Arial" w:eastAsia="Arial" w:hAnsi="Arial"/>
          <w:sz w:val="18"/>
          <w:szCs w:val="18"/>
          <w:color w:val="auto"/>
        </w:rPr>
      </w:pPr>
    </w:p>
    <w:p>
      <w:pPr>
        <w:ind w:left="1020" w:hanging="364"/>
        <w:spacing w:after="0" w:line="242" w:lineRule="exact"/>
        <w:tabs>
          <w:tab w:leader="none" w:pos="1020" w:val="left"/>
        </w:tabs>
        <w:numPr>
          <w:ilvl w:val="0"/>
          <w:numId w:val="13"/>
        </w:numPr>
        <w:rPr>
          <w:rFonts w:ascii="Arial" w:cs="Arial" w:eastAsia="Arial" w:hAnsi="Arial"/>
          <w:sz w:val="18"/>
          <w:szCs w:val="18"/>
          <w:color w:val="auto"/>
        </w:rPr>
      </w:pPr>
      <w:r>
        <w:rPr>
          <w:rFonts w:ascii="MS PGothic" w:cs="MS PGothic" w:eastAsia="MS PGothic" w:hAnsi="MS PGothic"/>
          <w:sz w:val="21"/>
          <w:szCs w:val="21"/>
          <w:color w:val="auto"/>
        </w:rPr>
        <w:t>☒</w:t>
      </w:r>
      <w:r>
        <w:rPr>
          <w:rFonts w:ascii="Arial" w:cs="Arial" w:eastAsia="Arial" w:hAnsi="Arial"/>
          <w:sz w:val="18"/>
          <w:szCs w:val="18"/>
          <w:color w:val="auto"/>
        </w:rPr>
        <w:t xml:space="preserve"> An employee benefit plan or endowment fund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1(b)(1)(ii)(F);</w:t>
      </w:r>
    </w:p>
    <w:p>
      <w:pPr>
        <w:spacing w:after="0" w:line="245" w:lineRule="exact"/>
        <w:rPr>
          <w:rFonts w:ascii="Arial" w:cs="Arial" w:eastAsia="Arial" w:hAnsi="Arial"/>
          <w:sz w:val="18"/>
          <w:szCs w:val="18"/>
          <w:color w:val="auto"/>
        </w:rPr>
      </w:pPr>
    </w:p>
    <w:p>
      <w:pPr>
        <w:ind w:left="1040" w:hanging="384"/>
        <w:spacing w:after="0" w:line="253" w:lineRule="exact"/>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 parent holding company or control person in accordance with § 240.13d</w:t>
      </w:r>
      <w:r>
        <w:rPr>
          <w:rFonts w:ascii="MS PGothic" w:cs="MS PGothic" w:eastAsia="MS PGothic" w:hAnsi="MS PGothic"/>
          <w:sz w:val="17"/>
          <w:szCs w:val="17"/>
          <w:color w:val="auto"/>
        </w:rPr>
        <w:t>‑</w:t>
      </w:r>
      <w:r>
        <w:rPr>
          <w:rFonts w:ascii="Arial" w:cs="Arial" w:eastAsia="Arial" w:hAnsi="Arial"/>
          <w:sz w:val="17"/>
          <w:szCs w:val="17"/>
          <w:color w:val="auto"/>
        </w:rPr>
        <w:t>1(b)(1)(ii)(G);</w:t>
      </w:r>
    </w:p>
    <w:p>
      <w:pPr>
        <w:spacing w:after="0" w:line="179" w:lineRule="exact"/>
        <w:rPr>
          <w:rFonts w:ascii="Arial" w:cs="Arial" w:eastAsia="Arial" w:hAnsi="Arial"/>
          <w:sz w:val="18"/>
          <w:szCs w:val="18"/>
          <w:color w:val="auto"/>
        </w:rPr>
      </w:pPr>
    </w:p>
    <w:p>
      <w:pPr>
        <w:ind w:left="1040" w:hanging="384"/>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 savings association as defined in Section 3(b) of the Federal Deposit Insurance Act;</w:t>
      </w:r>
    </w:p>
    <w:p>
      <w:pPr>
        <w:spacing w:after="0" w:line="192" w:lineRule="exact"/>
        <w:rPr>
          <w:rFonts w:ascii="Arial" w:cs="Arial" w:eastAsia="Arial" w:hAnsi="Arial"/>
          <w:sz w:val="18"/>
          <w:szCs w:val="18"/>
          <w:color w:val="auto"/>
        </w:rPr>
      </w:pPr>
    </w:p>
    <w:p>
      <w:pPr>
        <w:ind w:left="1620" w:right="2300" w:hanging="964"/>
        <w:spacing w:after="0" w:line="220" w:lineRule="auto"/>
        <w:tabs>
          <w:tab w:leader="none" w:pos="998"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 church plan that is excluded from the definition of an investment company under section 3(c)(14) of the</w:t>
      </w:r>
      <w:r>
        <w:rPr>
          <w:rFonts w:ascii="Arial" w:cs="Arial" w:eastAsia="Arial" w:hAnsi="Arial"/>
          <w:sz w:val="22"/>
          <w:szCs w:val="22"/>
          <w:color w:val="auto"/>
        </w:rPr>
        <w:t xml:space="preserve"> </w:t>
      </w:r>
      <w:r>
        <w:rPr>
          <w:rFonts w:ascii="Arial" w:cs="Arial" w:eastAsia="Arial" w:hAnsi="Arial"/>
          <w:sz w:val="17"/>
          <w:szCs w:val="17"/>
          <w:color w:val="auto"/>
        </w:rPr>
        <w:t>Investment Company Act;</w:t>
      </w:r>
    </w:p>
    <w:p>
      <w:pPr>
        <w:spacing w:after="0" w:line="251" w:lineRule="exact"/>
        <w:rPr>
          <w:rFonts w:ascii="Arial" w:cs="Arial" w:eastAsia="Arial" w:hAnsi="Arial"/>
          <w:sz w:val="18"/>
          <w:szCs w:val="18"/>
          <w:color w:val="auto"/>
        </w:rPr>
      </w:pPr>
    </w:p>
    <w:p>
      <w:pPr>
        <w:ind w:left="1000" w:hanging="344"/>
        <w:spacing w:after="0" w:line="253" w:lineRule="exact"/>
        <w:tabs>
          <w:tab w:leader="none" w:pos="1000" w:val="left"/>
        </w:tabs>
        <w:numPr>
          <w:ilvl w:val="0"/>
          <w:numId w:val="13"/>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A non-U.S. institution in accordance with § 240.13d</w:t>
      </w:r>
      <w:r>
        <w:rPr>
          <w:rFonts w:ascii="MS PGothic" w:cs="MS PGothic" w:eastAsia="MS PGothic" w:hAnsi="MS PGothic"/>
          <w:sz w:val="17"/>
          <w:szCs w:val="17"/>
          <w:color w:val="auto"/>
        </w:rPr>
        <w:t>‑</w:t>
      </w:r>
      <w:r>
        <w:rPr>
          <w:rFonts w:ascii="Arial" w:cs="Arial" w:eastAsia="Arial" w:hAnsi="Arial"/>
          <w:sz w:val="17"/>
          <w:szCs w:val="17"/>
          <w:color w:val="auto"/>
        </w:rPr>
        <w:t>1(b)(1)(ii)(J);</w:t>
      </w:r>
    </w:p>
    <w:p>
      <w:pPr>
        <w:spacing w:after="0" w:line="200" w:lineRule="exact"/>
        <w:rPr>
          <w:sz w:val="20"/>
          <w:szCs w:val="20"/>
          <w:color w:val="auto"/>
        </w:rPr>
      </w:pPr>
    </w:p>
    <w:p>
      <w:pPr>
        <w:spacing w:after="0" w:line="201" w:lineRule="exact"/>
        <w:rPr>
          <w:sz w:val="20"/>
          <w:szCs w:val="20"/>
          <w:color w:val="auto"/>
        </w:rPr>
      </w:pPr>
    </w:p>
    <w:p>
      <w:pPr>
        <w:ind w:firstLine="8"/>
        <w:spacing w:after="0" w:line="277" w:lineRule="auto"/>
        <w:tabs>
          <w:tab w:leader="none" w:pos="8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The Trustee of the Hawkins, Inc. Employee Stock Ownership Plan and Trust and the Hawkins, Inc. Employee Stock Ownership Plan for Certain Collectively Bargained Employees and Trust (together, the “ESOP”) is Matrix Trust Company.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769" w:right="339" w:bottom="1440" w:gutter="0" w:footer="0" w:header="0"/>
          <w:type w:val="continuous"/>
        </w:sectPr>
      </w:pPr>
    </w:p>
    <w:bookmarkStart w:id="3" w:name="page4"/>
    <w:bookmarkEnd w:id="3"/>
    <w:p>
      <w:pPr>
        <w:ind w:left="1620" w:hanging="964"/>
        <w:spacing w:after="0" w:line="232" w:lineRule="exact"/>
        <w:tabs>
          <w:tab w:leader="none" w:pos="1038" w:val="left"/>
        </w:tabs>
        <w:numPr>
          <w:ilvl w:val="0"/>
          <w:numId w:val="15"/>
        </w:numPr>
        <w:rPr>
          <w:rFonts w:ascii="Arial" w:cs="Arial" w:eastAsia="Arial" w:hAnsi="Arial"/>
          <w:sz w:val="18"/>
          <w:szCs w:val="18"/>
          <w:color w:val="auto"/>
        </w:rPr>
      </w:pPr>
      <w:r>
        <w:rPr>
          <w:rFonts w:ascii="Arial" w:cs="Arial" w:eastAsia="Arial" w:hAnsi="Arial"/>
          <w:sz w:val="22"/>
          <w:szCs w:val="22"/>
          <w:color w:val="auto"/>
        </w:rPr>
        <w:t xml:space="preserve">o </w:t>
      </w:r>
      <w:r>
        <w:rPr>
          <w:rFonts w:ascii="Arial" w:cs="Arial" w:eastAsia="Arial" w:hAnsi="Arial"/>
          <w:sz w:val="17"/>
          <w:szCs w:val="17"/>
          <w:color w:val="auto"/>
        </w:rPr>
        <w:t>Group, in accordance with § 240.13d</w:t>
      </w:r>
      <w:r>
        <w:rPr>
          <w:rFonts w:ascii="MS PGothic" w:cs="MS PGothic" w:eastAsia="MS PGothic" w:hAnsi="MS PGothic"/>
          <w:sz w:val="17"/>
          <w:szCs w:val="17"/>
          <w:color w:val="auto"/>
        </w:rPr>
        <w:t>‑</w:t>
      </w:r>
      <w:r>
        <w:rPr>
          <w:rFonts w:ascii="Arial" w:cs="Arial" w:eastAsia="Arial" w:hAnsi="Arial"/>
          <w:sz w:val="17"/>
          <w:szCs w:val="17"/>
          <w:color w:val="auto"/>
        </w:rPr>
        <w:t>1(b)(1)(ii)(K). If filing as a non-U.S. institution in accordance with §240.13d-1(b)(1)(ii)(J), please</w:t>
      </w:r>
      <w:r>
        <w:rPr>
          <w:rFonts w:ascii="Arial" w:cs="Arial" w:eastAsia="Arial" w:hAnsi="Arial"/>
          <w:sz w:val="22"/>
          <w:szCs w:val="22"/>
          <w:color w:val="auto"/>
        </w:rPr>
        <w:t xml:space="preserve"> </w:t>
      </w:r>
      <w:r>
        <w:rPr>
          <w:rFonts w:ascii="Arial" w:cs="Arial" w:eastAsia="Arial" w:hAnsi="Arial"/>
          <w:sz w:val="17"/>
          <w:szCs w:val="17"/>
          <w:color w:val="auto"/>
        </w:rPr>
        <w:t>specify the type of institution:</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020" w:hanging="36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beneficially owned: 1,191,502.64</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5.7%.</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660" w:hanging="356"/>
        <w:spacing w:after="0"/>
        <w:tabs>
          <w:tab w:leader="none" w:pos="1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700" w:hanging="396"/>
        <w:spacing w:after="0"/>
        <w:tabs>
          <w:tab w:leader="none" w:pos="17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1,191,502.64.</w:t>
      </w:r>
    </w:p>
    <w:p>
      <w:pPr>
        <w:spacing w:after="0" w:line="225" w:lineRule="exact"/>
        <w:rPr>
          <w:rFonts w:ascii="Arial" w:cs="Arial" w:eastAsia="Arial" w:hAnsi="Arial"/>
          <w:sz w:val="18"/>
          <w:szCs w:val="18"/>
          <w:color w:val="auto"/>
        </w:rPr>
      </w:pPr>
    </w:p>
    <w:p>
      <w:pPr>
        <w:ind w:left="1760" w:hanging="456"/>
        <w:spacing w:after="0"/>
        <w:tabs>
          <w:tab w:leader="none" w:pos="17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740" w:hanging="436"/>
        <w:spacing w:after="0"/>
        <w:tabs>
          <w:tab w:leader="none" w:pos="17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1,191,502.64.</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plan participants and beneficiaries of the ESOP have the right to receive dividends from and the proceeds from the sale of the shares reported on this Schedule. No person has such a right with respect to more than 5% of the Issuer’s outstanding common stock.</w:t>
      </w:r>
    </w:p>
    <w:p>
      <w:pPr>
        <w:spacing w:after="0" w:line="166" w:lineRule="exact"/>
        <w:rPr>
          <w:sz w:val="20"/>
          <w:szCs w:val="20"/>
          <w:color w:val="auto"/>
        </w:rPr>
      </w:pPr>
    </w:p>
    <w:p>
      <w:pPr>
        <w:ind w:left="660" w:right="6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795" w:right="43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50"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Date: February 9, 2022</w:t>
      </w:r>
      <w:r>
        <w:rPr>
          <w:sz w:val="20"/>
          <w:szCs w:val="20"/>
          <w:color w:val="auto"/>
        </w:rPr>
        <w:tab/>
      </w:r>
      <w:r>
        <w:rPr>
          <w:rFonts w:ascii="Arial" w:cs="Arial" w:eastAsia="Arial" w:hAnsi="Arial"/>
          <w:sz w:val="18"/>
          <w:szCs w:val="18"/>
          <w:b w:val="1"/>
          <w:bCs w:val="1"/>
          <w:color w:val="auto"/>
        </w:rPr>
        <w:t>HAWKINS, INC. EMPLOYEE STOCK OWNERSHIP TRUST</w:t>
      </w:r>
    </w:p>
    <w:p>
      <w:pPr>
        <w:spacing w:after="0" w:line="252" w:lineRule="exact"/>
        <w:rPr>
          <w:sz w:val="20"/>
          <w:szCs w:val="20"/>
          <w:color w:val="auto"/>
        </w:rPr>
      </w:pPr>
    </w:p>
    <w:p>
      <w:pPr>
        <w:jc w:val="center"/>
        <w:ind w:right="-339"/>
        <w:spacing w:after="0"/>
        <w:tabs>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HAWKINS, INC., AS ADMINISTRATOR</w:t>
      </w:r>
    </w:p>
    <w:p>
      <w:pPr>
        <w:spacing w:after="0" w:line="256" w:lineRule="exact"/>
        <w:rPr>
          <w:sz w:val="20"/>
          <w:szCs w:val="20"/>
          <w:color w:val="auto"/>
        </w:rPr>
      </w:pPr>
    </w:p>
    <w:p>
      <w:pPr>
        <w:ind w:left="4220"/>
        <w:spacing w:after="0"/>
        <w:tabs>
          <w:tab w:leader="none" w:pos="4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Richard G. Erstad</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Richard G. Erstad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Vice President, General Counsel and Secretary</w:t>
      </w:r>
    </w:p>
    <w:sectPr>
      <w:pgSz w:w="11900" w:h="16838" w:orient="portrait"/>
      <w:cols w:equalWidth="0" w:num="1">
        <w:col w:w="11140"/>
      </w:cols>
      <w:pgMar w:left="320" w:top="76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5"/>
      <w:numFmt w:val="bullet"/>
      <w:start w:val="1"/>
    </w:lvl>
  </w:abstractNum>
  <w:abstractNum w:abstractNumId="7">
    <w:nsid w:val="66EF438D"/>
    <w:multiLevelType w:val="hybridMultilevel"/>
    <w:lvl w:ilvl="0">
      <w:lvlJc w:val="left"/>
      <w:lvlText w:val="9"/>
      <w:numFmt w:val="bullet"/>
      <w:start w:val="1"/>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lowerLetter"/>
      <w:start w:val="2"/>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lowerLetter"/>
      <w:start w:val="5"/>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bullet"/>
      <w:start w:val="1"/>
    </w:lvl>
  </w:abstractNum>
  <w:abstractNum w:abstractNumId="14">
    <w:nsid w:val="41A7C4C9"/>
    <w:multiLevelType w:val="hybridMultilevel"/>
    <w:lvl w:ilvl="0">
      <w:lvlJc w:val="left"/>
      <w:lvlText w:val="(%1)"/>
      <w:numFmt w:val="lowerLetter"/>
      <w:start w:val="11"/>
    </w:lvl>
  </w:abstractNum>
  <w:abstractNum w:abstractNumId="15">
    <w:nsid w:val="6B68079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2022-02-09T15:17:50Z</dcterms:created>
  <dcterms:modified xsi:type="dcterms:W3CDTF">2022-02-09T15:17:50Z</dcterms:modified>
</cp:coreProperties>
</file>