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March 10, 2009</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62"/>
        </w:trPr>
        <w:tc>
          <w:tcPr>
            <w:tcW w:w="3300" w:type="dxa"/>
            <w:vAlign w:val="bottom"/>
          </w:tcPr>
          <w:p>
            <w:pPr>
              <w:jc w:val="center"/>
              <w:ind w:right="379"/>
              <w:spacing w:after="0"/>
              <w:rPr>
                <w:sz w:val="20"/>
                <w:szCs w:val="20"/>
                <w:color w:val="auto"/>
              </w:rPr>
            </w:pPr>
            <w:r>
              <w:rPr>
                <w:rFonts w:ascii="Arial" w:cs="Arial" w:eastAsia="Arial" w:hAnsi="Arial"/>
                <w:sz w:val="22"/>
                <w:szCs w:val="22"/>
                <w:b w:val="1"/>
                <w:bCs w:val="1"/>
                <w:color w:val="auto"/>
                <w:w w:val="90"/>
              </w:rPr>
              <w:t>Minnesota</w:t>
            </w:r>
          </w:p>
        </w:tc>
        <w:tc>
          <w:tcPr>
            <w:tcW w:w="306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300" w:type="dxa"/>
            <w:vAlign w:val="bottom"/>
          </w:tcPr>
          <w:p>
            <w:pPr>
              <w:jc w:val="center"/>
              <w:ind w:right="379"/>
              <w:spacing w:after="0"/>
              <w:rPr>
                <w:sz w:val="20"/>
                <w:szCs w:val="20"/>
                <w:color w:val="auto"/>
              </w:rPr>
            </w:pPr>
            <w:r>
              <w:rPr>
                <w:rFonts w:ascii="Arial" w:cs="Arial" w:eastAsia="Arial" w:hAnsi="Arial"/>
                <w:sz w:val="18"/>
                <w:szCs w:val="18"/>
                <w:color w:val="auto"/>
                <w:w w:val="90"/>
              </w:rPr>
              <w:t>(State of Incorporation)</w:t>
            </w:r>
          </w:p>
        </w:tc>
        <w:tc>
          <w:tcPr>
            <w:tcW w:w="3060" w:type="dxa"/>
            <w:vAlign w:val="bottom"/>
          </w:tcPr>
          <w:p>
            <w:pPr>
              <w:jc w:val="center"/>
              <w:ind w:right="14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22"/>
              <w:spacing w:after="0"/>
              <w:rPr>
                <w:sz w:val="20"/>
                <w:szCs w:val="20"/>
                <w:color w:val="auto"/>
              </w:rPr>
            </w:pPr>
            <w:r>
              <w:rPr>
                <w:rFonts w:ascii="Arial" w:cs="Arial" w:eastAsia="Arial" w:hAnsi="Arial"/>
                <w:sz w:val="18"/>
                <w:szCs w:val="18"/>
                <w:color w:val="auto"/>
                <w:w w:val="92"/>
              </w:rPr>
              <w:t>(IRS Employer</w:t>
            </w:r>
          </w:p>
        </w:tc>
      </w:tr>
      <w:tr>
        <w:trPr>
          <w:trHeight w:val="222"/>
        </w:trPr>
        <w:tc>
          <w:tcPr>
            <w:tcW w:w="3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34"/>
        </w:trPr>
        <w:tc>
          <w:tcPr>
            <w:tcW w:w="3300" w:type="dxa"/>
            <w:vAlign w:val="bottom"/>
          </w:tcPr>
          <w:p>
            <w:pPr>
              <w:jc w:val="center"/>
              <w:ind w:right="339"/>
              <w:spacing w:after="0"/>
              <w:rPr>
                <w:sz w:val="20"/>
                <w:szCs w:val="20"/>
                <w:color w:val="auto"/>
              </w:rPr>
            </w:pPr>
            <w:r>
              <w:rPr>
                <w:rFonts w:ascii="Arial" w:cs="Arial" w:eastAsia="Arial" w:hAnsi="Arial"/>
                <w:sz w:val="22"/>
                <w:szCs w:val="22"/>
                <w:b w:val="1"/>
                <w:bCs w:val="1"/>
                <w:color w:val="auto"/>
                <w:w w:val="87"/>
              </w:rPr>
              <w:t>3100 East Hennepin Avenue</w:t>
            </w:r>
          </w:p>
        </w:tc>
        <w:tc>
          <w:tcPr>
            <w:tcW w:w="30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62"/>
        </w:trPr>
        <w:tc>
          <w:tcPr>
            <w:tcW w:w="3300" w:type="dxa"/>
            <w:vAlign w:val="bottom"/>
          </w:tcPr>
          <w:p>
            <w:pPr>
              <w:jc w:val="center"/>
              <w:ind w:right="359"/>
              <w:spacing w:after="0"/>
              <w:rPr>
                <w:sz w:val="20"/>
                <w:szCs w:val="20"/>
                <w:color w:val="auto"/>
              </w:rPr>
            </w:pPr>
            <w:r>
              <w:rPr>
                <w:rFonts w:ascii="Arial" w:cs="Arial" w:eastAsia="Arial" w:hAnsi="Arial"/>
                <w:sz w:val="22"/>
                <w:szCs w:val="22"/>
                <w:b w:val="1"/>
                <w:bCs w:val="1"/>
                <w:color w:val="auto"/>
                <w:w w:val="92"/>
              </w:rPr>
              <w:t>Minneapolis, MN</w:t>
            </w:r>
          </w:p>
        </w:tc>
        <w:tc>
          <w:tcPr>
            <w:tcW w:w="3060" w:type="dxa"/>
            <w:vAlign w:val="bottom"/>
          </w:tcPr>
          <w:p>
            <w:pPr>
              <w:spacing w:after="0"/>
              <w:rPr>
                <w:sz w:val="22"/>
                <w:szCs w:val="22"/>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300" w:type="dxa"/>
            <w:vAlign w:val="bottom"/>
          </w:tcPr>
          <w:p>
            <w:pPr>
              <w:jc w:val="center"/>
              <w:ind w:right="339"/>
              <w:spacing w:after="0"/>
              <w:rPr>
                <w:sz w:val="20"/>
                <w:szCs w:val="20"/>
                <w:color w:val="auto"/>
              </w:rPr>
            </w:pPr>
            <w:r>
              <w:rPr>
                <w:rFonts w:ascii="Arial" w:cs="Arial" w:eastAsia="Arial" w:hAnsi="Arial"/>
                <w:sz w:val="18"/>
                <w:szCs w:val="18"/>
                <w:color w:val="auto"/>
                <w:w w:val="90"/>
              </w:rPr>
              <w:t>(Address of Principal Executive Offices)</w:t>
            </w:r>
          </w:p>
        </w:tc>
        <w:tc>
          <w:tcPr>
            <w:tcW w:w="30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360" w:type="dxa"/>
            <w:vAlign w:val="bottom"/>
            <w:gridSpan w:val="2"/>
          </w:tcPr>
          <w:p>
            <w:pPr>
              <w:ind w:left="1620"/>
              <w:spacing w:after="0"/>
              <w:rPr>
                <w:sz w:val="20"/>
                <w:szCs w:val="20"/>
                <w:color w:val="auto"/>
              </w:rPr>
            </w:pPr>
            <w:r>
              <w:rPr>
                <w:rFonts w:ascii="Arial" w:cs="Arial" w:eastAsia="Arial" w:hAnsi="Arial"/>
                <w:sz w:val="22"/>
                <w:szCs w:val="22"/>
                <w:color w:val="auto"/>
                <w:w w:val="90"/>
              </w:rPr>
              <w:t>Registrant’s Telephone Number, Including Area Code</w:t>
            </w:r>
          </w:p>
        </w:tc>
        <w:tc>
          <w:tcPr>
            <w:tcW w:w="2300" w:type="dxa"/>
            <w:vAlign w:val="bottom"/>
          </w:tcPr>
          <w:p>
            <w:pPr>
              <w:jc w:val="right"/>
              <w:ind w:right="76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197485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5.02.</w:t>
        <w:tab/>
        <w:t>Departure of Directors or Certain Officers; Election of Directors; Appointment of Certain Officers; Compensatory Arrangements of Certain Officers.</w:t>
      </w:r>
    </w:p>
    <w:p>
      <w:pPr>
        <w:spacing w:after="0" w:line="182" w:lineRule="exact"/>
        <w:rPr>
          <w:sz w:val="24"/>
          <w:szCs w:val="24"/>
          <w:color w:val="auto"/>
        </w:rPr>
      </w:pPr>
    </w:p>
    <w:p>
      <w:pPr>
        <w:ind w:right="160" w:firstLine="648"/>
        <w:spacing w:after="0" w:line="268" w:lineRule="auto"/>
        <w:rPr>
          <w:sz w:val="20"/>
          <w:szCs w:val="20"/>
          <w:color w:val="auto"/>
        </w:rPr>
      </w:pPr>
      <w:r>
        <w:rPr>
          <w:rFonts w:ascii="Arial" w:cs="Arial" w:eastAsia="Arial" w:hAnsi="Arial"/>
          <w:sz w:val="18"/>
          <w:szCs w:val="18"/>
          <w:color w:val="auto"/>
        </w:rPr>
        <w:t>On March 10, 2009, the Board of Directors of Hawkins, Inc. appointed Jeffrey L. Wright and James T. Thompson to fill newly created vacancies on its Board of Directors. Both of the new directors have been appointed to the Company’s Audit Committee.</w:t>
      </w:r>
    </w:p>
    <w:p>
      <w:pPr>
        <w:spacing w:after="0" w:line="186" w:lineRule="exact"/>
        <w:rPr>
          <w:sz w:val="24"/>
          <w:szCs w:val="24"/>
          <w:color w:val="auto"/>
        </w:rPr>
      </w:pPr>
    </w:p>
    <w:p>
      <w:pPr>
        <w:ind w:right="100" w:firstLine="648"/>
        <w:spacing w:after="0" w:line="256" w:lineRule="auto"/>
        <w:rPr>
          <w:sz w:val="20"/>
          <w:szCs w:val="20"/>
          <w:color w:val="auto"/>
        </w:rPr>
      </w:pPr>
      <w:r>
        <w:rPr>
          <w:rFonts w:ascii="Arial" w:cs="Arial" w:eastAsia="Arial" w:hAnsi="Arial"/>
          <w:sz w:val="18"/>
          <w:szCs w:val="18"/>
          <w:color w:val="auto"/>
        </w:rPr>
        <w:t>Mr. Wright has been Senior Vice President and Chief Financial Officer of G&amp;K Services, Inc. since 2004. He previously served as Chief Financial Officer, Treasurer and Secretary of G&amp;K Services, Inc. from 1999 to 2003. He served at BMC Industries, Inc. as Treasurer from 1998 to 1999 and Controller from 1996 to 1998. Previously, Mr. Wright was employed by Employee Benefit Plans, Inc. from 1993 to 1996, most recently as Vice President and Treasurer. He was employed by Arthur Andersen &amp; Co. from 1984 to 1993.</w:t>
      </w:r>
    </w:p>
    <w:p>
      <w:pPr>
        <w:spacing w:after="0" w:line="197" w:lineRule="exact"/>
        <w:rPr>
          <w:sz w:val="24"/>
          <w:szCs w:val="24"/>
          <w:color w:val="auto"/>
        </w:rPr>
      </w:pPr>
    </w:p>
    <w:p>
      <w:pPr>
        <w:ind w:right="780" w:firstLine="648"/>
        <w:spacing w:after="0" w:line="332" w:lineRule="auto"/>
        <w:rPr>
          <w:sz w:val="20"/>
          <w:szCs w:val="20"/>
          <w:color w:val="auto"/>
        </w:rPr>
      </w:pPr>
      <w:r>
        <w:rPr>
          <w:rFonts w:ascii="Arial" w:cs="Arial" w:eastAsia="Arial" w:hAnsi="Arial"/>
          <w:sz w:val="16"/>
          <w:szCs w:val="16"/>
          <w:color w:val="auto"/>
        </w:rPr>
        <w:t>Mr. Thompson is currently retired, having served as Executive Vice President—Commercial for The Mosaic Company from 2004 to 2007. He previously served in numerous capacities at Cargill, Inc. since 1974, including serving as President of Cargill Steel from 1996 to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1549400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6520" w:type="dxa"/>
            <w:vAlign w:val="bottom"/>
            <w:gridSpan w:val="2"/>
          </w:tcPr>
          <w:p>
            <w:pPr>
              <w:ind w:left="2240"/>
              <w:spacing w:after="0"/>
              <w:rPr>
                <w:sz w:val="20"/>
                <w:szCs w:val="20"/>
                <w:color w:val="auto"/>
              </w:rPr>
            </w:pPr>
            <w:r>
              <w:rPr>
                <w:rFonts w:ascii="Arial" w:cs="Arial" w:eastAsia="Arial" w:hAnsi="Arial"/>
                <w:sz w:val="18"/>
                <w:szCs w:val="18"/>
                <w:color w:val="auto"/>
              </w:rPr>
              <w:t>HAWKINS, INC.</w:t>
            </w:r>
          </w:p>
        </w:tc>
        <w:tc>
          <w:tcPr>
            <w:tcW w:w="1140" w:type="dxa"/>
            <w:vAlign w:val="bottom"/>
          </w:tcPr>
          <w:p>
            <w:pPr>
              <w:spacing w:after="0"/>
              <w:rPr>
                <w:sz w:val="19"/>
                <w:szCs w:val="19"/>
                <w:color w:val="auto"/>
              </w:rPr>
            </w:pPr>
          </w:p>
        </w:tc>
      </w:tr>
      <w:tr>
        <w:trPr>
          <w:trHeight w:val="474"/>
        </w:trPr>
        <w:tc>
          <w:tcPr>
            <w:tcW w:w="3760" w:type="dxa"/>
            <w:vAlign w:val="bottom"/>
          </w:tcPr>
          <w:p>
            <w:pPr>
              <w:spacing w:after="0"/>
              <w:rPr>
                <w:sz w:val="20"/>
                <w:szCs w:val="20"/>
                <w:color w:val="auto"/>
              </w:rPr>
            </w:pPr>
            <w:r>
              <w:rPr>
                <w:rFonts w:ascii="Arial" w:cs="Arial" w:eastAsia="Arial" w:hAnsi="Arial"/>
                <w:sz w:val="18"/>
                <w:szCs w:val="18"/>
                <w:color w:val="auto"/>
              </w:rPr>
              <w:t>Date: March 13, 2009</w:t>
            </w:r>
          </w:p>
        </w:tc>
        <w:tc>
          <w:tcPr>
            <w:tcW w:w="6520" w:type="dxa"/>
            <w:vAlign w:val="bottom"/>
            <w:gridSpan w:val="2"/>
          </w:tcPr>
          <w:p>
            <w:pPr>
              <w:ind w:left="2240"/>
              <w:spacing w:after="0"/>
              <w:rPr>
                <w:sz w:val="20"/>
                <w:szCs w:val="20"/>
                <w:color w:val="auto"/>
              </w:rPr>
            </w:pPr>
            <w:r>
              <w:rPr>
                <w:rFonts w:ascii="Arial" w:cs="Arial" w:eastAsia="Arial" w:hAnsi="Arial"/>
                <w:sz w:val="18"/>
                <w:szCs w:val="18"/>
                <w:color w:val="auto"/>
              </w:rPr>
              <w:t>By:  /s/ Richard G. Erstad</w:t>
            </w:r>
          </w:p>
        </w:tc>
        <w:tc>
          <w:tcPr>
            <w:tcW w:w="1140" w:type="dxa"/>
            <w:vAlign w:val="bottom"/>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9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Richard G. Erstad</w:t>
            </w:r>
          </w:p>
        </w:tc>
        <w:tc>
          <w:tcPr>
            <w:tcW w:w="1140" w:type="dxa"/>
            <w:vAlign w:val="bottom"/>
          </w:tcPr>
          <w:p>
            <w:pPr>
              <w:spacing w:after="0"/>
              <w:rPr>
                <w:sz w:val="17"/>
                <w:szCs w:val="17"/>
                <w:color w:val="auto"/>
              </w:rPr>
            </w:pPr>
          </w:p>
        </w:tc>
      </w:tr>
      <w:tr>
        <w:trPr>
          <w:trHeight w:val="216"/>
        </w:trPr>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Vice President, General Counsel,</w:t>
            </w:r>
          </w:p>
        </w:tc>
        <w:tc>
          <w:tcPr>
            <w:tcW w:w="1140" w:type="dxa"/>
            <w:vAlign w:val="bottom"/>
          </w:tcPr>
          <w:p>
            <w:pPr>
              <w:spacing w:after="0"/>
              <w:rPr>
                <w:sz w:val="18"/>
                <w:szCs w:val="18"/>
                <w:color w:val="auto"/>
              </w:rPr>
            </w:pPr>
          </w:p>
        </w:tc>
      </w:tr>
      <w:tr>
        <w:trPr>
          <w:trHeight w:val="222"/>
        </w:trPr>
        <w:tc>
          <w:tcPr>
            <w:tcW w:w="37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and Secretary</w:t>
            </w:r>
          </w:p>
        </w:tc>
        <w:tc>
          <w:tcPr>
            <w:tcW w:w="1140" w:type="dxa"/>
            <w:vAlign w:val="bottom"/>
          </w:tcPr>
          <w:p>
            <w:pPr>
              <w:spacing w:after="0"/>
              <w:rPr>
                <w:sz w:val="19"/>
                <w:szCs w:val="19"/>
                <w:color w:val="auto"/>
              </w:rPr>
            </w:pPr>
          </w:p>
        </w:tc>
      </w:tr>
      <w:tr>
        <w:trPr>
          <w:trHeight w:val="2484"/>
        </w:trPr>
        <w:tc>
          <w:tcPr>
            <w:tcW w:w="376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2019-12-09T23:33:50Z</dcterms:created>
  <dcterms:modified xsi:type="dcterms:W3CDTF">2019-12-09T23:33:50Z</dcterms:modified>
</cp:coreProperties>
</file>