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354965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 SECURITIES AND EXCHANGE COMMISSION</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224155</wp:posOffset>
            </wp:positionV>
            <wp:extent cx="147066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97155</wp:posOffset>
            </wp:positionV>
            <wp:extent cx="147066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Pursuant to Section 13 or 15(d) of the Securities Exchange Act of 1934</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22"/>
          <w:szCs w:val="22"/>
          <w:b w:val="1"/>
          <w:bCs w:val="1"/>
          <w:color w:val="auto"/>
        </w:rPr>
        <w:t>June 4,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231775</wp:posOffset>
            </wp:positionV>
            <wp:extent cx="147066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Hawkins, Inc.</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786" w:right="239" w:bottom="0" w:gutter="0" w:footer="0" w:header="0"/>
        </w:sectPr>
      </w:pPr>
    </w:p>
    <w:p>
      <w:pPr>
        <w:spacing w:after="0" w:line="219" w:lineRule="exact"/>
        <w:rPr>
          <w:sz w:val="24"/>
          <w:szCs w:val="24"/>
          <w:color w:val="auto"/>
        </w:rPr>
      </w:pPr>
    </w:p>
    <w:p>
      <w:pPr>
        <w:ind w:left="1420"/>
        <w:spacing w:after="0"/>
        <w:rPr>
          <w:sz w:val="20"/>
          <w:szCs w:val="20"/>
          <w:color w:val="auto"/>
        </w:rPr>
      </w:pPr>
      <w:r>
        <w:rPr>
          <w:rFonts w:ascii="Arial" w:cs="Arial" w:eastAsia="Arial" w:hAnsi="Arial"/>
          <w:sz w:val="19"/>
          <w:szCs w:val="19"/>
          <w:b w:val="1"/>
          <w:bCs w:val="1"/>
          <w:color w:val="auto"/>
        </w:rPr>
        <w:t>Minnesota</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260"/>
        <w:spacing w:after="0"/>
        <w:rPr>
          <w:sz w:val="20"/>
          <w:szCs w:val="20"/>
          <w:color w:val="auto"/>
        </w:rPr>
      </w:pPr>
      <w:r>
        <w:rPr>
          <w:rFonts w:ascii="Arial" w:cs="Arial" w:eastAsia="Arial" w:hAnsi="Arial"/>
          <w:sz w:val="19"/>
          <w:szCs w:val="19"/>
          <w:b w:val="1"/>
          <w:bCs w:val="1"/>
          <w:color w:val="auto"/>
        </w:rPr>
        <w:t>0-7647</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41-0771293</w:t>
      </w:r>
    </w:p>
    <w:p>
      <w:pPr>
        <w:spacing w:after="0" w:line="59" w:lineRule="exact"/>
        <w:rPr>
          <w:sz w:val="24"/>
          <w:szCs w:val="24"/>
          <w:color w:val="auto"/>
        </w:rPr>
      </w:pPr>
    </w:p>
    <w:p>
      <w:pPr>
        <w:sectPr>
          <w:pgSz w:w="11900" w:h="16838" w:orient="portrait"/>
          <w:cols w:equalWidth="0" w:num="3">
            <w:col w:w="4680" w:space="720"/>
            <w:col w:w="2880" w:space="720"/>
            <w:col w:w="2420"/>
          </w:cols>
          <w:pgMar w:left="240" w:top="786" w:right="239" w:bottom="0" w:gutter="0" w:footer="0" w:header="0"/>
          <w:type w:val="continuous"/>
        </w:sectPr>
      </w:pPr>
    </w:p>
    <w:p>
      <w:pPr>
        <w:spacing w:after="0" w:line="3" w:lineRule="exact"/>
        <w:rPr>
          <w:sz w:val="24"/>
          <w:szCs w:val="24"/>
          <w:color w:val="auto"/>
        </w:rPr>
      </w:pPr>
    </w:p>
    <w:p>
      <w:pPr>
        <w:ind w:left="1080"/>
        <w:spacing w:after="0"/>
        <w:rPr>
          <w:sz w:val="20"/>
          <w:szCs w:val="20"/>
          <w:color w:val="auto"/>
        </w:rPr>
      </w:pPr>
      <w:r>
        <w:rPr>
          <w:rFonts w:ascii="Arial" w:cs="Arial" w:eastAsia="Arial" w:hAnsi="Arial"/>
          <w:sz w:val="16"/>
          <w:szCs w:val="16"/>
          <w:color w:val="auto"/>
        </w:rPr>
        <w:t>(State of Incorporation)</w:t>
      </w:r>
    </w:p>
    <w:p>
      <w:pPr>
        <w:spacing w:after="0" w:line="20" w:lineRule="exact"/>
        <w:rPr>
          <w:sz w:val="24"/>
          <w:szCs w:val="24"/>
          <w:color w:val="auto"/>
        </w:rPr>
      </w:pPr>
      <w:r>
        <w:rPr>
          <w:sz w:val="24"/>
          <w:szCs w:val="24"/>
          <w:color w:val="auto"/>
        </w:rPr>
        <w:br w:type="column"/>
      </w:r>
    </w:p>
    <w:p>
      <w:pPr>
        <w:jc w:val="center"/>
        <w:ind w:right="146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jc w:val="center"/>
        <w:ind w:right="1260"/>
        <w:spacing w:after="0"/>
        <w:rPr>
          <w:sz w:val="20"/>
          <w:szCs w:val="20"/>
          <w:color w:val="auto"/>
        </w:rPr>
      </w:pPr>
      <w:r>
        <w:rPr>
          <w:rFonts w:ascii="Arial" w:cs="Arial" w:eastAsia="Arial" w:hAnsi="Arial"/>
          <w:sz w:val="18"/>
          <w:szCs w:val="18"/>
          <w:color w:val="auto"/>
        </w:rPr>
        <w:t>(IRS Employer</w:t>
      </w:r>
    </w:p>
    <w:p>
      <w:pPr>
        <w:jc w:val="center"/>
        <w:ind w:right="1260"/>
        <w:spacing w:after="0"/>
        <w:rPr>
          <w:sz w:val="20"/>
          <w:szCs w:val="20"/>
          <w:color w:val="auto"/>
        </w:rPr>
      </w:pPr>
      <w:r>
        <w:rPr>
          <w:rFonts w:ascii="Arial" w:cs="Arial" w:eastAsia="Arial" w:hAnsi="Arial"/>
          <w:sz w:val="16"/>
          <w:szCs w:val="16"/>
          <w:color w:val="auto"/>
        </w:rPr>
        <w:t>Identification No.)</w:t>
      </w:r>
    </w:p>
    <w:p>
      <w:pPr>
        <w:spacing w:after="0" w:line="200" w:lineRule="exact"/>
        <w:rPr>
          <w:sz w:val="24"/>
          <w:szCs w:val="24"/>
          <w:color w:val="auto"/>
        </w:rPr>
      </w:pPr>
    </w:p>
    <w:p>
      <w:pPr>
        <w:sectPr>
          <w:pgSz w:w="11900" w:h="16838" w:orient="portrait"/>
          <w:cols w:equalWidth="0" w:num="3">
            <w:col w:w="4020" w:space="720"/>
            <w:col w:w="3400" w:space="720"/>
            <w:col w:w="2560"/>
          </w:cols>
          <w:pgMar w:left="240" w:top="786" w:right="239" w:bottom="0" w:gutter="0" w:footer="0" w:header="0"/>
          <w:type w:val="continuous"/>
        </w:sectPr>
      </w:pPr>
    </w:p>
    <w:p>
      <w:pPr>
        <w:spacing w:after="0" w:line="50" w:lineRule="exact"/>
        <w:rPr>
          <w:sz w:val="24"/>
          <w:szCs w:val="24"/>
          <w:color w:val="auto"/>
        </w:rPr>
      </w:pPr>
    </w:p>
    <w:p>
      <w:pPr>
        <w:ind w:left="1220"/>
        <w:spacing w:after="0"/>
        <w:rPr>
          <w:sz w:val="20"/>
          <w:szCs w:val="20"/>
          <w:color w:val="auto"/>
        </w:rPr>
      </w:pPr>
      <w:r>
        <w:rPr>
          <w:rFonts w:ascii="Arial" w:cs="Arial" w:eastAsia="Arial" w:hAnsi="Arial"/>
          <w:sz w:val="19"/>
          <w:szCs w:val="19"/>
          <w:b w:val="1"/>
          <w:bCs w:val="1"/>
          <w:color w:val="auto"/>
        </w:rPr>
        <w:t>3100 East Hennepin Avenue</w:t>
      </w:r>
    </w:p>
    <w:p>
      <w:pPr>
        <w:spacing w:after="0" w:line="49" w:lineRule="exact"/>
        <w:rPr>
          <w:sz w:val="24"/>
          <w:szCs w:val="24"/>
          <w:color w:val="auto"/>
        </w:rPr>
      </w:pPr>
    </w:p>
    <w:p>
      <w:pPr>
        <w:ind w:left="1700"/>
        <w:spacing w:after="0"/>
        <w:rPr>
          <w:sz w:val="20"/>
          <w:szCs w:val="20"/>
          <w:color w:val="auto"/>
        </w:rPr>
      </w:pPr>
      <w:r>
        <w:rPr>
          <w:rFonts w:ascii="Arial" w:cs="Arial" w:eastAsia="Arial" w:hAnsi="Arial"/>
          <w:sz w:val="22"/>
          <w:szCs w:val="22"/>
          <w:b w:val="1"/>
          <w:bCs w:val="1"/>
          <w:color w:val="auto"/>
        </w:rPr>
        <w:t>Minneapolis, MN</w:t>
      </w:r>
    </w:p>
    <w:p>
      <w:pPr>
        <w:spacing w:after="0" w:line="20" w:lineRule="exact"/>
        <w:rPr>
          <w:sz w:val="24"/>
          <w:szCs w:val="24"/>
          <w:color w:val="auto"/>
        </w:rPr>
      </w:pPr>
      <w:r>
        <w:rPr>
          <w:sz w:val="24"/>
          <w:szCs w:val="24"/>
          <w:color w:val="auto"/>
        </w:rPr>
        <w:br w:type="column"/>
      </w:r>
    </w:p>
    <w:p>
      <w:pPr>
        <w:spacing w:after="0" w:line="273"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55413</w:t>
      </w:r>
    </w:p>
    <w:p>
      <w:pPr>
        <w:spacing w:after="0" w:line="62" w:lineRule="exact"/>
        <w:rPr>
          <w:sz w:val="24"/>
          <w:szCs w:val="24"/>
          <w:color w:val="auto"/>
        </w:rPr>
      </w:pPr>
    </w:p>
    <w:p>
      <w:pPr>
        <w:sectPr>
          <w:pgSz w:w="11900" w:h="16838" w:orient="portrait"/>
          <w:cols w:equalWidth="0" w:num="2">
            <w:col w:w="8620" w:space="720"/>
            <w:col w:w="2080"/>
          </w:cols>
          <w:pgMar w:left="240" w:top="786" w:right="239" w:bottom="0" w:gutter="0" w:footer="0" w:header="0"/>
          <w:type w:val="continuous"/>
        </w:sectPr>
      </w:pPr>
    </w:p>
    <w:p>
      <w:pPr>
        <w:ind w:left="10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8500" w:space="720"/>
            <w:col w:w="2200"/>
          </w:cols>
          <w:pgMar w:left="240" w:top="786" w:right="239" w:bottom="0" w:gutter="0" w:footer="0" w:header="0"/>
          <w:type w:val="continuous"/>
        </w:sectPr>
      </w:pP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 xml:space="preserve">Registrant’s Telephone Number, Including Area Code </w:t>
      </w:r>
      <w:r>
        <w:rPr>
          <w:rFonts w:ascii="Arial" w:cs="Arial" w:eastAsia="Arial" w:hAnsi="Arial"/>
          <w:sz w:val="22"/>
          <w:szCs w:val="22"/>
          <w:b w:val="1"/>
          <w:bCs w:val="1"/>
          <w:color w:val="auto"/>
        </w:rPr>
        <w:t>(612) 331-6910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231775</wp:posOffset>
            </wp:positionV>
            <wp:extent cx="147066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firstLine="439"/>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 (</w:t>
      </w:r>
      <w:r>
        <w:rPr>
          <w:rFonts w:ascii="Arial" w:cs="Arial" w:eastAsia="Arial" w:hAnsi="Arial"/>
          <w:sz w:val="22"/>
          <w:szCs w:val="22"/>
          <w:i w:val="1"/>
          <w:iCs w:val="1"/>
          <w:color w:val="auto"/>
        </w:rPr>
        <w:t>see</w:t>
      </w:r>
      <w:r>
        <w:rPr>
          <w:rFonts w:ascii="Arial" w:cs="Arial" w:eastAsia="Arial" w:hAnsi="Arial"/>
          <w:sz w:val="22"/>
          <w:szCs w:val="22"/>
          <w:color w:val="auto"/>
        </w:rPr>
        <w:t xml:space="preserve"> General Instruction A.2. below):</w:t>
      </w:r>
    </w:p>
    <w:p>
      <w:pPr>
        <w:spacing w:after="0" w:line="200" w:lineRule="exact"/>
        <w:rPr>
          <w:sz w:val="24"/>
          <w:szCs w:val="24"/>
          <w:color w:val="auto"/>
        </w:rPr>
      </w:pPr>
    </w:p>
    <w:p>
      <w:pPr>
        <w:ind w:left="4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spacing w:after="0" w:line="233" w:lineRule="exact"/>
        <w:rPr>
          <w:sz w:val="24"/>
          <w:szCs w:val="24"/>
          <w:color w:val="auto"/>
        </w:rPr>
      </w:pPr>
    </w:p>
    <w:p>
      <w:pPr>
        <w:ind w:left="440"/>
        <w:spacing w:after="0"/>
        <w:rPr>
          <w:sz w:val="20"/>
          <w:szCs w:val="20"/>
          <w:color w:val="auto"/>
        </w:rPr>
      </w:pPr>
      <w:r>
        <w:rPr>
          <w:rFonts w:ascii="Arial" w:cs="Arial" w:eastAsia="Arial" w:hAnsi="Arial"/>
          <w:sz w:val="22"/>
          <w:szCs w:val="22"/>
          <w:color w:val="auto"/>
        </w:rPr>
        <w:t>o Soliciting material pursuant to Rule 14a-12 under the Exchange Act (17 CFR 240.14a-12)</w:t>
      </w:r>
    </w:p>
    <w:p>
      <w:pPr>
        <w:spacing w:after="0" w:line="233" w:lineRule="exact"/>
        <w:rPr>
          <w:sz w:val="24"/>
          <w:szCs w:val="24"/>
          <w:color w:val="auto"/>
        </w:rPr>
      </w:pPr>
    </w:p>
    <w:p>
      <w:pPr>
        <w:ind w:left="4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45" w:lineRule="exact"/>
        <w:rPr>
          <w:sz w:val="24"/>
          <w:szCs w:val="24"/>
          <w:color w:val="auto"/>
        </w:rPr>
      </w:pPr>
    </w:p>
    <w:p>
      <w:pPr>
        <w:ind w:left="4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441325</wp:posOffset>
            </wp:positionV>
            <wp:extent cx="725043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Item 2.02.Results of Operations and Financial Condition.</w:t>
      </w:r>
    </w:p>
    <w:p>
      <w:pPr>
        <w:spacing w:after="0" w:line="225" w:lineRule="exact"/>
        <w:rPr>
          <w:sz w:val="24"/>
          <w:szCs w:val="24"/>
          <w:color w:val="auto"/>
        </w:rPr>
      </w:pPr>
    </w:p>
    <w:p>
      <w:pPr>
        <w:ind w:right="420" w:firstLine="913"/>
        <w:spacing w:after="0" w:line="268" w:lineRule="auto"/>
        <w:rPr>
          <w:sz w:val="20"/>
          <w:szCs w:val="20"/>
          <w:color w:val="auto"/>
        </w:rPr>
      </w:pPr>
      <w:r>
        <w:rPr>
          <w:rFonts w:ascii="Arial" w:cs="Arial" w:eastAsia="Arial" w:hAnsi="Arial"/>
          <w:sz w:val="18"/>
          <w:szCs w:val="18"/>
          <w:color w:val="auto"/>
        </w:rPr>
        <w:t>On June 4, 2009, Hawkins, Inc. issued a press release announcing financial results for its fiscal year ended March 29, 2009. A copy of the press release issued by the Registrant is furnished herewith as Exhibit 99 hereto and is incorporated herein by reference.</w:t>
      </w:r>
    </w:p>
    <w:p>
      <w:pPr>
        <w:spacing w:after="0" w:line="167"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Item 9.01.Financial Statements and Exhibits.</w:t>
      </w:r>
    </w:p>
    <w:p>
      <w:pPr>
        <w:spacing w:after="0" w:line="225" w:lineRule="exact"/>
        <w:rPr>
          <w:sz w:val="24"/>
          <w:szCs w:val="24"/>
          <w:color w:val="auto"/>
        </w:rPr>
      </w:pPr>
    </w:p>
    <w:p>
      <w:pPr>
        <w:ind w:left="920" w:hanging="562"/>
        <w:spacing w:after="0"/>
        <w:tabs>
          <w:tab w:leader="none" w:pos="920" w:val="left"/>
        </w:tabs>
        <w:numPr>
          <w:ilvl w:val="0"/>
          <w:numId w:val="1"/>
        </w:numPr>
        <w:rPr>
          <w:rFonts w:ascii="Arial" w:cs="Arial" w:eastAsia="Arial" w:hAnsi="Arial"/>
          <w:sz w:val="18"/>
          <w:szCs w:val="18"/>
          <w:color w:val="auto"/>
        </w:rPr>
      </w:pPr>
      <w:r>
        <w:rPr>
          <w:rFonts w:ascii="Arial" w:cs="Arial" w:eastAsia="Arial" w:hAnsi="Arial"/>
          <w:sz w:val="18"/>
          <w:szCs w:val="18"/>
          <w:u w:val="single" w:color="auto"/>
          <w:color w:val="auto"/>
        </w:rPr>
        <w:t>Exhibit</w:t>
      </w:r>
    </w:p>
    <w:p>
      <w:pPr>
        <w:spacing w:after="0" w:line="157"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6"/>
          <w:szCs w:val="16"/>
          <w:color w:val="auto"/>
        </w:rPr>
        <w:t>Exhibit 99 – Press Release, dated June 4, 2009, announcing financial results of Hawkins, Inc. for its fiscal year ended March 29,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1447165</wp:posOffset>
            </wp:positionV>
            <wp:extent cx="725043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SIGNATURES</w:t>
      </w:r>
    </w:p>
    <w:p>
      <w:pPr>
        <w:sectPr>
          <w:pgSz w:w="11900" w:h="16838" w:orient="portrait"/>
          <w:cols w:equalWidth="0" w:num="1">
            <w:col w:w="11420"/>
          </w:cols>
          <w:pgMar w:left="240" w:top="786" w:right="239" w:bottom="0" w:gutter="0" w:footer="0" w:header="0"/>
          <w:type w:val="continuous"/>
        </w:sectPr>
      </w:pPr>
    </w:p>
    <w:bookmarkStart w:id="1" w:name="page2"/>
    <w:bookmarkEnd w:id="1"/>
    <w:p>
      <w:pPr>
        <w:ind w:right="20" w:firstLine="439"/>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HAWKINS, INC.</w:t>
      </w:r>
    </w:p>
    <w:p>
      <w:pPr>
        <w:spacing w:after="0" w:line="306" w:lineRule="exact"/>
        <w:rPr>
          <w:sz w:val="20"/>
          <w:szCs w:val="20"/>
          <w:color w:val="auto"/>
        </w:rPr>
      </w:pPr>
    </w:p>
    <w:p>
      <w:pPr>
        <w:spacing w:after="0"/>
        <w:tabs>
          <w:tab w:leader="none" w:pos="6840" w:val="left"/>
          <w:tab w:leader="none" w:pos="8520" w:val="left"/>
        </w:tabs>
        <w:rPr>
          <w:sz w:val="20"/>
          <w:szCs w:val="20"/>
          <w:color w:val="auto"/>
        </w:rPr>
      </w:pPr>
      <w:r>
        <w:rPr>
          <w:rFonts w:ascii="Arial" w:cs="Arial" w:eastAsia="Arial" w:hAnsi="Arial"/>
          <w:sz w:val="18"/>
          <w:szCs w:val="18"/>
          <w:color w:val="auto"/>
        </w:rPr>
        <w:t>Date: June 8, 2009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Kathleen P. Pepski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19685</wp:posOffset>
            </wp:positionV>
            <wp:extent cx="26841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5" w:lineRule="exact"/>
        <w:rPr>
          <w:sz w:val="20"/>
          <w:szCs w:val="20"/>
          <w:color w:val="auto"/>
        </w:rPr>
      </w:pPr>
    </w:p>
    <w:p>
      <w:pPr>
        <w:jc w:val="center"/>
        <w:ind w:left="7200"/>
        <w:spacing w:after="0"/>
        <w:rPr>
          <w:sz w:val="20"/>
          <w:szCs w:val="20"/>
          <w:color w:val="auto"/>
        </w:rPr>
      </w:pPr>
      <w:r>
        <w:rPr>
          <w:rFonts w:ascii="Arial" w:cs="Arial" w:eastAsia="Arial" w:hAnsi="Arial"/>
          <w:sz w:val="18"/>
          <w:szCs w:val="18"/>
          <w:color w:val="auto"/>
        </w:rPr>
        <w:t>Kathleen P. Pepski</w:t>
      </w:r>
    </w:p>
    <w:p>
      <w:pPr>
        <w:spacing w:after="0" w:line="15" w:lineRule="exact"/>
        <w:rPr>
          <w:sz w:val="20"/>
          <w:szCs w:val="20"/>
          <w:color w:val="auto"/>
        </w:rPr>
      </w:pPr>
    </w:p>
    <w:p>
      <w:pPr>
        <w:jc w:val="center"/>
        <w:ind w:left="7200"/>
        <w:spacing w:after="0"/>
        <w:rPr>
          <w:sz w:val="20"/>
          <w:szCs w:val="20"/>
          <w:color w:val="auto"/>
        </w:rPr>
      </w:pPr>
      <w:r>
        <w:rPr>
          <w:rFonts w:ascii="Arial" w:cs="Arial" w:eastAsia="Arial" w:hAnsi="Arial"/>
          <w:sz w:val="18"/>
          <w:szCs w:val="18"/>
          <w:color w:val="auto"/>
        </w:rPr>
        <w:t>Vice President, Chief Financial Officer,</w:t>
      </w:r>
    </w:p>
    <w:p>
      <w:pPr>
        <w:spacing w:after="0" w:line="9" w:lineRule="exact"/>
        <w:rPr>
          <w:sz w:val="20"/>
          <w:szCs w:val="20"/>
          <w:color w:val="auto"/>
        </w:rPr>
      </w:pPr>
    </w:p>
    <w:p>
      <w:pPr>
        <w:jc w:val="center"/>
        <w:ind w:left="7200"/>
        <w:spacing w:after="0"/>
        <w:rPr>
          <w:sz w:val="20"/>
          <w:szCs w:val="20"/>
          <w:color w:val="auto"/>
        </w:rPr>
      </w:pPr>
      <w:r>
        <w:rPr>
          <w:rFonts w:ascii="Arial" w:cs="Arial" w:eastAsia="Arial" w:hAnsi="Arial"/>
          <w:sz w:val="18"/>
          <w:szCs w:val="18"/>
          <w:color w:val="auto"/>
        </w:rPr>
        <w:t>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1428750</wp:posOffset>
            </wp:positionV>
            <wp:extent cx="725043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520" w:type="dxa"/>
            <w:vAlign w:val="bottom"/>
          </w:tcPr>
          <w:p>
            <w:pPr>
              <w:spacing w:after="0"/>
              <w:rPr>
                <w:sz w:val="20"/>
                <w:szCs w:val="20"/>
                <w:color w:val="auto"/>
              </w:rPr>
            </w:pPr>
            <w:r>
              <w:rPr>
                <w:rFonts w:ascii="Arial" w:cs="Arial" w:eastAsia="Arial" w:hAnsi="Arial"/>
                <w:sz w:val="18"/>
                <w:szCs w:val="18"/>
                <w:color w:val="auto"/>
              </w:rPr>
              <w:t>Index to Exhibits</w:t>
            </w:r>
          </w:p>
        </w:tc>
        <w:tc>
          <w:tcPr>
            <w:tcW w:w="340" w:type="dxa"/>
            <w:vAlign w:val="bottom"/>
          </w:tcPr>
          <w:p>
            <w:pPr>
              <w:spacing w:after="0"/>
              <w:rPr>
                <w:sz w:val="19"/>
                <w:szCs w:val="19"/>
                <w:color w:val="auto"/>
              </w:rPr>
            </w:pPr>
          </w:p>
        </w:tc>
        <w:tc>
          <w:tcPr>
            <w:tcW w:w="7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40" w:type="dxa"/>
            <w:vAlign w:val="bottom"/>
          </w:tcPr>
          <w:p>
            <w:pPr>
              <w:spacing w:after="0"/>
              <w:rPr>
                <w:sz w:val="19"/>
                <w:szCs w:val="19"/>
                <w:color w:val="auto"/>
              </w:rPr>
            </w:pPr>
          </w:p>
        </w:tc>
      </w:tr>
      <w:tr>
        <w:trPr>
          <w:trHeight w:val="642"/>
        </w:trPr>
        <w:tc>
          <w:tcPr>
            <w:tcW w:w="1520" w:type="dxa"/>
            <w:vAlign w:val="bottom"/>
          </w:tcPr>
          <w:p>
            <w:pPr>
              <w:ind w:left="480"/>
              <w:spacing w:after="0"/>
              <w:rPr>
                <w:sz w:val="20"/>
                <w:szCs w:val="20"/>
                <w:color w:val="auto"/>
              </w:rPr>
            </w:pPr>
            <w:r>
              <w:rPr>
                <w:rFonts w:ascii="Arial" w:cs="Arial" w:eastAsia="Arial" w:hAnsi="Arial"/>
                <w:sz w:val="18"/>
                <w:szCs w:val="18"/>
                <w:color w:val="auto"/>
              </w:rPr>
              <w:t>Exhibit</w:t>
            </w:r>
          </w:p>
        </w:tc>
        <w:tc>
          <w:tcPr>
            <w:tcW w:w="34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223"/>
        </w:trPr>
        <w:tc>
          <w:tcPr>
            <w:tcW w:w="1520" w:type="dxa"/>
            <w:vAlign w:val="bottom"/>
          </w:tcPr>
          <w:p>
            <w:pPr>
              <w:jc w:val="center"/>
              <w:spacing w:after="0"/>
              <w:rPr>
                <w:sz w:val="20"/>
                <w:szCs w:val="20"/>
                <w:color w:val="auto"/>
              </w:rPr>
            </w:pPr>
            <w:r>
              <w:rPr>
                <w:rFonts w:ascii="Arial" w:cs="Arial" w:eastAsia="Arial" w:hAnsi="Arial"/>
                <w:sz w:val="18"/>
                <w:szCs w:val="18"/>
                <w:color w:val="auto"/>
                <w:w w:val="92"/>
              </w:rPr>
              <w:t>No.</w:t>
            </w:r>
          </w:p>
        </w:tc>
        <w:tc>
          <w:tcPr>
            <w:tcW w:w="7760" w:type="dxa"/>
            <w:vAlign w:val="bottom"/>
            <w:gridSpan w:val="3"/>
          </w:tcPr>
          <w:p>
            <w:pPr>
              <w:ind w:left="340"/>
              <w:spacing w:after="0"/>
              <w:rPr>
                <w:sz w:val="20"/>
                <w:szCs w:val="20"/>
                <w:color w:val="auto"/>
              </w:rPr>
            </w:pPr>
            <w:r>
              <w:rPr>
                <w:rFonts w:ascii="Arial" w:cs="Arial" w:eastAsia="Arial" w:hAnsi="Arial"/>
                <w:sz w:val="18"/>
                <w:szCs w:val="18"/>
                <w:color w:val="auto"/>
              </w:rPr>
              <w:t>Description</w:t>
            </w:r>
          </w:p>
        </w:tc>
        <w:tc>
          <w:tcPr>
            <w:tcW w:w="2140" w:type="dxa"/>
            <w:vAlign w:val="bottom"/>
          </w:tcPr>
          <w:p>
            <w:pPr>
              <w:jc w:val="center"/>
              <w:spacing w:after="0"/>
              <w:rPr>
                <w:sz w:val="20"/>
                <w:szCs w:val="20"/>
                <w:color w:val="auto"/>
              </w:rPr>
            </w:pPr>
            <w:r>
              <w:rPr>
                <w:rFonts w:ascii="Arial" w:cs="Arial" w:eastAsia="Arial" w:hAnsi="Arial"/>
                <w:sz w:val="18"/>
                <w:szCs w:val="18"/>
                <w:color w:val="auto"/>
                <w:w w:val="93"/>
              </w:rPr>
              <w:t>Method of Filing</w:t>
            </w:r>
          </w:p>
        </w:tc>
      </w:tr>
      <w:tr>
        <w:trPr>
          <w:trHeight w:val="20"/>
        </w:trPr>
        <w:tc>
          <w:tcPr>
            <w:tcW w:w="15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r>
      <w:tr>
        <w:trPr>
          <w:trHeight w:val="351"/>
        </w:trPr>
        <w:tc>
          <w:tcPr>
            <w:tcW w:w="1520" w:type="dxa"/>
            <w:vAlign w:val="bottom"/>
          </w:tcPr>
          <w:p>
            <w:pPr>
              <w:jc w:val="right"/>
              <w:ind w:right="572"/>
              <w:spacing w:after="0"/>
              <w:rPr>
                <w:sz w:val="20"/>
                <w:szCs w:val="20"/>
                <w:color w:val="auto"/>
              </w:rPr>
            </w:pPr>
            <w:r>
              <w:rPr>
                <w:rFonts w:ascii="Arial" w:cs="Arial" w:eastAsia="Arial" w:hAnsi="Arial"/>
                <w:sz w:val="18"/>
                <w:szCs w:val="18"/>
                <w:color w:val="auto"/>
              </w:rPr>
              <w:t>99</w:t>
            </w:r>
          </w:p>
        </w:tc>
        <w:tc>
          <w:tcPr>
            <w:tcW w:w="7760" w:type="dxa"/>
            <w:vAlign w:val="bottom"/>
            <w:gridSpan w:val="3"/>
          </w:tcPr>
          <w:p>
            <w:pPr>
              <w:ind w:left="340"/>
              <w:spacing w:after="0"/>
              <w:rPr>
                <w:sz w:val="20"/>
                <w:szCs w:val="20"/>
                <w:color w:val="auto"/>
              </w:rPr>
            </w:pPr>
            <w:r>
              <w:rPr>
                <w:rFonts w:ascii="Arial" w:cs="Arial" w:eastAsia="Arial" w:hAnsi="Arial"/>
                <w:sz w:val="18"/>
                <w:szCs w:val="18"/>
                <w:color w:val="auto"/>
                <w:w w:val="94"/>
              </w:rPr>
              <w:t>Press Release, dated June 4, 2009, announcing financial results of Hawkins, Inc. for its fiscal year</w:t>
            </w:r>
          </w:p>
        </w:tc>
        <w:tc>
          <w:tcPr>
            <w:tcW w:w="2140" w:type="dxa"/>
            <w:vAlign w:val="bottom"/>
          </w:tcPr>
          <w:p>
            <w:pPr>
              <w:ind w:left="700"/>
              <w:spacing w:after="0"/>
              <w:rPr>
                <w:sz w:val="20"/>
                <w:szCs w:val="20"/>
                <w:color w:val="auto"/>
              </w:rPr>
            </w:pPr>
            <w:r>
              <w:rPr>
                <w:rFonts w:ascii="Arial" w:cs="Arial" w:eastAsia="Arial" w:hAnsi="Arial"/>
                <w:sz w:val="18"/>
                <w:szCs w:val="18"/>
                <w:color w:val="auto"/>
              </w:rPr>
              <w:t>Electronic</w:t>
            </w:r>
          </w:p>
        </w:tc>
      </w:tr>
      <w:tr>
        <w:trPr>
          <w:trHeight w:val="222"/>
        </w:trPr>
        <w:tc>
          <w:tcPr>
            <w:tcW w:w="1520" w:type="dxa"/>
            <w:vAlign w:val="bottom"/>
          </w:tcPr>
          <w:p>
            <w:pPr>
              <w:spacing w:after="0"/>
              <w:rPr>
                <w:sz w:val="19"/>
                <w:szCs w:val="19"/>
                <w:color w:val="auto"/>
              </w:rPr>
            </w:pPr>
          </w:p>
        </w:tc>
        <w:tc>
          <w:tcPr>
            <w:tcW w:w="7760" w:type="dxa"/>
            <w:vAlign w:val="bottom"/>
            <w:gridSpan w:val="3"/>
          </w:tcPr>
          <w:p>
            <w:pPr>
              <w:ind w:left="340"/>
              <w:spacing w:after="0"/>
              <w:rPr>
                <w:sz w:val="20"/>
                <w:szCs w:val="20"/>
                <w:color w:val="auto"/>
              </w:rPr>
            </w:pPr>
            <w:r>
              <w:rPr>
                <w:rFonts w:ascii="Arial" w:cs="Arial" w:eastAsia="Arial" w:hAnsi="Arial"/>
                <w:sz w:val="18"/>
                <w:szCs w:val="18"/>
                <w:color w:val="auto"/>
              </w:rPr>
              <w:t>ended March 29, 2009.</w:t>
            </w:r>
          </w:p>
        </w:tc>
        <w:tc>
          <w:tcPr>
            <w:tcW w:w="2140" w:type="dxa"/>
            <w:vAlign w:val="bottom"/>
          </w:tcPr>
          <w:p>
            <w:pPr>
              <w:jc w:val="center"/>
              <w:spacing w:after="0"/>
              <w:rPr>
                <w:sz w:val="20"/>
                <w:szCs w:val="20"/>
                <w:color w:val="auto"/>
              </w:rPr>
            </w:pPr>
            <w:r>
              <w:rPr>
                <w:rFonts w:ascii="Arial" w:cs="Arial" w:eastAsia="Arial" w:hAnsi="Arial"/>
                <w:sz w:val="18"/>
                <w:szCs w:val="18"/>
                <w:color w:val="auto"/>
                <w:w w:val="87"/>
              </w:rPr>
              <w:t>Transmission</w:t>
            </w:r>
          </w:p>
        </w:tc>
      </w:tr>
      <w:tr>
        <w:trPr>
          <w:trHeight w:val="2484"/>
        </w:trPr>
        <w:tc>
          <w:tcPr>
            <w:tcW w:w="152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708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21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 w:name="page3"/>
    <w:bookmarkEnd w:id="2"/>
    <w:p>
      <w:pPr>
        <w:jc w:val="right"/>
        <w:spacing w:after="0"/>
        <w:rPr>
          <w:sz w:val="20"/>
          <w:szCs w:val="20"/>
          <w:color w:val="auto"/>
        </w:rPr>
      </w:pPr>
      <w:r>
        <w:rPr>
          <w:rFonts w:ascii="Arial" w:cs="Arial" w:eastAsia="Arial" w:hAnsi="Arial"/>
          <w:sz w:val="22"/>
          <w:szCs w:val="22"/>
          <w:b w:val="1"/>
          <w:bCs w:val="1"/>
          <w:color w:val="auto"/>
        </w:rPr>
        <w:t>Exhibit 99</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FOR IMMEDIATE RELEASE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John R. Hawkins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612/617-8532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John.Hawkins@HawkinsInc.com</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Kathleen P. Pepski</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612/617-8571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Kathleen.Pepski@HawkinsInc.com</w:t>
      </w:r>
    </w:p>
    <w:p>
      <w:pPr>
        <w:spacing w:after="0" w:line="267" w:lineRule="exact"/>
        <w:rPr>
          <w:sz w:val="20"/>
          <w:szCs w:val="20"/>
          <w:color w:val="auto"/>
        </w:rPr>
      </w:pPr>
    </w:p>
    <w:p>
      <w:pPr>
        <w:ind w:left="4320"/>
        <w:spacing w:after="0"/>
        <w:rPr>
          <w:sz w:val="20"/>
          <w:szCs w:val="20"/>
          <w:color w:val="auto"/>
        </w:rPr>
      </w:pPr>
      <w:r>
        <w:rPr>
          <w:rFonts w:ascii="Arial" w:cs="Arial" w:eastAsia="Arial" w:hAnsi="Arial"/>
          <w:sz w:val="22"/>
          <w:szCs w:val="22"/>
          <w:b w:val="1"/>
          <w:bCs w:val="1"/>
          <w:u w:val="single" w:color="auto"/>
          <w:color w:val="auto"/>
        </w:rPr>
        <w:t>HAWKINS, INC. REPORTS</w:t>
      </w:r>
    </w:p>
    <w:p>
      <w:pPr>
        <w:spacing w:after="0" w:line="206" w:lineRule="exact"/>
        <w:rPr>
          <w:sz w:val="20"/>
          <w:szCs w:val="20"/>
          <w:color w:val="auto"/>
        </w:rPr>
      </w:pPr>
    </w:p>
    <w:p>
      <w:pPr>
        <w:ind w:left="3480"/>
        <w:spacing w:after="0"/>
        <w:rPr>
          <w:sz w:val="20"/>
          <w:szCs w:val="20"/>
          <w:color w:val="auto"/>
        </w:rPr>
      </w:pPr>
      <w:r>
        <w:rPr>
          <w:rFonts w:ascii="Arial" w:cs="Arial" w:eastAsia="Arial" w:hAnsi="Arial"/>
          <w:sz w:val="22"/>
          <w:szCs w:val="22"/>
          <w:b w:val="1"/>
          <w:bCs w:val="1"/>
          <w:u w:val="single" w:color="auto"/>
          <w:color w:val="auto"/>
        </w:rPr>
        <w:t>FOURTH QUARTER, FISCAL 2009 RESULTS</w:t>
      </w:r>
    </w:p>
    <w:p>
      <w:pPr>
        <w:spacing w:after="0" w:line="225" w:lineRule="exact"/>
        <w:rPr>
          <w:sz w:val="20"/>
          <w:szCs w:val="20"/>
          <w:color w:val="auto"/>
        </w:rPr>
      </w:pPr>
    </w:p>
    <w:p>
      <w:pPr>
        <w:ind w:left="4000" w:hanging="346"/>
        <w:spacing w:after="0"/>
        <w:tabs>
          <w:tab w:leader="none" w:pos="400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Sales from continuing operations increase 52.3% for the year</w:t>
      </w:r>
    </w:p>
    <w:p>
      <w:pPr>
        <w:spacing w:after="0" w:line="15" w:lineRule="exact"/>
        <w:rPr>
          <w:rFonts w:ascii="Arial" w:cs="Arial" w:eastAsia="Arial" w:hAnsi="Arial"/>
          <w:sz w:val="18"/>
          <w:szCs w:val="18"/>
          <w:b w:val="1"/>
          <w:bCs w:val="1"/>
          <w:color w:val="auto"/>
        </w:rPr>
      </w:pPr>
    </w:p>
    <w:p>
      <w:pPr>
        <w:ind w:left="4000" w:hanging="346"/>
        <w:spacing w:after="0"/>
        <w:tabs>
          <w:tab w:leader="none" w:pos="400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Net income of $23.8 million for the year</w:t>
      </w:r>
    </w:p>
    <w:p>
      <w:pPr>
        <w:spacing w:after="0" w:line="9" w:lineRule="exact"/>
        <w:rPr>
          <w:rFonts w:ascii="Arial" w:cs="Arial" w:eastAsia="Arial" w:hAnsi="Arial"/>
          <w:sz w:val="18"/>
          <w:szCs w:val="18"/>
          <w:b w:val="1"/>
          <w:bCs w:val="1"/>
          <w:color w:val="auto"/>
        </w:rPr>
      </w:pPr>
    </w:p>
    <w:p>
      <w:pPr>
        <w:ind w:left="4000" w:hanging="346"/>
        <w:spacing w:after="0"/>
        <w:tabs>
          <w:tab w:leader="none" w:pos="400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Annual earnings per share of $2.32 compared to $0.89 in the prior year</w:t>
      </w:r>
    </w:p>
    <w:p>
      <w:pPr>
        <w:spacing w:after="0" w:line="219"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Minneapolis, MN, June 4, 2009 – Hawkins, Inc. (Nasdaq: HWKN) today announced fourth quarter and full-year results for its fiscal year 2009 ended March 29, 2009. Sales of $284.4 million for fiscal 2009 represented an increase of 52.3% over $186.7 million in sales for the prior fiscal year. Net income for fiscal 2009 was $23.8 million, or $2.32 per share, fully diluted, compared to net income for fiscal 2008 of $9.1 million, or $0.89 per share, fully diluted. Income from operations for fiscal 2009 was negatively impacted by a LIFO inventory charge of approximately $10.0 million (approximately $6.2 million, or $0.61 per share, after tax) resulting from increased inventory costs and, to a lesser extent, changes in inventory product mix. The LIFO charge for the prior fiscal year was approximately $1.3 million (approximately $847,000, or $0.08 per share, after tax).</w:t>
      </w:r>
    </w:p>
    <w:p>
      <w:pPr>
        <w:spacing w:after="0" w:line="174"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For the fourth quarter ended March 29, 2009, Hawkins reported sales of $67.8 million and net income of $5.1 million, or $0.50 per share, fully diluted, as compared to sales of $48.7 million and net income of $1.7 million, or $0.17 per share, fully diluted, for the same period in the prior year. Income from operations for the quarter was negatively impacted by a LIFO inventory charge of approximately $3.0 million (approximately $2.0 million, or $0.19 per share, after tax). The LIFO charge for the prior fiscal year’s fourth quarter was approximately $1.2 million (approximately $835,000, or $0.08 per share, after tax).</w:t>
      </w:r>
    </w:p>
    <w:p>
      <w:pPr>
        <w:spacing w:after="0" w:line="167"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Chief Executive Officer, John R. Hawkins, commented, “While we saw some stabilization in commodity prices in the fourth quarter, our raw material costs remained significantly higher than the prior year, driving the higher sales reported within our Industrial and Water Treatment segments. Prices for many of the bulk commodities have declined significantly recently, consistent with weaker demand due to the slower economy. We expect these pricing declines to drive lower selling prices for our products in the coming fiscal year. As we have previously stated, we expect our fiscal 2010 business and the gross profit realized to return to levels more in line with historic results prior to fiscal 2009.” Hawkins added, “Our Industrial segment’s new manufacturing sites in Centralia, Illinois, for our food ingredients products and in Minneapolis for our bulk chemicals sold to pharmaceutical manufacturers are expected to come on line by mid-summer. We believe that this additional capacity will aid us in better serving our customers in these markets and provide us with the opportunity to grow our market share. I am very proud of what we were able to accomplish in fiscal 2009. We are well positioned as we enter the new fiscal year with our strong balance sheet, dedicated employees, inventory storage and logistics infrastructure. We remain committed to be the specialty chemical supplier of choice for our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336550</wp:posOffset>
            </wp:positionV>
            <wp:extent cx="725043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For fiscal 2009, Industrial segment sales were $201.6 million, an increase of 61.8% over fiscal 2008 sales of $124.6 million. The sales increase was primarily attributable to increases in selling prices related to rising material costs along existing product lines caused by supply constraints for certain products as well as higher volumes in higher value manufactured and specialty chemical products driven by increased demand. Water Treatment segment sales for fiscal 2009 were $82.8 million, an increase of 33.3% over fiscal 2008 sales of $62.1 million. The sales increase was primarily attributable to price increases related to higher material costs and expansion of sales of existing product lines, including specialty chemical products, to new and existing customers. The Company recently sold the inventory and entered into a marketing relationship relating to its retail Pharmaceutical segment. As a result, the Pharmaceutical segment has been reported as discontinued operations for all periods presented.</w:t>
      </w:r>
    </w:p>
    <w:p>
      <w:pPr>
        <w:spacing w:after="0" w:line="172"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Gross profit for fiscal 2009 was $62.4 million, or 22.0% of sales, compared to $38.5 million, or 20.6% of sales, for fiscal 2008. Gross profit for the Industrial segment was $41.5 million, or 20.6% of sales, for fiscal 2009, as compared to $19.8 million, or 15.9% of sales, for fiscal 2008. Gross profit for the Water Treatment segment was $21.0 million, or 25.3% of sales, for fiscal 2009, as compared to $18.7 million, or 30.2% of sales, for fiscal 2008. The increases in gross profit were primarily driven by the sale of lower-cost inventory on hand in a period of rapidly escalating market prices and, to a lesser degree, an increase in profits and volumes on certain Industrial segment products where we had the inventory to meet escalating demand from current and new customers during a period of constrained supply and an increase in demand for certain specialty chemical products in the Water Treatment segment.</w:t>
      </w:r>
    </w:p>
    <w:p>
      <w:pPr>
        <w:spacing w:after="0" w:line="17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Industrial segment increases were partially offset by the classification of certain expenses as cost of sales in fiscal 2009 that were classified as selling, general and administrative (SG&amp;A) in fiscal 2008. These expenses totaled $3.5 million in fiscal 2008. Additionally, the Industrial segment was negatively impacted by a decrease in demand for lower-margin products sold into the agricultural markets during the second half of fiscal 2009 as compared to the second half of fiscal 2008.</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SG&amp;A expenses decreased by $1.4 million in fiscal 2009 as compared to fiscal 2008. The decrease in expense was primarily due to the classification of $3.5</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million of certain expenses, which were classified as SG&amp;A in fiscal 2008, as cost of sales in fiscal 2009. Additionally, SG&amp;A expenses were reduced by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reduction of contractor and consulting fees related to the Company’s implementation of an Enterprise Resource Planning (ERP) system and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$300,000 of non-recurring acquisition-related expenses associated with the Trumark acquisition recorded in the first quarter of fiscal 2008. These reductions were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 increased variable pay expenses as a result of the higher profitability levels achieved in fiscal 2009.</w:t>
      </w:r>
    </w:p>
    <w:p>
      <w:pPr>
        <w:sectPr>
          <w:pgSz w:w="11900" w:h="16838" w:orient="portrait"/>
          <w:cols w:equalWidth="0" w:num="1">
            <w:col w:w="11420"/>
          </w:cols>
          <w:pgMar w:left="240" w:top="111" w:right="239" w:bottom="0" w:gutter="0" w:footer="0" w:header="0"/>
        </w:sectPr>
      </w:pPr>
    </w:p>
    <w:bookmarkStart w:id="3" w:name="page4"/>
    <w:bookmarkEnd w:id="3"/>
    <w:p>
      <w:pPr>
        <w:ind w:right="140"/>
        <w:spacing w:after="0" w:line="259" w:lineRule="auto"/>
        <w:rPr>
          <w:sz w:val="20"/>
          <w:szCs w:val="20"/>
          <w:color w:val="auto"/>
        </w:rPr>
      </w:pPr>
      <w:r>
        <w:rPr>
          <w:rFonts w:ascii="Arial" w:cs="Arial" w:eastAsia="Arial" w:hAnsi="Arial"/>
          <w:sz w:val="18"/>
          <w:szCs w:val="18"/>
          <w:color w:val="auto"/>
        </w:rPr>
        <w:t>Hawkins, Inc. distributes, blends and manufactures bulk and specialty chemicals for its customers in a wide variety of industries. Headquartered in Minneapolis, Minnesota, and with 20 facilities in 11 states, the Company creates value for its customers through superb customer service and support, quality products and personalized applications.</w:t>
      </w:r>
    </w:p>
    <w:p>
      <w:pPr>
        <w:spacing w:after="0" w:line="192" w:lineRule="exact"/>
        <w:rPr>
          <w:sz w:val="20"/>
          <w:szCs w:val="20"/>
          <w:color w:val="auto"/>
        </w:rPr>
      </w:pPr>
    </w:p>
    <w:p>
      <w:pPr>
        <w:spacing w:after="0" w:line="268" w:lineRule="auto"/>
        <w:rPr>
          <w:sz w:val="20"/>
          <w:szCs w:val="20"/>
          <w:color w:val="auto"/>
        </w:rPr>
      </w:pPr>
      <w:r>
        <w:rPr>
          <w:rFonts w:ascii="Arial" w:cs="Arial" w:eastAsia="Arial" w:hAnsi="Arial"/>
          <w:sz w:val="12"/>
          <w:szCs w:val="12"/>
          <w:color w:val="auto"/>
        </w:rPr>
        <w:t>The discussion above contains forward-looking statements within the meaning of the Private Securities Litigation Reform Act of 1995. These statements by their nature involve substantial risks and uncertainties. Actual results may differ materially depending on a variety of factors, including, but not limited to, the following: our ability to pass through cost increases in raw materials and energy, the inability of our suppliers to provide us with key raw materials at contracted prices and delivery dates, cyclical downturns in our customers’ industries, competition from other chemical companies, seasonality and weather conditions that may affect customer demand and river and rail transportation, the hazards of chemical manufacturing, natural disasters, actual growth in our products’ markets, changes in our customers’ products, compliance with applicable laws and regulations, our ability to meet quality specifications, the adequacy of our insurance coverage, our ability to attract and retain key personnel, our ability to complete and integrate future acquisitions, and future terrorist attacks. Additional information with respect to the risks and uncertainties faced by Hawkins may be found in, and the prior discussion is qualified in its entirety by, the Risk Factors contained in Part I, Item 1A of our Annual Report on Form 10-K for the fiscal year ended March 29, 2009, as updated by subsequent SEC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477520</wp:posOffset>
            </wp:positionV>
            <wp:extent cx="725043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STATEMENTS OF INCOME</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 thousands, except share and per share data</w:t>
      </w:r>
    </w:p>
    <w:p>
      <w:pPr>
        <w:spacing w:after="0"/>
        <w:rPr>
          <w:sz w:val="20"/>
          <w:szCs w:val="20"/>
          <w:color w:val="auto"/>
        </w:rPr>
      </w:pPr>
      <w:r>
        <w:rPr>
          <w:rFonts w:ascii="Arial" w:cs="Arial" w:eastAsia="Arial" w:hAnsi="Arial"/>
          <w:sz w:val="18"/>
          <w:szCs w:val="18"/>
          <w:b w:val="1"/>
          <w:bCs w:val="1"/>
          <w:color w:val="auto"/>
        </w:rPr>
        <w:t>(unaudited)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5"/>
          </w:tcPr>
          <w:p>
            <w:pPr>
              <w:jc w:val="right"/>
              <w:ind w:right="694"/>
              <w:spacing w:after="0"/>
              <w:rPr>
                <w:sz w:val="20"/>
                <w:szCs w:val="20"/>
                <w:color w:val="auto"/>
              </w:rPr>
            </w:pPr>
            <w:r>
              <w:rPr>
                <w:rFonts w:ascii="Arial" w:cs="Arial" w:eastAsia="Arial" w:hAnsi="Arial"/>
                <w:sz w:val="14"/>
                <w:szCs w:val="14"/>
                <w:b w:val="1"/>
                <w:bCs w:val="1"/>
                <w:color w:val="auto"/>
              </w:rPr>
              <w:t>Quarters Ended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5"/>
          </w:tcPr>
          <w:p>
            <w:pPr>
              <w:jc w:val="right"/>
              <w:ind w:right="614"/>
              <w:spacing w:after="0"/>
              <w:rPr>
                <w:sz w:val="20"/>
                <w:szCs w:val="20"/>
                <w:color w:val="auto"/>
              </w:rPr>
            </w:pPr>
            <w:r>
              <w:rPr>
                <w:rFonts w:ascii="Arial" w:cs="Arial" w:eastAsia="Arial" w:hAnsi="Arial"/>
                <w:sz w:val="14"/>
                <w:szCs w:val="14"/>
                <w:b w:val="1"/>
                <w:bCs w:val="1"/>
                <w:color w:val="auto"/>
              </w:rPr>
              <w:t>Fiscal Years Ended</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March 29,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March 30,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March 29,</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gridSpan w:val="2"/>
          </w:tcPr>
          <w:p>
            <w:pPr>
              <w:jc w:val="right"/>
              <w:ind w:right="1100"/>
              <w:spacing w:after="0"/>
              <w:rPr>
                <w:sz w:val="20"/>
                <w:szCs w:val="20"/>
                <w:color w:val="auto"/>
              </w:rPr>
            </w:pPr>
            <w:r>
              <w:rPr>
                <w:rFonts w:ascii="Arial" w:cs="Arial" w:eastAsia="Arial" w:hAnsi="Arial"/>
                <w:sz w:val="14"/>
                <w:szCs w:val="14"/>
                <w:b w:val="1"/>
                <w:bCs w:val="1"/>
                <w:color w:val="auto"/>
              </w:rPr>
              <w:t>March 30,</w:t>
            </w:r>
          </w:p>
        </w:tc>
        <w:tc>
          <w:tcPr>
            <w:tcW w:w="0" w:type="dxa"/>
            <w:vAlign w:val="bottom"/>
          </w:tcPr>
          <w:p>
            <w:pPr>
              <w:spacing w:after="0"/>
              <w:rPr>
                <w:sz w:val="1"/>
                <w:szCs w:val="1"/>
                <w:color w:val="auto"/>
              </w:rPr>
            </w:pPr>
          </w:p>
        </w:tc>
      </w:tr>
      <w:tr>
        <w:trPr>
          <w:trHeight w:val="161"/>
        </w:trPr>
        <w:tc>
          <w:tcPr>
            <w:tcW w:w="4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2009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2009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2008</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700" w:type="dxa"/>
            <w:vAlign w:val="bottom"/>
            <w:shd w:val="clear" w:color="auto" w:fill="D6F3E8"/>
          </w:tcPr>
          <w:p>
            <w:pPr>
              <w:spacing w:after="0"/>
              <w:rPr>
                <w:sz w:val="20"/>
                <w:szCs w:val="20"/>
                <w:color w:val="auto"/>
              </w:rPr>
            </w:pPr>
            <w:r>
              <w:rPr>
                <w:rFonts w:ascii="Arial" w:cs="Arial" w:eastAsia="Arial" w:hAnsi="Arial"/>
                <w:sz w:val="18"/>
                <w:szCs w:val="18"/>
                <w:color w:val="auto"/>
              </w:rPr>
              <w:t>Sales</w:t>
            </w:r>
          </w:p>
        </w:tc>
        <w:tc>
          <w:tcPr>
            <w:tcW w:w="84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67,784</w:t>
            </w:r>
          </w:p>
        </w:tc>
        <w:tc>
          <w:tcPr>
            <w:tcW w:w="140" w:type="dxa"/>
            <w:vAlign w:val="bottom"/>
            <w:shd w:val="clear" w:color="auto" w:fill="D6F3E8"/>
          </w:tcPr>
          <w:p>
            <w:pPr>
              <w:spacing w:after="0"/>
              <w:rPr>
                <w:sz w:val="22"/>
                <w:szCs w:val="22"/>
                <w:color w:val="auto"/>
              </w:rPr>
            </w:pPr>
          </w:p>
        </w:tc>
        <w:tc>
          <w:tcPr>
            <w:tcW w:w="28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48,658</w:t>
            </w:r>
          </w:p>
        </w:tc>
        <w:tc>
          <w:tcPr>
            <w:tcW w:w="160" w:type="dxa"/>
            <w:vAlign w:val="bottom"/>
            <w:shd w:val="clear" w:color="auto" w:fill="D6F3E8"/>
          </w:tcPr>
          <w:p>
            <w:pPr>
              <w:spacing w:after="0"/>
              <w:rPr>
                <w:sz w:val="22"/>
                <w:szCs w:val="22"/>
                <w:color w:val="auto"/>
              </w:rPr>
            </w:pPr>
          </w:p>
        </w:tc>
        <w:tc>
          <w:tcPr>
            <w:tcW w:w="26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D6F3E8"/>
          </w:tcPr>
          <w:p>
            <w:pPr>
              <w:jc w:val="right"/>
              <w:ind w:right="140"/>
              <w:spacing w:after="0"/>
              <w:rPr>
                <w:sz w:val="20"/>
                <w:szCs w:val="20"/>
                <w:color w:val="auto"/>
              </w:rPr>
            </w:pPr>
            <w:r>
              <w:rPr>
                <w:rFonts w:ascii="Arial" w:cs="Arial" w:eastAsia="Arial" w:hAnsi="Arial"/>
                <w:sz w:val="18"/>
                <w:szCs w:val="18"/>
                <w:color w:val="auto"/>
              </w:rPr>
              <w:t>284,356</w:t>
            </w:r>
          </w:p>
        </w:tc>
        <w:tc>
          <w:tcPr>
            <w:tcW w:w="26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D6F3E8"/>
          </w:tcPr>
          <w:p>
            <w:pPr>
              <w:jc w:val="right"/>
              <w:ind w:right="820"/>
              <w:spacing w:after="0"/>
              <w:rPr>
                <w:sz w:val="20"/>
                <w:szCs w:val="20"/>
                <w:color w:val="auto"/>
              </w:rPr>
            </w:pPr>
            <w:r>
              <w:rPr>
                <w:rFonts w:ascii="Arial" w:cs="Arial" w:eastAsia="Arial" w:hAnsi="Arial"/>
                <w:sz w:val="18"/>
                <w:szCs w:val="18"/>
                <w:color w:val="auto"/>
              </w:rPr>
              <w:t>186,664</w:t>
            </w:r>
          </w:p>
        </w:tc>
        <w:tc>
          <w:tcPr>
            <w:tcW w:w="0" w:type="dxa"/>
            <w:vAlign w:val="bottom"/>
          </w:tcPr>
          <w:p>
            <w:pPr>
              <w:spacing w:after="0"/>
              <w:rPr>
                <w:sz w:val="1"/>
                <w:szCs w:val="1"/>
                <w:color w:val="auto"/>
              </w:rPr>
            </w:pPr>
          </w:p>
        </w:tc>
      </w:tr>
      <w:tr>
        <w:trPr>
          <w:trHeight w:val="445"/>
        </w:trPr>
        <w:tc>
          <w:tcPr>
            <w:tcW w:w="4700" w:type="dxa"/>
            <w:vAlign w:val="bottom"/>
          </w:tcPr>
          <w:p>
            <w:pPr>
              <w:spacing w:after="0"/>
              <w:rPr>
                <w:sz w:val="20"/>
                <w:szCs w:val="20"/>
                <w:color w:val="auto"/>
              </w:rPr>
            </w:pPr>
            <w:r>
              <w:rPr>
                <w:rFonts w:ascii="Arial" w:cs="Arial" w:eastAsia="Arial" w:hAnsi="Arial"/>
                <w:sz w:val="18"/>
                <w:szCs w:val="18"/>
                <w:color w:val="auto"/>
              </w:rPr>
              <w:t>Cost of sales</w:t>
            </w: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(54,227)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(40,582)</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(221,936)</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gridSpan w:val="2"/>
          </w:tcPr>
          <w:p>
            <w:pPr>
              <w:jc w:val="right"/>
              <w:ind w:right="760"/>
              <w:spacing w:after="0"/>
              <w:rPr>
                <w:sz w:val="20"/>
                <w:szCs w:val="20"/>
                <w:color w:val="auto"/>
              </w:rPr>
            </w:pPr>
            <w:r>
              <w:rPr>
                <w:rFonts w:ascii="Arial" w:cs="Arial" w:eastAsia="Arial" w:hAnsi="Arial"/>
                <w:sz w:val="18"/>
                <w:szCs w:val="18"/>
                <w:color w:val="auto"/>
              </w:rPr>
              <w:t>(148,136)</w:t>
            </w:r>
          </w:p>
        </w:tc>
        <w:tc>
          <w:tcPr>
            <w:tcW w:w="0" w:type="dxa"/>
            <w:vAlign w:val="bottom"/>
          </w:tcPr>
          <w:p>
            <w:pPr>
              <w:spacing w:after="0"/>
              <w:rPr>
                <w:sz w:val="1"/>
                <w:szCs w:val="1"/>
                <w:color w:val="auto"/>
              </w:rPr>
            </w:pPr>
          </w:p>
        </w:tc>
      </w:tr>
      <w:tr>
        <w:trPr>
          <w:trHeight w:val="184"/>
        </w:trPr>
        <w:tc>
          <w:tcPr>
            <w:tcW w:w="4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4700" w:type="dxa"/>
            <w:vAlign w:val="bottom"/>
            <w:shd w:val="clear" w:color="auto" w:fill="D6F3E8"/>
          </w:tcPr>
          <w:p>
            <w:pPr>
              <w:spacing w:after="0"/>
              <w:rPr>
                <w:sz w:val="20"/>
                <w:szCs w:val="20"/>
                <w:color w:val="auto"/>
              </w:rPr>
            </w:pPr>
            <w:r>
              <w:rPr>
                <w:rFonts w:ascii="Arial" w:cs="Arial" w:eastAsia="Arial" w:hAnsi="Arial"/>
                <w:sz w:val="18"/>
                <w:szCs w:val="18"/>
                <w:color w:val="auto"/>
              </w:rPr>
              <w:t>Gross profit</w:t>
            </w:r>
          </w:p>
        </w:tc>
        <w:tc>
          <w:tcPr>
            <w:tcW w:w="660" w:type="dxa"/>
            <w:vAlign w:val="bottom"/>
            <w:shd w:val="clear" w:color="auto" w:fill="D6F3E8"/>
          </w:tcPr>
          <w:p>
            <w:pPr>
              <w:spacing w:after="0"/>
              <w:rPr>
                <w:sz w:val="22"/>
                <w:szCs w:val="22"/>
                <w:color w:val="auto"/>
              </w:rPr>
            </w:pPr>
          </w:p>
        </w:tc>
        <w:tc>
          <w:tcPr>
            <w:tcW w:w="180" w:type="dxa"/>
            <w:vAlign w:val="bottom"/>
            <w:shd w:val="clear" w:color="auto" w:fill="D6F3E8"/>
          </w:tcPr>
          <w:p>
            <w:pPr>
              <w:spacing w:after="0"/>
              <w:rPr>
                <w:sz w:val="22"/>
                <w:szCs w:val="22"/>
                <w:color w:val="auto"/>
              </w:rPr>
            </w:pPr>
          </w:p>
        </w:tc>
        <w:tc>
          <w:tcPr>
            <w:tcW w:w="9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13,557</w:t>
            </w:r>
          </w:p>
        </w:tc>
        <w:tc>
          <w:tcPr>
            <w:tcW w:w="140" w:type="dxa"/>
            <w:vAlign w:val="bottom"/>
            <w:shd w:val="clear" w:color="auto" w:fill="D6F3E8"/>
          </w:tcPr>
          <w:p>
            <w:pPr>
              <w:spacing w:after="0"/>
              <w:rPr>
                <w:sz w:val="22"/>
                <w:szCs w:val="22"/>
                <w:color w:val="auto"/>
              </w:rPr>
            </w:pPr>
          </w:p>
        </w:tc>
        <w:tc>
          <w:tcPr>
            <w:tcW w:w="100" w:type="dxa"/>
            <w:vAlign w:val="bottom"/>
            <w:shd w:val="clear" w:color="auto" w:fill="D6F3E8"/>
          </w:tcPr>
          <w:p>
            <w:pPr>
              <w:spacing w:after="0"/>
              <w:rPr>
                <w:sz w:val="22"/>
                <w:szCs w:val="22"/>
                <w:color w:val="auto"/>
              </w:rPr>
            </w:pPr>
          </w:p>
        </w:tc>
        <w:tc>
          <w:tcPr>
            <w:tcW w:w="180" w:type="dxa"/>
            <w:vAlign w:val="bottom"/>
            <w:shd w:val="clear" w:color="auto" w:fill="D6F3E8"/>
          </w:tcPr>
          <w:p>
            <w:pPr>
              <w:spacing w:after="0"/>
              <w:rPr>
                <w:sz w:val="22"/>
                <w:szCs w:val="22"/>
                <w:color w:val="auto"/>
              </w:rPr>
            </w:pPr>
          </w:p>
        </w:tc>
        <w:tc>
          <w:tcPr>
            <w:tcW w:w="9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8,076</w:t>
            </w:r>
          </w:p>
        </w:tc>
        <w:tc>
          <w:tcPr>
            <w:tcW w:w="160" w:type="dxa"/>
            <w:vAlign w:val="bottom"/>
            <w:shd w:val="clear" w:color="auto" w:fill="D6F3E8"/>
          </w:tcPr>
          <w:p>
            <w:pPr>
              <w:spacing w:after="0"/>
              <w:rPr>
                <w:sz w:val="22"/>
                <w:szCs w:val="22"/>
                <w:color w:val="auto"/>
              </w:rPr>
            </w:pPr>
          </w:p>
        </w:tc>
        <w:tc>
          <w:tcPr>
            <w:tcW w:w="80" w:type="dxa"/>
            <w:vAlign w:val="bottom"/>
            <w:shd w:val="clear" w:color="auto" w:fill="D6F3E8"/>
          </w:tcPr>
          <w:p>
            <w:pPr>
              <w:spacing w:after="0"/>
              <w:rPr>
                <w:sz w:val="22"/>
                <w:szCs w:val="22"/>
                <w:color w:val="auto"/>
              </w:rPr>
            </w:pPr>
          </w:p>
        </w:tc>
        <w:tc>
          <w:tcPr>
            <w:tcW w:w="180" w:type="dxa"/>
            <w:vAlign w:val="bottom"/>
            <w:shd w:val="clear" w:color="auto" w:fill="D6F3E8"/>
          </w:tcPr>
          <w:p>
            <w:pPr>
              <w:spacing w:after="0"/>
              <w:rPr>
                <w:sz w:val="22"/>
                <w:szCs w:val="22"/>
                <w:color w:val="auto"/>
              </w:rPr>
            </w:pPr>
          </w:p>
        </w:tc>
        <w:tc>
          <w:tcPr>
            <w:tcW w:w="1100" w:type="dxa"/>
            <w:vAlign w:val="bottom"/>
            <w:gridSpan w:val="2"/>
            <w:shd w:val="clear" w:color="auto" w:fill="D6F3E8"/>
          </w:tcPr>
          <w:p>
            <w:pPr>
              <w:jc w:val="right"/>
              <w:ind w:right="140"/>
              <w:spacing w:after="0"/>
              <w:rPr>
                <w:sz w:val="20"/>
                <w:szCs w:val="20"/>
                <w:color w:val="auto"/>
              </w:rPr>
            </w:pPr>
            <w:r>
              <w:rPr>
                <w:rFonts w:ascii="Arial" w:cs="Arial" w:eastAsia="Arial" w:hAnsi="Arial"/>
                <w:sz w:val="18"/>
                <w:szCs w:val="18"/>
                <w:color w:val="auto"/>
              </w:rPr>
              <w:t>62,420</w:t>
            </w:r>
          </w:p>
        </w:tc>
        <w:tc>
          <w:tcPr>
            <w:tcW w:w="80" w:type="dxa"/>
            <w:vAlign w:val="bottom"/>
            <w:shd w:val="clear" w:color="auto" w:fill="D6F3E8"/>
          </w:tcPr>
          <w:p>
            <w:pPr>
              <w:spacing w:after="0"/>
              <w:rPr>
                <w:sz w:val="22"/>
                <w:szCs w:val="22"/>
                <w:color w:val="auto"/>
              </w:rPr>
            </w:pPr>
          </w:p>
        </w:tc>
        <w:tc>
          <w:tcPr>
            <w:tcW w:w="180" w:type="dxa"/>
            <w:vAlign w:val="bottom"/>
            <w:shd w:val="clear" w:color="auto" w:fill="D6F3E8"/>
          </w:tcPr>
          <w:p>
            <w:pPr>
              <w:spacing w:after="0"/>
              <w:rPr>
                <w:sz w:val="22"/>
                <w:szCs w:val="22"/>
                <w:color w:val="auto"/>
              </w:rPr>
            </w:pPr>
          </w:p>
        </w:tc>
        <w:tc>
          <w:tcPr>
            <w:tcW w:w="1780" w:type="dxa"/>
            <w:vAlign w:val="bottom"/>
            <w:gridSpan w:val="2"/>
            <w:shd w:val="clear" w:color="auto" w:fill="D6F3E8"/>
          </w:tcPr>
          <w:p>
            <w:pPr>
              <w:jc w:val="right"/>
              <w:ind w:right="820"/>
              <w:spacing w:after="0"/>
              <w:rPr>
                <w:sz w:val="20"/>
                <w:szCs w:val="20"/>
                <w:color w:val="auto"/>
              </w:rPr>
            </w:pPr>
            <w:r>
              <w:rPr>
                <w:rFonts w:ascii="Arial" w:cs="Arial" w:eastAsia="Arial" w:hAnsi="Arial"/>
                <w:sz w:val="18"/>
                <w:szCs w:val="18"/>
                <w:color w:val="auto"/>
              </w:rPr>
              <w:t>38,528</w:t>
            </w:r>
          </w:p>
        </w:tc>
        <w:tc>
          <w:tcPr>
            <w:tcW w:w="0" w:type="dxa"/>
            <w:vAlign w:val="bottom"/>
          </w:tcPr>
          <w:p>
            <w:pPr>
              <w:spacing w:after="0"/>
              <w:rPr>
                <w:sz w:val="1"/>
                <w:szCs w:val="1"/>
                <w:color w:val="auto"/>
              </w:rPr>
            </w:pPr>
          </w:p>
        </w:tc>
      </w:tr>
      <w:tr>
        <w:trPr>
          <w:trHeight w:val="445"/>
        </w:trPr>
        <w:tc>
          <w:tcPr>
            <w:tcW w:w="470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(6,078)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(6,039)</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(25,083)</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gridSpan w:val="2"/>
          </w:tcPr>
          <w:p>
            <w:pPr>
              <w:jc w:val="right"/>
              <w:ind w:right="760"/>
              <w:spacing w:after="0"/>
              <w:rPr>
                <w:sz w:val="20"/>
                <w:szCs w:val="20"/>
                <w:color w:val="auto"/>
              </w:rPr>
            </w:pPr>
            <w:r>
              <w:rPr>
                <w:rFonts w:ascii="Arial" w:cs="Arial" w:eastAsia="Arial" w:hAnsi="Arial"/>
                <w:sz w:val="18"/>
                <w:szCs w:val="18"/>
                <w:color w:val="auto"/>
              </w:rPr>
              <w:t>(26,524)</w:t>
            </w:r>
          </w:p>
        </w:tc>
        <w:tc>
          <w:tcPr>
            <w:tcW w:w="0" w:type="dxa"/>
            <w:vAlign w:val="bottom"/>
          </w:tcPr>
          <w:p>
            <w:pPr>
              <w:spacing w:after="0"/>
              <w:rPr>
                <w:sz w:val="1"/>
                <w:szCs w:val="1"/>
                <w:color w:val="auto"/>
              </w:rPr>
            </w:pPr>
          </w:p>
        </w:tc>
      </w:tr>
      <w:tr>
        <w:trPr>
          <w:trHeight w:val="184"/>
        </w:trPr>
        <w:tc>
          <w:tcPr>
            <w:tcW w:w="4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4700" w:type="dxa"/>
            <w:vAlign w:val="bottom"/>
            <w:shd w:val="clear" w:color="auto" w:fill="D6F3E8"/>
          </w:tcPr>
          <w:p>
            <w:pPr>
              <w:spacing w:after="0"/>
              <w:rPr>
                <w:sz w:val="20"/>
                <w:szCs w:val="20"/>
                <w:color w:val="auto"/>
              </w:rPr>
            </w:pPr>
            <w:r>
              <w:rPr>
                <w:rFonts w:ascii="Arial" w:cs="Arial" w:eastAsia="Arial" w:hAnsi="Arial"/>
                <w:sz w:val="18"/>
                <w:szCs w:val="18"/>
                <w:color w:val="auto"/>
              </w:rPr>
              <w:t>Operating income</w:t>
            </w:r>
          </w:p>
        </w:tc>
        <w:tc>
          <w:tcPr>
            <w:tcW w:w="660" w:type="dxa"/>
            <w:vAlign w:val="bottom"/>
            <w:shd w:val="clear" w:color="auto" w:fill="D6F3E8"/>
          </w:tcPr>
          <w:p>
            <w:pPr>
              <w:spacing w:after="0"/>
              <w:rPr>
                <w:sz w:val="22"/>
                <w:szCs w:val="22"/>
                <w:color w:val="auto"/>
              </w:rPr>
            </w:pPr>
          </w:p>
        </w:tc>
        <w:tc>
          <w:tcPr>
            <w:tcW w:w="180" w:type="dxa"/>
            <w:vAlign w:val="bottom"/>
            <w:shd w:val="clear" w:color="auto" w:fill="D6F3E8"/>
          </w:tcPr>
          <w:p>
            <w:pPr>
              <w:spacing w:after="0"/>
              <w:rPr>
                <w:sz w:val="22"/>
                <w:szCs w:val="22"/>
                <w:color w:val="auto"/>
              </w:rPr>
            </w:pPr>
          </w:p>
        </w:tc>
        <w:tc>
          <w:tcPr>
            <w:tcW w:w="9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7,479</w:t>
            </w:r>
          </w:p>
        </w:tc>
        <w:tc>
          <w:tcPr>
            <w:tcW w:w="140" w:type="dxa"/>
            <w:vAlign w:val="bottom"/>
            <w:shd w:val="clear" w:color="auto" w:fill="D6F3E8"/>
          </w:tcPr>
          <w:p>
            <w:pPr>
              <w:spacing w:after="0"/>
              <w:rPr>
                <w:sz w:val="22"/>
                <w:szCs w:val="22"/>
                <w:color w:val="auto"/>
              </w:rPr>
            </w:pPr>
          </w:p>
        </w:tc>
        <w:tc>
          <w:tcPr>
            <w:tcW w:w="100" w:type="dxa"/>
            <w:vAlign w:val="bottom"/>
            <w:shd w:val="clear" w:color="auto" w:fill="D6F3E8"/>
          </w:tcPr>
          <w:p>
            <w:pPr>
              <w:spacing w:after="0"/>
              <w:rPr>
                <w:sz w:val="22"/>
                <w:szCs w:val="22"/>
                <w:color w:val="auto"/>
              </w:rPr>
            </w:pPr>
          </w:p>
        </w:tc>
        <w:tc>
          <w:tcPr>
            <w:tcW w:w="180" w:type="dxa"/>
            <w:vAlign w:val="bottom"/>
            <w:shd w:val="clear" w:color="auto" w:fill="D6F3E8"/>
          </w:tcPr>
          <w:p>
            <w:pPr>
              <w:spacing w:after="0"/>
              <w:rPr>
                <w:sz w:val="22"/>
                <w:szCs w:val="22"/>
                <w:color w:val="auto"/>
              </w:rPr>
            </w:pPr>
          </w:p>
        </w:tc>
        <w:tc>
          <w:tcPr>
            <w:tcW w:w="9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2,037</w:t>
            </w:r>
          </w:p>
        </w:tc>
        <w:tc>
          <w:tcPr>
            <w:tcW w:w="160" w:type="dxa"/>
            <w:vAlign w:val="bottom"/>
            <w:shd w:val="clear" w:color="auto" w:fill="D6F3E8"/>
          </w:tcPr>
          <w:p>
            <w:pPr>
              <w:spacing w:after="0"/>
              <w:rPr>
                <w:sz w:val="22"/>
                <w:szCs w:val="22"/>
                <w:color w:val="auto"/>
              </w:rPr>
            </w:pPr>
          </w:p>
        </w:tc>
        <w:tc>
          <w:tcPr>
            <w:tcW w:w="80" w:type="dxa"/>
            <w:vAlign w:val="bottom"/>
            <w:shd w:val="clear" w:color="auto" w:fill="D6F3E8"/>
          </w:tcPr>
          <w:p>
            <w:pPr>
              <w:spacing w:after="0"/>
              <w:rPr>
                <w:sz w:val="22"/>
                <w:szCs w:val="22"/>
                <w:color w:val="auto"/>
              </w:rPr>
            </w:pPr>
          </w:p>
        </w:tc>
        <w:tc>
          <w:tcPr>
            <w:tcW w:w="180" w:type="dxa"/>
            <w:vAlign w:val="bottom"/>
            <w:shd w:val="clear" w:color="auto" w:fill="D6F3E8"/>
          </w:tcPr>
          <w:p>
            <w:pPr>
              <w:spacing w:after="0"/>
              <w:rPr>
                <w:sz w:val="22"/>
                <w:szCs w:val="22"/>
                <w:color w:val="auto"/>
              </w:rPr>
            </w:pPr>
          </w:p>
        </w:tc>
        <w:tc>
          <w:tcPr>
            <w:tcW w:w="1100" w:type="dxa"/>
            <w:vAlign w:val="bottom"/>
            <w:gridSpan w:val="2"/>
            <w:shd w:val="clear" w:color="auto" w:fill="D6F3E8"/>
          </w:tcPr>
          <w:p>
            <w:pPr>
              <w:jc w:val="right"/>
              <w:ind w:right="140"/>
              <w:spacing w:after="0"/>
              <w:rPr>
                <w:sz w:val="20"/>
                <w:szCs w:val="20"/>
                <w:color w:val="auto"/>
              </w:rPr>
            </w:pPr>
            <w:r>
              <w:rPr>
                <w:rFonts w:ascii="Arial" w:cs="Arial" w:eastAsia="Arial" w:hAnsi="Arial"/>
                <w:sz w:val="18"/>
                <w:szCs w:val="18"/>
                <w:color w:val="auto"/>
              </w:rPr>
              <w:t>37,337</w:t>
            </w:r>
          </w:p>
        </w:tc>
        <w:tc>
          <w:tcPr>
            <w:tcW w:w="80" w:type="dxa"/>
            <w:vAlign w:val="bottom"/>
            <w:shd w:val="clear" w:color="auto" w:fill="D6F3E8"/>
          </w:tcPr>
          <w:p>
            <w:pPr>
              <w:spacing w:after="0"/>
              <w:rPr>
                <w:sz w:val="22"/>
                <w:szCs w:val="22"/>
                <w:color w:val="auto"/>
              </w:rPr>
            </w:pPr>
          </w:p>
        </w:tc>
        <w:tc>
          <w:tcPr>
            <w:tcW w:w="180" w:type="dxa"/>
            <w:vAlign w:val="bottom"/>
            <w:shd w:val="clear" w:color="auto" w:fill="D6F3E8"/>
          </w:tcPr>
          <w:p>
            <w:pPr>
              <w:spacing w:after="0"/>
              <w:rPr>
                <w:sz w:val="22"/>
                <w:szCs w:val="22"/>
                <w:color w:val="auto"/>
              </w:rPr>
            </w:pPr>
          </w:p>
        </w:tc>
        <w:tc>
          <w:tcPr>
            <w:tcW w:w="1780" w:type="dxa"/>
            <w:vAlign w:val="bottom"/>
            <w:gridSpan w:val="2"/>
            <w:shd w:val="clear" w:color="auto" w:fill="D6F3E8"/>
          </w:tcPr>
          <w:p>
            <w:pPr>
              <w:jc w:val="right"/>
              <w:ind w:right="820"/>
              <w:spacing w:after="0"/>
              <w:rPr>
                <w:sz w:val="20"/>
                <w:szCs w:val="20"/>
                <w:color w:val="auto"/>
              </w:rPr>
            </w:pPr>
            <w:r>
              <w:rPr>
                <w:rFonts w:ascii="Arial" w:cs="Arial" w:eastAsia="Arial" w:hAnsi="Arial"/>
                <w:sz w:val="18"/>
                <w:szCs w:val="18"/>
                <w:color w:val="auto"/>
              </w:rPr>
              <w:t>12,004</w:t>
            </w:r>
          </w:p>
        </w:tc>
        <w:tc>
          <w:tcPr>
            <w:tcW w:w="0" w:type="dxa"/>
            <w:vAlign w:val="bottom"/>
          </w:tcPr>
          <w:p>
            <w:pPr>
              <w:spacing w:after="0"/>
              <w:rPr>
                <w:sz w:val="1"/>
                <w:szCs w:val="1"/>
                <w:color w:val="auto"/>
              </w:rPr>
            </w:pPr>
          </w:p>
        </w:tc>
      </w:tr>
      <w:tr>
        <w:trPr>
          <w:trHeight w:val="445"/>
        </w:trPr>
        <w:tc>
          <w:tcPr>
            <w:tcW w:w="4700" w:type="dxa"/>
            <w:vAlign w:val="bottom"/>
          </w:tcPr>
          <w:p>
            <w:pPr>
              <w:spacing w:after="0"/>
              <w:rPr>
                <w:sz w:val="20"/>
                <w:szCs w:val="20"/>
                <w:color w:val="auto"/>
              </w:rPr>
            </w:pPr>
            <w:r>
              <w:rPr>
                <w:rFonts w:ascii="Arial" w:cs="Arial" w:eastAsia="Arial" w:hAnsi="Arial"/>
                <w:sz w:val="18"/>
                <w:szCs w:val="18"/>
                <w:color w:val="auto"/>
              </w:rPr>
              <w:t>Investment income</w:t>
            </w: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469</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338</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gridSpan w:val="2"/>
          </w:tcPr>
          <w:p>
            <w:pPr>
              <w:jc w:val="right"/>
              <w:ind w:right="820"/>
              <w:spacing w:after="0"/>
              <w:rPr>
                <w:sz w:val="20"/>
                <w:szCs w:val="20"/>
                <w:color w:val="auto"/>
              </w:rPr>
            </w:pPr>
            <w:r>
              <w:rPr>
                <w:rFonts w:ascii="Arial" w:cs="Arial" w:eastAsia="Arial" w:hAnsi="Arial"/>
                <w:sz w:val="18"/>
                <w:szCs w:val="18"/>
                <w:color w:val="auto"/>
              </w:rPr>
              <w:t>1,341</w:t>
            </w:r>
          </w:p>
        </w:tc>
        <w:tc>
          <w:tcPr>
            <w:tcW w:w="0" w:type="dxa"/>
            <w:vAlign w:val="bottom"/>
          </w:tcPr>
          <w:p>
            <w:pPr>
              <w:spacing w:after="0"/>
              <w:rPr>
                <w:sz w:val="1"/>
                <w:szCs w:val="1"/>
                <w:color w:val="auto"/>
              </w:rPr>
            </w:pPr>
          </w:p>
        </w:tc>
      </w:tr>
      <w:tr>
        <w:trPr>
          <w:trHeight w:val="184"/>
        </w:trPr>
        <w:tc>
          <w:tcPr>
            <w:tcW w:w="4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4700" w:type="dxa"/>
            <w:vAlign w:val="bottom"/>
            <w:shd w:val="clear" w:color="auto" w:fill="D6F3E8"/>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660" w:type="dxa"/>
            <w:vAlign w:val="bottom"/>
            <w:shd w:val="clear" w:color="auto" w:fill="D6F3E8"/>
          </w:tcPr>
          <w:p>
            <w:pPr>
              <w:spacing w:after="0"/>
              <w:rPr>
                <w:sz w:val="22"/>
                <w:szCs w:val="22"/>
                <w:color w:val="auto"/>
              </w:rPr>
            </w:pPr>
          </w:p>
        </w:tc>
        <w:tc>
          <w:tcPr>
            <w:tcW w:w="180" w:type="dxa"/>
            <w:vAlign w:val="bottom"/>
            <w:shd w:val="clear" w:color="auto" w:fill="D6F3E8"/>
          </w:tcPr>
          <w:p>
            <w:pPr>
              <w:spacing w:after="0"/>
              <w:rPr>
                <w:sz w:val="22"/>
                <w:szCs w:val="22"/>
                <w:color w:val="auto"/>
              </w:rPr>
            </w:pPr>
          </w:p>
        </w:tc>
        <w:tc>
          <w:tcPr>
            <w:tcW w:w="9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7,479</w:t>
            </w:r>
          </w:p>
        </w:tc>
        <w:tc>
          <w:tcPr>
            <w:tcW w:w="140" w:type="dxa"/>
            <w:vAlign w:val="bottom"/>
            <w:shd w:val="clear" w:color="auto" w:fill="D6F3E8"/>
          </w:tcPr>
          <w:p>
            <w:pPr>
              <w:spacing w:after="0"/>
              <w:rPr>
                <w:sz w:val="22"/>
                <w:szCs w:val="22"/>
                <w:color w:val="auto"/>
              </w:rPr>
            </w:pPr>
          </w:p>
        </w:tc>
        <w:tc>
          <w:tcPr>
            <w:tcW w:w="100" w:type="dxa"/>
            <w:vAlign w:val="bottom"/>
            <w:shd w:val="clear" w:color="auto" w:fill="D6F3E8"/>
          </w:tcPr>
          <w:p>
            <w:pPr>
              <w:spacing w:after="0"/>
              <w:rPr>
                <w:sz w:val="22"/>
                <w:szCs w:val="22"/>
                <w:color w:val="auto"/>
              </w:rPr>
            </w:pPr>
          </w:p>
        </w:tc>
        <w:tc>
          <w:tcPr>
            <w:tcW w:w="180" w:type="dxa"/>
            <w:vAlign w:val="bottom"/>
            <w:shd w:val="clear" w:color="auto" w:fill="D6F3E8"/>
          </w:tcPr>
          <w:p>
            <w:pPr>
              <w:spacing w:after="0"/>
              <w:rPr>
                <w:sz w:val="22"/>
                <w:szCs w:val="22"/>
                <w:color w:val="auto"/>
              </w:rPr>
            </w:pPr>
          </w:p>
        </w:tc>
        <w:tc>
          <w:tcPr>
            <w:tcW w:w="9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2,506</w:t>
            </w:r>
          </w:p>
        </w:tc>
        <w:tc>
          <w:tcPr>
            <w:tcW w:w="160" w:type="dxa"/>
            <w:vAlign w:val="bottom"/>
            <w:shd w:val="clear" w:color="auto" w:fill="D6F3E8"/>
          </w:tcPr>
          <w:p>
            <w:pPr>
              <w:spacing w:after="0"/>
              <w:rPr>
                <w:sz w:val="22"/>
                <w:szCs w:val="22"/>
                <w:color w:val="auto"/>
              </w:rPr>
            </w:pPr>
          </w:p>
        </w:tc>
        <w:tc>
          <w:tcPr>
            <w:tcW w:w="80" w:type="dxa"/>
            <w:vAlign w:val="bottom"/>
            <w:shd w:val="clear" w:color="auto" w:fill="D6F3E8"/>
          </w:tcPr>
          <w:p>
            <w:pPr>
              <w:spacing w:after="0"/>
              <w:rPr>
                <w:sz w:val="22"/>
                <w:szCs w:val="22"/>
                <w:color w:val="auto"/>
              </w:rPr>
            </w:pPr>
          </w:p>
        </w:tc>
        <w:tc>
          <w:tcPr>
            <w:tcW w:w="180" w:type="dxa"/>
            <w:vAlign w:val="bottom"/>
            <w:shd w:val="clear" w:color="auto" w:fill="D6F3E8"/>
          </w:tcPr>
          <w:p>
            <w:pPr>
              <w:spacing w:after="0"/>
              <w:rPr>
                <w:sz w:val="22"/>
                <w:szCs w:val="22"/>
                <w:color w:val="auto"/>
              </w:rPr>
            </w:pPr>
          </w:p>
        </w:tc>
        <w:tc>
          <w:tcPr>
            <w:tcW w:w="1100" w:type="dxa"/>
            <w:vAlign w:val="bottom"/>
            <w:gridSpan w:val="2"/>
            <w:shd w:val="clear" w:color="auto" w:fill="D6F3E8"/>
          </w:tcPr>
          <w:p>
            <w:pPr>
              <w:jc w:val="right"/>
              <w:ind w:right="140"/>
              <w:spacing w:after="0"/>
              <w:rPr>
                <w:sz w:val="20"/>
                <w:szCs w:val="20"/>
                <w:color w:val="auto"/>
              </w:rPr>
            </w:pPr>
            <w:r>
              <w:rPr>
                <w:rFonts w:ascii="Arial" w:cs="Arial" w:eastAsia="Arial" w:hAnsi="Arial"/>
                <w:sz w:val="18"/>
                <w:szCs w:val="18"/>
                <w:color w:val="auto"/>
              </w:rPr>
              <w:t>37,675</w:t>
            </w:r>
          </w:p>
        </w:tc>
        <w:tc>
          <w:tcPr>
            <w:tcW w:w="80" w:type="dxa"/>
            <w:vAlign w:val="bottom"/>
            <w:shd w:val="clear" w:color="auto" w:fill="D6F3E8"/>
          </w:tcPr>
          <w:p>
            <w:pPr>
              <w:spacing w:after="0"/>
              <w:rPr>
                <w:sz w:val="22"/>
                <w:szCs w:val="22"/>
                <w:color w:val="auto"/>
              </w:rPr>
            </w:pPr>
          </w:p>
        </w:tc>
        <w:tc>
          <w:tcPr>
            <w:tcW w:w="180" w:type="dxa"/>
            <w:vAlign w:val="bottom"/>
            <w:shd w:val="clear" w:color="auto" w:fill="D6F3E8"/>
          </w:tcPr>
          <w:p>
            <w:pPr>
              <w:spacing w:after="0"/>
              <w:rPr>
                <w:sz w:val="22"/>
                <w:szCs w:val="22"/>
                <w:color w:val="auto"/>
              </w:rPr>
            </w:pPr>
          </w:p>
        </w:tc>
        <w:tc>
          <w:tcPr>
            <w:tcW w:w="1780" w:type="dxa"/>
            <w:vAlign w:val="bottom"/>
            <w:gridSpan w:val="2"/>
            <w:shd w:val="clear" w:color="auto" w:fill="D6F3E8"/>
          </w:tcPr>
          <w:p>
            <w:pPr>
              <w:jc w:val="right"/>
              <w:ind w:right="820"/>
              <w:spacing w:after="0"/>
              <w:rPr>
                <w:sz w:val="20"/>
                <w:szCs w:val="20"/>
                <w:color w:val="auto"/>
              </w:rPr>
            </w:pPr>
            <w:r>
              <w:rPr>
                <w:rFonts w:ascii="Arial" w:cs="Arial" w:eastAsia="Arial" w:hAnsi="Arial"/>
                <w:sz w:val="18"/>
                <w:szCs w:val="18"/>
                <w:color w:val="auto"/>
              </w:rPr>
              <w:t>13,345</w:t>
            </w:r>
          </w:p>
        </w:tc>
        <w:tc>
          <w:tcPr>
            <w:tcW w:w="0" w:type="dxa"/>
            <w:vAlign w:val="bottom"/>
          </w:tcPr>
          <w:p>
            <w:pPr>
              <w:spacing w:after="0"/>
              <w:rPr>
                <w:sz w:val="1"/>
                <w:szCs w:val="1"/>
                <w:color w:val="auto"/>
              </w:rPr>
            </w:pPr>
          </w:p>
        </w:tc>
      </w:tr>
      <w:tr>
        <w:trPr>
          <w:trHeight w:val="445"/>
        </w:trPr>
        <w:tc>
          <w:tcPr>
            <w:tcW w:w="47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(2,594)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(819)</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(14,251)</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gridSpan w:val="2"/>
          </w:tcPr>
          <w:p>
            <w:pPr>
              <w:jc w:val="right"/>
              <w:ind w:right="760"/>
              <w:spacing w:after="0"/>
              <w:rPr>
                <w:sz w:val="20"/>
                <w:szCs w:val="20"/>
                <w:color w:val="auto"/>
              </w:rPr>
            </w:pPr>
            <w:r>
              <w:rPr>
                <w:rFonts w:ascii="Arial" w:cs="Arial" w:eastAsia="Arial" w:hAnsi="Arial"/>
                <w:sz w:val="18"/>
                <w:szCs w:val="18"/>
                <w:color w:val="auto"/>
              </w:rPr>
              <w:t>(4,857)</w:t>
            </w:r>
          </w:p>
        </w:tc>
        <w:tc>
          <w:tcPr>
            <w:tcW w:w="0" w:type="dxa"/>
            <w:vAlign w:val="bottom"/>
          </w:tcPr>
          <w:p>
            <w:pPr>
              <w:spacing w:after="0"/>
              <w:rPr>
                <w:sz w:val="1"/>
                <w:szCs w:val="1"/>
                <w:color w:val="auto"/>
              </w:rPr>
            </w:pPr>
          </w:p>
        </w:tc>
      </w:tr>
      <w:tr>
        <w:trPr>
          <w:trHeight w:val="184"/>
        </w:trPr>
        <w:tc>
          <w:tcPr>
            <w:tcW w:w="4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4700" w:type="dxa"/>
            <w:vAlign w:val="bottom"/>
            <w:shd w:val="clear" w:color="auto" w:fill="D6F3E8"/>
          </w:tcPr>
          <w:p>
            <w:pPr>
              <w:spacing w:after="0"/>
              <w:rPr>
                <w:sz w:val="20"/>
                <w:szCs w:val="20"/>
                <w:color w:val="auto"/>
              </w:rPr>
            </w:pPr>
            <w:r>
              <w:rPr>
                <w:rFonts w:ascii="Arial" w:cs="Arial" w:eastAsia="Arial" w:hAnsi="Arial"/>
                <w:sz w:val="18"/>
                <w:szCs w:val="18"/>
                <w:color w:val="auto"/>
              </w:rPr>
              <w:t>Income from continuing operations</w:t>
            </w:r>
          </w:p>
        </w:tc>
        <w:tc>
          <w:tcPr>
            <w:tcW w:w="660" w:type="dxa"/>
            <w:vAlign w:val="bottom"/>
            <w:shd w:val="clear" w:color="auto" w:fill="D6F3E8"/>
          </w:tcPr>
          <w:p>
            <w:pPr>
              <w:spacing w:after="0"/>
              <w:rPr>
                <w:sz w:val="22"/>
                <w:szCs w:val="22"/>
                <w:color w:val="auto"/>
              </w:rPr>
            </w:pPr>
          </w:p>
        </w:tc>
        <w:tc>
          <w:tcPr>
            <w:tcW w:w="180" w:type="dxa"/>
            <w:vAlign w:val="bottom"/>
            <w:shd w:val="clear" w:color="auto" w:fill="D6F3E8"/>
          </w:tcPr>
          <w:p>
            <w:pPr>
              <w:spacing w:after="0"/>
              <w:rPr>
                <w:sz w:val="22"/>
                <w:szCs w:val="22"/>
                <w:color w:val="auto"/>
              </w:rPr>
            </w:pPr>
          </w:p>
        </w:tc>
        <w:tc>
          <w:tcPr>
            <w:tcW w:w="9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4,885</w:t>
            </w:r>
          </w:p>
        </w:tc>
        <w:tc>
          <w:tcPr>
            <w:tcW w:w="140" w:type="dxa"/>
            <w:vAlign w:val="bottom"/>
            <w:shd w:val="clear" w:color="auto" w:fill="D6F3E8"/>
          </w:tcPr>
          <w:p>
            <w:pPr>
              <w:spacing w:after="0"/>
              <w:rPr>
                <w:sz w:val="22"/>
                <w:szCs w:val="22"/>
                <w:color w:val="auto"/>
              </w:rPr>
            </w:pPr>
          </w:p>
        </w:tc>
        <w:tc>
          <w:tcPr>
            <w:tcW w:w="100" w:type="dxa"/>
            <w:vAlign w:val="bottom"/>
            <w:shd w:val="clear" w:color="auto" w:fill="D6F3E8"/>
          </w:tcPr>
          <w:p>
            <w:pPr>
              <w:spacing w:after="0"/>
              <w:rPr>
                <w:sz w:val="22"/>
                <w:szCs w:val="22"/>
                <w:color w:val="auto"/>
              </w:rPr>
            </w:pPr>
          </w:p>
        </w:tc>
        <w:tc>
          <w:tcPr>
            <w:tcW w:w="180" w:type="dxa"/>
            <w:vAlign w:val="bottom"/>
            <w:shd w:val="clear" w:color="auto" w:fill="D6F3E8"/>
          </w:tcPr>
          <w:p>
            <w:pPr>
              <w:spacing w:after="0"/>
              <w:rPr>
                <w:sz w:val="22"/>
                <w:szCs w:val="22"/>
                <w:color w:val="auto"/>
              </w:rPr>
            </w:pPr>
          </w:p>
        </w:tc>
        <w:tc>
          <w:tcPr>
            <w:tcW w:w="9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1,687</w:t>
            </w:r>
          </w:p>
        </w:tc>
        <w:tc>
          <w:tcPr>
            <w:tcW w:w="160" w:type="dxa"/>
            <w:vAlign w:val="bottom"/>
            <w:shd w:val="clear" w:color="auto" w:fill="D6F3E8"/>
          </w:tcPr>
          <w:p>
            <w:pPr>
              <w:spacing w:after="0"/>
              <w:rPr>
                <w:sz w:val="22"/>
                <w:szCs w:val="22"/>
                <w:color w:val="auto"/>
              </w:rPr>
            </w:pPr>
          </w:p>
        </w:tc>
        <w:tc>
          <w:tcPr>
            <w:tcW w:w="80" w:type="dxa"/>
            <w:vAlign w:val="bottom"/>
            <w:shd w:val="clear" w:color="auto" w:fill="D6F3E8"/>
          </w:tcPr>
          <w:p>
            <w:pPr>
              <w:spacing w:after="0"/>
              <w:rPr>
                <w:sz w:val="22"/>
                <w:szCs w:val="22"/>
                <w:color w:val="auto"/>
              </w:rPr>
            </w:pPr>
          </w:p>
        </w:tc>
        <w:tc>
          <w:tcPr>
            <w:tcW w:w="180" w:type="dxa"/>
            <w:vAlign w:val="bottom"/>
            <w:shd w:val="clear" w:color="auto" w:fill="D6F3E8"/>
          </w:tcPr>
          <w:p>
            <w:pPr>
              <w:spacing w:after="0"/>
              <w:rPr>
                <w:sz w:val="22"/>
                <w:szCs w:val="22"/>
                <w:color w:val="auto"/>
              </w:rPr>
            </w:pPr>
          </w:p>
        </w:tc>
        <w:tc>
          <w:tcPr>
            <w:tcW w:w="1100" w:type="dxa"/>
            <w:vAlign w:val="bottom"/>
            <w:gridSpan w:val="2"/>
            <w:shd w:val="clear" w:color="auto" w:fill="D6F3E8"/>
          </w:tcPr>
          <w:p>
            <w:pPr>
              <w:jc w:val="right"/>
              <w:ind w:right="140"/>
              <w:spacing w:after="0"/>
              <w:rPr>
                <w:sz w:val="20"/>
                <w:szCs w:val="20"/>
                <w:color w:val="auto"/>
              </w:rPr>
            </w:pPr>
            <w:r>
              <w:rPr>
                <w:rFonts w:ascii="Arial" w:cs="Arial" w:eastAsia="Arial" w:hAnsi="Arial"/>
                <w:sz w:val="18"/>
                <w:szCs w:val="18"/>
                <w:color w:val="auto"/>
              </w:rPr>
              <w:t>23,424</w:t>
            </w:r>
          </w:p>
        </w:tc>
        <w:tc>
          <w:tcPr>
            <w:tcW w:w="80" w:type="dxa"/>
            <w:vAlign w:val="bottom"/>
            <w:shd w:val="clear" w:color="auto" w:fill="D6F3E8"/>
          </w:tcPr>
          <w:p>
            <w:pPr>
              <w:spacing w:after="0"/>
              <w:rPr>
                <w:sz w:val="22"/>
                <w:szCs w:val="22"/>
                <w:color w:val="auto"/>
              </w:rPr>
            </w:pPr>
          </w:p>
        </w:tc>
        <w:tc>
          <w:tcPr>
            <w:tcW w:w="180" w:type="dxa"/>
            <w:vAlign w:val="bottom"/>
            <w:shd w:val="clear" w:color="auto" w:fill="D6F3E8"/>
          </w:tcPr>
          <w:p>
            <w:pPr>
              <w:spacing w:after="0"/>
              <w:rPr>
                <w:sz w:val="22"/>
                <w:szCs w:val="22"/>
                <w:color w:val="auto"/>
              </w:rPr>
            </w:pPr>
          </w:p>
        </w:tc>
        <w:tc>
          <w:tcPr>
            <w:tcW w:w="1780" w:type="dxa"/>
            <w:vAlign w:val="bottom"/>
            <w:gridSpan w:val="2"/>
            <w:shd w:val="clear" w:color="auto" w:fill="D6F3E8"/>
          </w:tcPr>
          <w:p>
            <w:pPr>
              <w:jc w:val="right"/>
              <w:ind w:right="820"/>
              <w:spacing w:after="0"/>
              <w:rPr>
                <w:sz w:val="20"/>
                <w:szCs w:val="20"/>
                <w:color w:val="auto"/>
              </w:rPr>
            </w:pPr>
            <w:r>
              <w:rPr>
                <w:rFonts w:ascii="Arial" w:cs="Arial" w:eastAsia="Arial" w:hAnsi="Arial"/>
                <w:sz w:val="18"/>
                <w:szCs w:val="18"/>
                <w:color w:val="auto"/>
              </w:rPr>
              <w:t>8,488</w:t>
            </w:r>
          </w:p>
        </w:tc>
        <w:tc>
          <w:tcPr>
            <w:tcW w:w="0" w:type="dxa"/>
            <w:vAlign w:val="bottom"/>
          </w:tcPr>
          <w:p>
            <w:pPr>
              <w:spacing w:after="0"/>
              <w:rPr>
                <w:sz w:val="1"/>
                <w:szCs w:val="1"/>
                <w:color w:val="auto"/>
              </w:rPr>
            </w:pPr>
          </w:p>
        </w:tc>
      </w:tr>
      <w:tr>
        <w:trPr>
          <w:trHeight w:val="445"/>
        </w:trPr>
        <w:tc>
          <w:tcPr>
            <w:tcW w:w="4700" w:type="dxa"/>
            <w:vAlign w:val="bottom"/>
          </w:tcPr>
          <w:p>
            <w:pPr>
              <w:spacing w:after="0"/>
              <w:rPr>
                <w:sz w:val="20"/>
                <w:szCs w:val="20"/>
                <w:color w:val="auto"/>
              </w:rPr>
            </w:pPr>
            <w:r>
              <w:rPr>
                <w:rFonts w:ascii="Arial" w:cs="Arial" w:eastAsia="Arial" w:hAnsi="Arial"/>
                <w:sz w:val="18"/>
                <w:szCs w:val="18"/>
                <w:color w:val="auto"/>
              </w:rPr>
              <w:t>Income from discontinued operations, net of tax</w:t>
            </w: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207</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340</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gridSpan w:val="2"/>
          </w:tcPr>
          <w:p>
            <w:pPr>
              <w:jc w:val="right"/>
              <w:ind w:right="820"/>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184"/>
        </w:trPr>
        <w:tc>
          <w:tcPr>
            <w:tcW w:w="4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4700" w:type="dxa"/>
            <w:vAlign w:val="bottom"/>
            <w:shd w:val="clear" w:color="auto" w:fill="D6F3E8"/>
          </w:tcPr>
          <w:p>
            <w:pPr>
              <w:spacing w:after="0"/>
              <w:rPr>
                <w:sz w:val="20"/>
                <w:szCs w:val="20"/>
                <w:color w:val="auto"/>
              </w:rPr>
            </w:pPr>
            <w:r>
              <w:rPr>
                <w:rFonts w:ascii="Arial" w:cs="Arial" w:eastAsia="Arial" w:hAnsi="Arial"/>
                <w:sz w:val="18"/>
                <w:szCs w:val="18"/>
                <w:color w:val="auto"/>
              </w:rPr>
              <w:t>Net income</w:t>
            </w:r>
          </w:p>
        </w:tc>
        <w:tc>
          <w:tcPr>
            <w:tcW w:w="660" w:type="dxa"/>
            <w:vAlign w:val="bottom"/>
            <w:shd w:val="clear" w:color="auto" w:fill="D6F3E8"/>
          </w:tcPr>
          <w:p>
            <w:pPr>
              <w:spacing w:after="0"/>
              <w:rPr>
                <w:sz w:val="22"/>
                <w:szCs w:val="22"/>
                <w:color w:val="auto"/>
              </w:rPr>
            </w:pPr>
          </w:p>
        </w:tc>
        <w:tc>
          <w:tcPr>
            <w:tcW w:w="18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5,092</w:t>
            </w:r>
          </w:p>
        </w:tc>
        <w:tc>
          <w:tcPr>
            <w:tcW w:w="140" w:type="dxa"/>
            <w:vAlign w:val="bottom"/>
            <w:shd w:val="clear" w:color="auto" w:fill="D6F3E8"/>
          </w:tcPr>
          <w:p>
            <w:pPr>
              <w:spacing w:after="0"/>
              <w:rPr>
                <w:sz w:val="22"/>
                <w:szCs w:val="22"/>
                <w:color w:val="auto"/>
              </w:rPr>
            </w:pPr>
          </w:p>
        </w:tc>
        <w:tc>
          <w:tcPr>
            <w:tcW w:w="28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1,731</w:t>
            </w:r>
          </w:p>
        </w:tc>
        <w:tc>
          <w:tcPr>
            <w:tcW w:w="160" w:type="dxa"/>
            <w:vAlign w:val="bottom"/>
            <w:shd w:val="clear" w:color="auto" w:fill="D6F3E8"/>
          </w:tcPr>
          <w:p>
            <w:pPr>
              <w:spacing w:after="0"/>
              <w:rPr>
                <w:sz w:val="22"/>
                <w:szCs w:val="22"/>
                <w:color w:val="auto"/>
              </w:rPr>
            </w:pPr>
          </w:p>
        </w:tc>
        <w:tc>
          <w:tcPr>
            <w:tcW w:w="26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D6F3E8"/>
          </w:tcPr>
          <w:p>
            <w:pPr>
              <w:jc w:val="right"/>
              <w:ind w:right="140"/>
              <w:spacing w:after="0"/>
              <w:rPr>
                <w:sz w:val="20"/>
                <w:szCs w:val="20"/>
                <w:color w:val="auto"/>
              </w:rPr>
            </w:pPr>
            <w:r>
              <w:rPr>
                <w:rFonts w:ascii="Arial" w:cs="Arial" w:eastAsia="Arial" w:hAnsi="Arial"/>
                <w:sz w:val="18"/>
                <w:szCs w:val="18"/>
                <w:color w:val="auto"/>
              </w:rPr>
              <w:t>23,764</w:t>
            </w:r>
          </w:p>
        </w:tc>
        <w:tc>
          <w:tcPr>
            <w:tcW w:w="26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D6F3E8"/>
          </w:tcPr>
          <w:p>
            <w:pPr>
              <w:jc w:val="right"/>
              <w:ind w:right="820"/>
              <w:spacing w:after="0"/>
              <w:rPr>
                <w:sz w:val="20"/>
                <w:szCs w:val="20"/>
                <w:color w:val="auto"/>
              </w:rPr>
            </w:pPr>
            <w:r>
              <w:rPr>
                <w:rFonts w:ascii="Arial" w:cs="Arial" w:eastAsia="Arial" w:hAnsi="Arial"/>
                <w:sz w:val="18"/>
                <w:szCs w:val="18"/>
                <w:color w:val="auto"/>
              </w:rPr>
              <w:t>9,110</w:t>
            </w:r>
          </w:p>
        </w:tc>
        <w:tc>
          <w:tcPr>
            <w:tcW w:w="0" w:type="dxa"/>
            <w:vAlign w:val="bottom"/>
          </w:tcPr>
          <w:p>
            <w:pPr>
              <w:spacing w:after="0"/>
              <w:rPr>
                <w:sz w:val="1"/>
                <w:szCs w:val="1"/>
                <w:color w:val="auto"/>
              </w:rPr>
            </w:pPr>
          </w:p>
        </w:tc>
      </w:tr>
      <w:tr>
        <w:trPr>
          <w:trHeight w:val="20"/>
        </w:trPr>
        <w:tc>
          <w:tcPr>
            <w:tcW w:w="4700" w:type="dxa"/>
            <w:vAlign w:val="bottom"/>
            <w:tcBorders>
              <w:top w:val="single" w:sz="8" w:color="D6F3E8"/>
              <w:bottom w:val="single" w:sz="8" w:color="D6F3E8"/>
            </w:tcBorders>
            <w:vMerge w:val="restart"/>
          </w:tcPr>
          <w:p>
            <w:pPr>
              <w:spacing w:after="0"/>
              <w:rPr>
                <w:sz w:val="20"/>
                <w:szCs w:val="20"/>
                <w:color w:val="auto"/>
              </w:rPr>
            </w:pPr>
            <w:r>
              <w:rPr>
                <w:rFonts w:ascii="Arial" w:cs="Arial" w:eastAsia="Arial" w:hAnsi="Arial"/>
                <w:sz w:val="18"/>
                <w:szCs w:val="18"/>
                <w:color w:val="auto"/>
              </w:rPr>
              <w:t>Weighted average number of shares outstanding – basic</w:t>
            </w:r>
          </w:p>
        </w:tc>
        <w:tc>
          <w:tcPr>
            <w:tcW w:w="660" w:type="dxa"/>
            <w:vAlign w:val="bottom"/>
            <w:tcBorders>
              <w:top w:val="single" w:sz="8" w:color="D6F3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D6F3E8"/>
            </w:tcBorders>
          </w:tcPr>
          <w:p>
            <w:pPr>
              <w:spacing w:after="0" w:line="20" w:lineRule="exact"/>
              <w:rPr>
                <w:sz w:val="1"/>
                <w:szCs w:val="1"/>
                <w:color w:val="auto"/>
              </w:rPr>
            </w:pPr>
          </w:p>
        </w:tc>
        <w:tc>
          <w:tcPr>
            <w:tcW w:w="100" w:type="dxa"/>
            <w:vAlign w:val="bottom"/>
            <w:tcBorders>
              <w:top w:val="single" w:sz="8" w:color="D6F3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D6F3E8"/>
            </w:tcBorders>
          </w:tcPr>
          <w:p>
            <w:pPr>
              <w:spacing w:after="0" w:line="20" w:lineRule="exact"/>
              <w:rPr>
                <w:sz w:val="1"/>
                <w:szCs w:val="1"/>
                <w:color w:val="auto"/>
              </w:rPr>
            </w:pPr>
          </w:p>
        </w:tc>
        <w:tc>
          <w:tcPr>
            <w:tcW w:w="80" w:type="dxa"/>
            <w:vAlign w:val="bottom"/>
            <w:tcBorders>
              <w:top w:val="single" w:sz="8" w:color="D6F3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D6F3E8"/>
            </w:tcBorders>
          </w:tcPr>
          <w:p>
            <w:pPr>
              <w:spacing w:after="0" w:line="20" w:lineRule="exact"/>
              <w:rPr>
                <w:sz w:val="1"/>
                <w:szCs w:val="1"/>
                <w:color w:val="auto"/>
              </w:rPr>
            </w:pPr>
          </w:p>
        </w:tc>
        <w:tc>
          <w:tcPr>
            <w:tcW w:w="80" w:type="dxa"/>
            <w:vAlign w:val="bottom"/>
            <w:tcBorders>
              <w:top w:val="single" w:sz="8" w:color="D6F3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D6F3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70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10,246,458</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10,239,458</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10,243,970</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gridSpan w:val="2"/>
          </w:tcPr>
          <w:p>
            <w:pPr>
              <w:jc w:val="right"/>
              <w:ind w:right="820"/>
              <w:spacing w:after="0"/>
              <w:rPr>
                <w:sz w:val="20"/>
                <w:szCs w:val="20"/>
                <w:color w:val="auto"/>
              </w:rPr>
            </w:pPr>
            <w:r>
              <w:rPr>
                <w:rFonts w:ascii="Arial" w:cs="Arial" w:eastAsia="Arial" w:hAnsi="Arial"/>
                <w:sz w:val="18"/>
                <w:szCs w:val="18"/>
                <w:color w:val="auto"/>
              </w:rPr>
              <w:t>10,213,225</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4700" w:type="dxa"/>
            <w:vAlign w:val="bottom"/>
            <w:shd w:val="clear" w:color="auto" w:fill="D6F3E8"/>
          </w:tcPr>
          <w:p>
            <w:pPr>
              <w:spacing w:after="0"/>
              <w:rPr>
                <w:sz w:val="20"/>
                <w:szCs w:val="20"/>
                <w:color w:val="auto"/>
              </w:rPr>
            </w:pPr>
            <w:r>
              <w:rPr>
                <w:rFonts w:ascii="Arial" w:cs="Arial" w:eastAsia="Arial" w:hAnsi="Arial"/>
                <w:sz w:val="18"/>
                <w:szCs w:val="18"/>
                <w:color w:val="auto"/>
              </w:rPr>
              <w:t>Weighted average number of shares outstanding – diluted</w:t>
            </w:r>
          </w:p>
        </w:tc>
        <w:tc>
          <w:tcPr>
            <w:tcW w:w="660" w:type="dxa"/>
            <w:vAlign w:val="bottom"/>
            <w:shd w:val="clear" w:color="auto" w:fill="D6F3E8"/>
          </w:tcPr>
          <w:p>
            <w:pPr>
              <w:spacing w:after="0"/>
              <w:rPr>
                <w:sz w:val="22"/>
                <w:szCs w:val="22"/>
                <w:color w:val="auto"/>
              </w:rPr>
            </w:pPr>
          </w:p>
        </w:tc>
        <w:tc>
          <w:tcPr>
            <w:tcW w:w="180" w:type="dxa"/>
            <w:vAlign w:val="bottom"/>
            <w:shd w:val="clear" w:color="auto" w:fill="D6F3E8"/>
          </w:tcPr>
          <w:p>
            <w:pPr>
              <w:spacing w:after="0"/>
              <w:rPr>
                <w:sz w:val="22"/>
                <w:szCs w:val="22"/>
                <w:color w:val="auto"/>
              </w:rPr>
            </w:pPr>
          </w:p>
        </w:tc>
        <w:tc>
          <w:tcPr>
            <w:tcW w:w="9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10,256,350</w:t>
            </w:r>
          </w:p>
        </w:tc>
        <w:tc>
          <w:tcPr>
            <w:tcW w:w="140" w:type="dxa"/>
            <w:vAlign w:val="bottom"/>
            <w:shd w:val="clear" w:color="auto" w:fill="D6F3E8"/>
          </w:tcPr>
          <w:p>
            <w:pPr>
              <w:spacing w:after="0"/>
              <w:rPr>
                <w:sz w:val="22"/>
                <w:szCs w:val="22"/>
                <w:color w:val="auto"/>
              </w:rPr>
            </w:pPr>
          </w:p>
        </w:tc>
        <w:tc>
          <w:tcPr>
            <w:tcW w:w="100" w:type="dxa"/>
            <w:vAlign w:val="bottom"/>
            <w:shd w:val="clear" w:color="auto" w:fill="D6F3E8"/>
          </w:tcPr>
          <w:p>
            <w:pPr>
              <w:spacing w:after="0"/>
              <w:rPr>
                <w:sz w:val="22"/>
                <w:szCs w:val="22"/>
                <w:color w:val="auto"/>
              </w:rPr>
            </w:pPr>
          </w:p>
        </w:tc>
        <w:tc>
          <w:tcPr>
            <w:tcW w:w="180" w:type="dxa"/>
            <w:vAlign w:val="bottom"/>
            <w:shd w:val="clear" w:color="auto" w:fill="D6F3E8"/>
          </w:tcPr>
          <w:p>
            <w:pPr>
              <w:spacing w:after="0"/>
              <w:rPr>
                <w:sz w:val="22"/>
                <w:szCs w:val="22"/>
                <w:color w:val="auto"/>
              </w:rPr>
            </w:pPr>
          </w:p>
        </w:tc>
        <w:tc>
          <w:tcPr>
            <w:tcW w:w="9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10,242,725</w:t>
            </w:r>
          </w:p>
        </w:tc>
        <w:tc>
          <w:tcPr>
            <w:tcW w:w="160" w:type="dxa"/>
            <w:vAlign w:val="bottom"/>
            <w:shd w:val="clear" w:color="auto" w:fill="D6F3E8"/>
          </w:tcPr>
          <w:p>
            <w:pPr>
              <w:spacing w:after="0"/>
              <w:rPr>
                <w:sz w:val="22"/>
                <w:szCs w:val="22"/>
                <w:color w:val="auto"/>
              </w:rPr>
            </w:pPr>
          </w:p>
        </w:tc>
        <w:tc>
          <w:tcPr>
            <w:tcW w:w="80" w:type="dxa"/>
            <w:vAlign w:val="bottom"/>
            <w:shd w:val="clear" w:color="auto" w:fill="D6F3E8"/>
          </w:tcPr>
          <w:p>
            <w:pPr>
              <w:spacing w:after="0"/>
              <w:rPr>
                <w:sz w:val="22"/>
                <w:szCs w:val="22"/>
                <w:color w:val="auto"/>
              </w:rPr>
            </w:pPr>
          </w:p>
        </w:tc>
        <w:tc>
          <w:tcPr>
            <w:tcW w:w="180" w:type="dxa"/>
            <w:vAlign w:val="bottom"/>
            <w:shd w:val="clear" w:color="auto" w:fill="D6F3E8"/>
          </w:tcPr>
          <w:p>
            <w:pPr>
              <w:spacing w:after="0"/>
              <w:rPr>
                <w:sz w:val="22"/>
                <w:szCs w:val="22"/>
                <w:color w:val="auto"/>
              </w:rPr>
            </w:pPr>
          </w:p>
        </w:tc>
        <w:tc>
          <w:tcPr>
            <w:tcW w:w="1100" w:type="dxa"/>
            <w:vAlign w:val="bottom"/>
            <w:gridSpan w:val="2"/>
            <w:shd w:val="clear" w:color="auto" w:fill="D6F3E8"/>
          </w:tcPr>
          <w:p>
            <w:pPr>
              <w:jc w:val="right"/>
              <w:ind w:right="140"/>
              <w:spacing w:after="0"/>
              <w:rPr>
                <w:sz w:val="20"/>
                <w:szCs w:val="20"/>
                <w:color w:val="auto"/>
              </w:rPr>
            </w:pPr>
            <w:r>
              <w:rPr>
                <w:rFonts w:ascii="Arial" w:cs="Arial" w:eastAsia="Arial" w:hAnsi="Arial"/>
                <w:sz w:val="18"/>
                <w:szCs w:val="18"/>
                <w:color w:val="auto"/>
              </w:rPr>
              <w:t>10,249,027</w:t>
            </w:r>
          </w:p>
        </w:tc>
        <w:tc>
          <w:tcPr>
            <w:tcW w:w="80" w:type="dxa"/>
            <w:vAlign w:val="bottom"/>
            <w:shd w:val="clear" w:color="auto" w:fill="D6F3E8"/>
          </w:tcPr>
          <w:p>
            <w:pPr>
              <w:spacing w:after="0"/>
              <w:rPr>
                <w:sz w:val="22"/>
                <w:szCs w:val="22"/>
                <w:color w:val="auto"/>
              </w:rPr>
            </w:pPr>
          </w:p>
        </w:tc>
        <w:tc>
          <w:tcPr>
            <w:tcW w:w="180" w:type="dxa"/>
            <w:vAlign w:val="bottom"/>
            <w:shd w:val="clear" w:color="auto" w:fill="D6F3E8"/>
          </w:tcPr>
          <w:p>
            <w:pPr>
              <w:spacing w:after="0"/>
              <w:rPr>
                <w:sz w:val="22"/>
                <w:szCs w:val="22"/>
                <w:color w:val="auto"/>
              </w:rPr>
            </w:pPr>
          </w:p>
        </w:tc>
        <w:tc>
          <w:tcPr>
            <w:tcW w:w="1780" w:type="dxa"/>
            <w:vAlign w:val="bottom"/>
            <w:gridSpan w:val="2"/>
            <w:shd w:val="clear" w:color="auto" w:fill="D6F3E8"/>
          </w:tcPr>
          <w:p>
            <w:pPr>
              <w:jc w:val="right"/>
              <w:ind w:right="820"/>
              <w:spacing w:after="0"/>
              <w:rPr>
                <w:sz w:val="20"/>
                <w:szCs w:val="20"/>
                <w:color w:val="auto"/>
              </w:rPr>
            </w:pPr>
            <w:r>
              <w:rPr>
                <w:rFonts w:ascii="Arial" w:cs="Arial" w:eastAsia="Arial" w:hAnsi="Arial"/>
                <w:sz w:val="18"/>
                <w:szCs w:val="18"/>
                <w:color w:val="auto"/>
              </w:rPr>
              <w:t>10,214,387</w:t>
            </w:r>
          </w:p>
        </w:tc>
        <w:tc>
          <w:tcPr>
            <w:tcW w:w="0" w:type="dxa"/>
            <w:vAlign w:val="bottom"/>
          </w:tcPr>
          <w:p>
            <w:pPr>
              <w:spacing w:after="0"/>
              <w:rPr>
                <w:sz w:val="1"/>
                <w:szCs w:val="1"/>
                <w:color w:val="auto"/>
              </w:rPr>
            </w:pPr>
          </w:p>
        </w:tc>
      </w:tr>
      <w:tr>
        <w:trPr>
          <w:trHeight w:val="20"/>
        </w:trPr>
        <w:tc>
          <w:tcPr>
            <w:tcW w:w="4700" w:type="dxa"/>
            <w:vAlign w:val="bottom"/>
            <w:tcBorders>
              <w:top w:val="single" w:sz="8" w:color="D6F3E8"/>
              <w:bottom w:val="single" w:sz="8" w:color="D6F3E8"/>
            </w:tcBorders>
            <w:vMerge w:val="restart"/>
          </w:tcPr>
          <w:p>
            <w:pPr>
              <w:spacing w:after="0"/>
              <w:rPr>
                <w:sz w:val="20"/>
                <w:szCs w:val="20"/>
                <w:color w:val="auto"/>
              </w:rPr>
            </w:pPr>
            <w:r>
              <w:rPr>
                <w:rFonts w:ascii="Arial" w:cs="Arial" w:eastAsia="Arial" w:hAnsi="Arial"/>
                <w:sz w:val="18"/>
                <w:szCs w:val="18"/>
                <w:color w:val="auto"/>
              </w:rPr>
              <w:t>Basic and diluted net income per share</w:t>
            </w:r>
          </w:p>
        </w:tc>
        <w:tc>
          <w:tcPr>
            <w:tcW w:w="660" w:type="dxa"/>
            <w:vAlign w:val="bottom"/>
            <w:tcBorders>
              <w:top w:val="single" w:sz="8" w:color="D6F3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D6F3E8"/>
            </w:tcBorders>
          </w:tcPr>
          <w:p>
            <w:pPr>
              <w:spacing w:after="0" w:line="20" w:lineRule="exact"/>
              <w:rPr>
                <w:sz w:val="1"/>
                <w:szCs w:val="1"/>
                <w:color w:val="auto"/>
              </w:rPr>
            </w:pPr>
          </w:p>
        </w:tc>
        <w:tc>
          <w:tcPr>
            <w:tcW w:w="100" w:type="dxa"/>
            <w:vAlign w:val="bottom"/>
            <w:tcBorders>
              <w:top w:val="single" w:sz="8" w:color="D6F3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D6F3E8"/>
            </w:tcBorders>
          </w:tcPr>
          <w:p>
            <w:pPr>
              <w:spacing w:after="0" w:line="20" w:lineRule="exact"/>
              <w:rPr>
                <w:sz w:val="1"/>
                <w:szCs w:val="1"/>
                <w:color w:val="auto"/>
              </w:rPr>
            </w:pPr>
          </w:p>
        </w:tc>
        <w:tc>
          <w:tcPr>
            <w:tcW w:w="80" w:type="dxa"/>
            <w:vAlign w:val="bottom"/>
            <w:tcBorders>
              <w:top w:val="single" w:sz="8" w:color="D6F3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D6F3E8"/>
            </w:tcBorders>
          </w:tcPr>
          <w:p>
            <w:pPr>
              <w:spacing w:after="0" w:line="20" w:lineRule="exact"/>
              <w:rPr>
                <w:sz w:val="1"/>
                <w:szCs w:val="1"/>
                <w:color w:val="auto"/>
              </w:rPr>
            </w:pPr>
          </w:p>
        </w:tc>
        <w:tc>
          <w:tcPr>
            <w:tcW w:w="80" w:type="dxa"/>
            <w:vAlign w:val="bottom"/>
            <w:tcBorders>
              <w:top w:val="single" w:sz="8" w:color="D6F3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D6F3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470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4700" w:type="dxa"/>
            <w:vAlign w:val="bottom"/>
          </w:tcPr>
          <w:p>
            <w:pPr>
              <w:ind w:left="340"/>
              <w:spacing w:after="0"/>
              <w:rPr>
                <w:sz w:val="20"/>
                <w:szCs w:val="20"/>
                <w:color w:val="auto"/>
              </w:rPr>
            </w:pPr>
            <w:r>
              <w:rPr>
                <w:rFonts w:ascii="Arial" w:cs="Arial" w:eastAsia="Arial" w:hAnsi="Arial"/>
                <w:sz w:val="18"/>
                <w:szCs w:val="18"/>
                <w:color w:val="auto"/>
              </w:rPr>
              <w:t>Net income from continuing operations per share</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.48</w:t>
            </w:r>
          </w:p>
        </w:tc>
        <w:tc>
          <w:tcPr>
            <w:tcW w:w="140" w:type="dxa"/>
            <w:vAlign w:val="bottom"/>
          </w:tcPr>
          <w:p>
            <w:pPr>
              <w:spacing w:after="0"/>
              <w:rPr>
                <w:sz w:val="22"/>
                <w:szCs w:val="22"/>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22"/>
                <w:szCs w:val="22"/>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2.29</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82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58"/>
        </w:trPr>
        <w:tc>
          <w:tcPr>
            <w:tcW w:w="4700" w:type="dxa"/>
            <w:vAlign w:val="bottom"/>
            <w:shd w:val="clear" w:color="auto" w:fill="D6F3E8"/>
          </w:tcPr>
          <w:p>
            <w:pPr>
              <w:ind w:left="340"/>
              <w:spacing w:after="0"/>
              <w:rPr>
                <w:sz w:val="20"/>
                <w:szCs w:val="20"/>
                <w:color w:val="auto"/>
              </w:rPr>
            </w:pPr>
            <w:r>
              <w:rPr>
                <w:rFonts w:ascii="Arial" w:cs="Arial" w:eastAsia="Arial" w:hAnsi="Arial"/>
                <w:sz w:val="18"/>
                <w:szCs w:val="18"/>
                <w:color w:val="auto"/>
              </w:rPr>
              <w:t>Net income from discontinued operations per share</w:t>
            </w:r>
          </w:p>
        </w:tc>
        <w:tc>
          <w:tcPr>
            <w:tcW w:w="660" w:type="dxa"/>
            <w:vAlign w:val="bottom"/>
            <w:shd w:val="clear" w:color="auto" w:fill="D6F3E8"/>
          </w:tcPr>
          <w:p>
            <w:pPr>
              <w:spacing w:after="0"/>
              <w:rPr>
                <w:sz w:val="22"/>
                <w:szCs w:val="22"/>
                <w:color w:val="auto"/>
              </w:rPr>
            </w:pPr>
          </w:p>
        </w:tc>
        <w:tc>
          <w:tcPr>
            <w:tcW w:w="180" w:type="dxa"/>
            <w:vAlign w:val="bottom"/>
            <w:tcBorders>
              <w:bottom w:val="single" w:sz="8" w:color="auto"/>
            </w:tcBorders>
            <w:shd w:val="clear" w:color="auto" w:fill="D6F3E8"/>
          </w:tcPr>
          <w:p>
            <w:pPr>
              <w:spacing w:after="0"/>
              <w:rPr>
                <w:sz w:val="22"/>
                <w:szCs w:val="22"/>
                <w:color w:val="auto"/>
              </w:rPr>
            </w:pPr>
          </w:p>
        </w:tc>
        <w:tc>
          <w:tcPr>
            <w:tcW w:w="96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.02</w:t>
            </w:r>
          </w:p>
        </w:tc>
        <w:tc>
          <w:tcPr>
            <w:tcW w:w="140" w:type="dxa"/>
            <w:vAlign w:val="bottom"/>
            <w:shd w:val="clear" w:color="auto" w:fill="D6F3E8"/>
          </w:tcPr>
          <w:p>
            <w:pPr>
              <w:spacing w:after="0"/>
              <w:rPr>
                <w:sz w:val="22"/>
                <w:szCs w:val="22"/>
                <w:color w:val="auto"/>
              </w:rPr>
            </w:pPr>
          </w:p>
        </w:tc>
        <w:tc>
          <w:tcPr>
            <w:tcW w:w="100" w:type="dxa"/>
            <w:vAlign w:val="bottom"/>
            <w:shd w:val="clear" w:color="auto" w:fill="D6F3E8"/>
          </w:tcPr>
          <w:p>
            <w:pPr>
              <w:spacing w:after="0"/>
              <w:rPr>
                <w:sz w:val="22"/>
                <w:szCs w:val="22"/>
                <w:color w:val="auto"/>
              </w:rPr>
            </w:pPr>
          </w:p>
        </w:tc>
        <w:tc>
          <w:tcPr>
            <w:tcW w:w="180" w:type="dxa"/>
            <w:vAlign w:val="bottom"/>
            <w:tcBorders>
              <w:bottom w:val="single" w:sz="8" w:color="auto"/>
            </w:tcBorders>
            <w:shd w:val="clear" w:color="auto" w:fill="D6F3E8"/>
          </w:tcPr>
          <w:p>
            <w:pPr>
              <w:spacing w:after="0"/>
              <w:rPr>
                <w:sz w:val="22"/>
                <w:szCs w:val="22"/>
                <w:color w:val="auto"/>
              </w:rPr>
            </w:pPr>
          </w:p>
        </w:tc>
        <w:tc>
          <w:tcPr>
            <w:tcW w:w="94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.01</w:t>
            </w:r>
          </w:p>
        </w:tc>
        <w:tc>
          <w:tcPr>
            <w:tcW w:w="160" w:type="dxa"/>
            <w:vAlign w:val="bottom"/>
            <w:shd w:val="clear" w:color="auto" w:fill="D6F3E8"/>
          </w:tcPr>
          <w:p>
            <w:pPr>
              <w:spacing w:after="0"/>
              <w:rPr>
                <w:sz w:val="22"/>
                <w:szCs w:val="22"/>
                <w:color w:val="auto"/>
              </w:rPr>
            </w:pPr>
          </w:p>
        </w:tc>
        <w:tc>
          <w:tcPr>
            <w:tcW w:w="80" w:type="dxa"/>
            <w:vAlign w:val="bottom"/>
            <w:shd w:val="clear" w:color="auto" w:fill="D6F3E8"/>
          </w:tcPr>
          <w:p>
            <w:pPr>
              <w:spacing w:after="0"/>
              <w:rPr>
                <w:sz w:val="22"/>
                <w:szCs w:val="22"/>
                <w:color w:val="auto"/>
              </w:rPr>
            </w:pPr>
          </w:p>
        </w:tc>
        <w:tc>
          <w:tcPr>
            <w:tcW w:w="180" w:type="dxa"/>
            <w:vAlign w:val="bottom"/>
            <w:tcBorders>
              <w:bottom w:val="single" w:sz="8" w:color="auto"/>
            </w:tcBorders>
            <w:shd w:val="clear" w:color="auto" w:fill="D6F3E8"/>
          </w:tcPr>
          <w:p>
            <w:pPr>
              <w:spacing w:after="0"/>
              <w:rPr>
                <w:sz w:val="22"/>
                <w:szCs w:val="22"/>
                <w:color w:val="auto"/>
              </w:rPr>
            </w:pPr>
          </w:p>
        </w:tc>
        <w:tc>
          <w:tcPr>
            <w:tcW w:w="96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.03</w:t>
            </w:r>
          </w:p>
        </w:tc>
        <w:tc>
          <w:tcPr>
            <w:tcW w:w="140" w:type="dxa"/>
            <w:vAlign w:val="bottom"/>
            <w:shd w:val="clear" w:color="auto" w:fill="D6F3E8"/>
          </w:tcPr>
          <w:p>
            <w:pPr>
              <w:spacing w:after="0"/>
              <w:rPr>
                <w:sz w:val="22"/>
                <w:szCs w:val="22"/>
                <w:color w:val="auto"/>
              </w:rPr>
            </w:pPr>
          </w:p>
        </w:tc>
        <w:tc>
          <w:tcPr>
            <w:tcW w:w="80" w:type="dxa"/>
            <w:vAlign w:val="bottom"/>
            <w:shd w:val="clear" w:color="auto" w:fill="D6F3E8"/>
          </w:tcPr>
          <w:p>
            <w:pPr>
              <w:spacing w:after="0"/>
              <w:rPr>
                <w:sz w:val="22"/>
                <w:szCs w:val="22"/>
                <w:color w:val="auto"/>
              </w:rPr>
            </w:pPr>
          </w:p>
        </w:tc>
        <w:tc>
          <w:tcPr>
            <w:tcW w:w="180" w:type="dxa"/>
            <w:vAlign w:val="bottom"/>
            <w:tcBorders>
              <w:bottom w:val="single" w:sz="8" w:color="auto"/>
            </w:tcBorders>
            <w:shd w:val="clear" w:color="auto" w:fill="D6F3E8"/>
          </w:tcPr>
          <w:p>
            <w:pPr>
              <w:spacing w:after="0"/>
              <w:rPr>
                <w:sz w:val="22"/>
                <w:szCs w:val="22"/>
                <w:color w:val="auto"/>
              </w:rPr>
            </w:pPr>
          </w:p>
        </w:tc>
        <w:tc>
          <w:tcPr>
            <w:tcW w:w="96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.06</w:t>
            </w:r>
          </w:p>
        </w:tc>
        <w:tc>
          <w:tcPr>
            <w:tcW w:w="82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4700" w:type="dxa"/>
            <w:vAlign w:val="bottom"/>
          </w:tcPr>
          <w:p>
            <w:pPr>
              <w:ind w:left="340"/>
              <w:spacing w:after="0"/>
              <w:rPr>
                <w:sz w:val="20"/>
                <w:szCs w:val="20"/>
                <w:color w:val="auto"/>
              </w:rPr>
            </w:pPr>
            <w:r>
              <w:rPr>
                <w:rFonts w:ascii="Arial" w:cs="Arial" w:eastAsia="Arial" w:hAnsi="Arial"/>
                <w:sz w:val="18"/>
                <w:szCs w:val="18"/>
                <w:color w:val="auto"/>
              </w:rPr>
              <w:t>Net income per share</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21"/>
                <w:szCs w:val="21"/>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21"/>
                <w:szCs w:val="21"/>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2.32</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82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700" w:type="dxa"/>
            <w:vAlign w:val="bottom"/>
            <w:tcBorders>
              <w:bottom w:val="single" w:sz="8" w:color="D6F3E8"/>
            </w:tcBorders>
          </w:tcPr>
          <w:p>
            <w:pPr>
              <w:spacing w:after="0"/>
              <w:rPr>
                <w:sz w:val="14"/>
                <w:szCs w:val="14"/>
                <w:color w:val="auto"/>
              </w:rPr>
            </w:pPr>
          </w:p>
        </w:tc>
        <w:tc>
          <w:tcPr>
            <w:tcW w:w="660" w:type="dxa"/>
            <w:vAlign w:val="bottom"/>
            <w:tcBorders>
              <w:bottom w:val="single" w:sz="8" w:color="D6F3E8"/>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40" w:type="dxa"/>
            <w:vAlign w:val="bottom"/>
            <w:tcBorders>
              <w:bottom w:val="single" w:sz="8" w:color="D6F3E8"/>
            </w:tcBorders>
          </w:tcPr>
          <w:p>
            <w:pPr>
              <w:spacing w:after="0"/>
              <w:rPr>
                <w:sz w:val="14"/>
                <w:szCs w:val="14"/>
                <w:color w:val="auto"/>
              </w:rPr>
            </w:pPr>
          </w:p>
        </w:tc>
        <w:tc>
          <w:tcPr>
            <w:tcW w:w="100" w:type="dxa"/>
            <w:vAlign w:val="bottom"/>
            <w:tcBorders>
              <w:bottom w:val="single" w:sz="8" w:color="D6F3E8"/>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60" w:type="dxa"/>
            <w:vAlign w:val="bottom"/>
            <w:tcBorders>
              <w:bottom w:val="single" w:sz="8" w:color="D6F3E8"/>
            </w:tcBorders>
          </w:tcPr>
          <w:p>
            <w:pPr>
              <w:spacing w:after="0"/>
              <w:rPr>
                <w:sz w:val="14"/>
                <w:szCs w:val="14"/>
                <w:color w:val="auto"/>
              </w:rPr>
            </w:pPr>
          </w:p>
        </w:tc>
        <w:tc>
          <w:tcPr>
            <w:tcW w:w="80" w:type="dxa"/>
            <w:vAlign w:val="bottom"/>
            <w:tcBorders>
              <w:bottom w:val="single" w:sz="8" w:color="D6F3E8"/>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40" w:type="dxa"/>
            <w:vAlign w:val="bottom"/>
            <w:tcBorders>
              <w:bottom w:val="single" w:sz="8" w:color="D6F3E8"/>
            </w:tcBorders>
          </w:tcPr>
          <w:p>
            <w:pPr>
              <w:spacing w:after="0"/>
              <w:rPr>
                <w:sz w:val="14"/>
                <w:szCs w:val="14"/>
                <w:color w:val="auto"/>
              </w:rPr>
            </w:pPr>
          </w:p>
        </w:tc>
        <w:tc>
          <w:tcPr>
            <w:tcW w:w="80" w:type="dxa"/>
            <w:vAlign w:val="bottom"/>
            <w:tcBorders>
              <w:bottom w:val="single" w:sz="8" w:color="D6F3E8"/>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820" w:type="dxa"/>
            <w:vAlign w:val="bottom"/>
            <w:tcBorders>
              <w:bottom w:val="single" w:sz="8" w:color="D6F3E8"/>
            </w:tcBorders>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4700" w:type="dxa"/>
            <w:vAlign w:val="bottom"/>
            <w:shd w:val="clear" w:color="auto" w:fill="D6F3E8"/>
          </w:tcPr>
          <w:p>
            <w:pPr>
              <w:spacing w:after="0"/>
              <w:rPr>
                <w:sz w:val="20"/>
                <w:szCs w:val="20"/>
                <w:color w:val="auto"/>
              </w:rPr>
            </w:pPr>
            <w:r>
              <w:rPr>
                <w:rFonts w:ascii="Arial" w:cs="Arial" w:eastAsia="Arial" w:hAnsi="Arial"/>
                <w:sz w:val="18"/>
                <w:szCs w:val="18"/>
                <w:color w:val="auto"/>
              </w:rPr>
              <w:t>Cash dividends declared per common share</w:t>
            </w:r>
          </w:p>
        </w:tc>
        <w:tc>
          <w:tcPr>
            <w:tcW w:w="84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.26</w:t>
            </w:r>
          </w:p>
        </w:tc>
        <w:tc>
          <w:tcPr>
            <w:tcW w:w="140" w:type="dxa"/>
            <w:vAlign w:val="bottom"/>
            <w:shd w:val="clear" w:color="auto" w:fill="D6F3E8"/>
          </w:tcPr>
          <w:p>
            <w:pPr>
              <w:spacing w:after="0"/>
              <w:rPr>
                <w:sz w:val="21"/>
                <w:szCs w:val="21"/>
                <w:color w:val="auto"/>
              </w:rPr>
            </w:pPr>
          </w:p>
        </w:tc>
        <w:tc>
          <w:tcPr>
            <w:tcW w:w="28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.24</w:t>
            </w:r>
          </w:p>
        </w:tc>
        <w:tc>
          <w:tcPr>
            <w:tcW w:w="160" w:type="dxa"/>
            <w:vAlign w:val="bottom"/>
            <w:shd w:val="clear" w:color="auto" w:fill="D6F3E8"/>
          </w:tcPr>
          <w:p>
            <w:pPr>
              <w:spacing w:after="0"/>
              <w:rPr>
                <w:sz w:val="21"/>
                <w:szCs w:val="21"/>
                <w:color w:val="auto"/>
              </w:rPr>
            </w:pPr>
          </w:p>
        </w:tc>
        <w:tc>
          <w:tcPr>
            <w:tcW w:w="26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D6F3E8"/>
          </w:tcPr>
          <w:p>
            <w:pPr>
              <w:jc w:val="right"/>
              <w:ind w:right="140"/>
              <w:spacing w:after="0"/>
              <w:rPr>
                <w:sz w:val="20"/>
                <w:szCs w:val="20"/>
                <w:color w:val="auto"/>
              </w:rPr>
            </w:pPr>
            <w:r>
              <w:rPr>
                <w:rFonts w:ascii="Arial" w:cs="Arial" w:eastAsia="Arial" w:hAnsi="Arial"/>
                <w:sz w:val="18"/>
                <w:szCs w:val="18"/>
                <w:color w:val="auto"/>
              </w:rPr>
              <w:t>.52</w:t>
            </w:r>
          </w:p>
        </w:tc>
        <w:tc>
          <w:tcPr>
            <w:tcW w:w="26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D6F3E8"/>
          </w:tcPr>
          <w:p>
            <w:pPr>
              <w:jc w:val="right"/>
              <w:ind w:right="8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4700" w:type="dxa"/>
            <w:vAlign w:val="bottom"/>
            <w:tcBorders>
              <w:top w:val="single" w:sz="8" w:color="D6F3E8"/>
            </w:tcBorders>
          </w:tcPr>
          <w:p>
            <w:pPr>
              <w:spacing w:after="0" w:line="20" w:lineRule="exact"/>
              <w:rPr>
                <w:sz w:val="1"/>
                <w:szCs w:val="1"/>
                <w:color w:val="auto"/>
              </w:rPr>
            </w:pPr>
          </w:p>
        </w:tc>
        <w:tc>
          <w:tcPr>
            <w:tcW w:w="660" w:type="dxa"/>
            <w:vAlign w:val="bottom"/>
            <w:tcBorders>
              <w:top w:val="single" w:sz="8" w:color="D6F3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D6F3E8"/>
            </w:tcBorders>
          </w:tcPr>
          <w:p>
            <w:pPr>
              <w:spacing w:after="0" w:line="20" w:lineRule="exact"/>
              <w:rPr>
                <w:sz w:val="1"/>
                <w:szCs w:val="1"/>
                <w:color w:val="auto"/>
              </w:rPr>
            </w:pPr>
          </w:p>
        </w:tc>
        <w:tc>
          <w:tcPr>
            <w:tcW w:w="100" w:type="dxa"/>
            <w:vAlign w:val="bottom"/>
            <w:tcBorders>
              <w:top w:val="single" w:sz="8" w:color="D6F3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D6F3E8"/>
            </w:tcBorders>
          </w:tcPr>
          <w:p>
            <w:pPr>
              <w:spacing w:after="0" w:line="20" w:lineRule="exact"/>
              <w:rPr>
                <w:sz w:val="1"/>
                <w:szCs w:val="1"/>
                <w:color w:val="auto"/>
              </w:rPr>
            </w:pPr>
          </w:p>
        </w:tc>
        <w:tc>
          <w:tcPr>
            <w:tcW w:w="80" w:type="dxa"/>
            <w:vAlign w:val="bottom"/>
            <w:tcBorders>
              <w:top w:val="single" w:sz="8" w:color="D6F3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D6F3E8"/>
            </w:tcBorders>
          </w:tcPr>
          <w:p>
            <w:pPr>
              <w:spacing w:after="0" w:line="20" w:lineRule="exact"/>
              <w:rPr>
                <w:sz w:val="1"/>
                <w:szCs w:val="1"/>
                <w:color w:val="auto"/>
              </w:rPr>
            </w:pPr>
          </w:p>
        </w:tc>
        <w:tc>
          <w:tcPr>
            <w:tcW w:w="80" w:type="dxa"/>
            <w:vAlign w:val="bottom"/>
            <w:tcBorders>
              <w:top w:val="single" w:sz="8" w:color="D6F3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D6F3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640080</wp:posOffset>
            </wp:positionV>
            <wp:extent cx="725043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4"/>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2019-12-10T00:45:12Z</dcterms:created>
  <dcterms:modified xsi:type="dcterms:W3CDTF">2019-12-10T00:45:12Z</dcterms:modified>
</cp:coreProperties>
</file>