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5, 2004</w:t>
      </w:r>
    </w:p>
    <w:p>
      <w:pPr>
        <w:spacing w:after="0" w:line="20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Hawkins, Inc.</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500" w:type="dxa"/>
            <w:vAlign w:val="bottom"/>
          </w:tcPr>
          <w:p>
            <w:pPr>
              <w:jc w:val="center"/>
              <w:ind w:right="730"/>
              <w:spacing w:after="0"/>
              <w:rPr>
                <w:sz w:val="20"/>
                <w:szCs w:val="20"/>
                <w:color w:val="auto"/>
              </w:rPr>
            </w:pPr>
            <w:r>
              <w:rPr>
                <w:rFonts w:ascii="Arial" w:cs="Arial" w:eastAsia="Arial" w:hAnsi="Arial"/>
                <w:sz w:val="18"/>
                <w:szCs w:val="18"/>
                <w:b w:val="1"/>
                <w:bCs w:val="1"/>
                <w:color w:val="auto"/>
                <w:w w:val="89"/>
              </w:rPr>
              <w:t>Minnesota</w:t>
            </w:r>
          </w:p>
        </w:tc>
        <w:tc>
          <w:tcPr>
            <w:tcW w:w="2600" w:type="dxa"/>
            <w:vAlign w:val="bottom"/>
          </w:tcPr>
          <w:p>
            <w:pPr>
              <w:jc w:val="right"/>
              <w:ind w:right="1030"/>
              <w:spacing w:after="0"/>
              <w:rPr>
                <w:sz w:val="20"/>
                <w:szCs w:val="20"/>
                <w:color w:val="auto"/>
              </w:rPr>
            </w:pPr>
            <w:r>
              <w:rPr>
                <w:rFonts w:ascii="Arial" w:cs="Arial" w:eastAsia="Arial" w:hAnsi="Arial"/>
                <w:sz w:val="18"/>
                <w:szCs w:val="18"/>
                <w:b w:val="1"/>
                <w:bCs w:val="1"/>
                <w:color w:val="auto"/>
              </w:rPr>
              <w:t>0-7647</w:t>
            </w:r>
          </w:p>
        </w:tc>
        <w:tc>
          <w:tcPr>
            <w:tcW w:w="4320" w:type="dxa"/>
            <w:vAlign w:val="bottom"/>
          </w:tcPr>
          <w:p>
            <w:pPr>
              <w:jc w:val="center"/>
              <w:ind w:left="590"/>
              <w:spacing w:after="0"/>
              <w:rPr>
                <w:sz w:val="20"/>
                <w:szCs w:val="20"/>
                <w:color w:val="auto"/>
              </w:rPr>
            </w:pPr>
            <w:r>
              <w:rPr>
                <w:rFonts w:ascii="Arial" w:cs="Arial" w:eastAsia="Arial" w:hAnsi="Arial"/>
                <w:sz w:val="18"/>
                <w:szCs w:val="18"/>
                <w:b w:val="1"/>
                <w:bCs w:val="1"/>
                <w:color w:val="auto"/>
                <w:w w:val="91"/>
              </w:rPr>
              <w:t>41-0771293</w:t>
            </w:r>
          </w:p>
        </w:tc>
        <w:tc>
          <w:tcPr>
            <w:tcW w:w="20" w:type="dxa"/>
            <w:vAlign w:val="bottom"/>
          </w:tcPr>
          <w:p>
            <w:pPr>
              <w:spacing w:after="0"/>
              <w:rPr>
                <w:sz w:val="19"/>
                <w:szCs w:val="19"/>
                <w:color w:val="auto"/>
              </w:rPr>
            </w:pPr>
          </w:p>
        </w:tc>
      </w:tr>
      <w:tr>
        <w:trPr>
          <w:trHeight w:val="216"/>
        </w:trPr>
        <w:tc>
          <w:tcPr>
            <w:tcW w:w="4500" w:type="dxa"/>
            <w:vAlign w:val="bottom"/>
          </w:tcPr>
          <w:p>
            <w:pPr>
              <w:jc w:val="center"/>
              <w:ind w:right="750"/>
              <w:spacing w:after="0"/>
              <w:rPr>
                <w:sz w:val="20"/>
                <w:szCs w:val="20"/>
                <w:color w:val="auto"/>
              </w:rPr>
            </w:pPr>
            <w:r>
              <w:rPr>
                <w:rFonts w:ascii="Arial" w:cs="Arial" w:eastAsia="Arial" w:hAnsi="Arial"/>
                <w:sz w:val="18"/>
                <w:szCs w:val="18"/>
                <w:color w:val="auto"/>
                <w:w w:val="92"/>
              </w:rPr>
              <w:t>(State of Incorporation)</w:t>
            </w:r>
          </w:p>
        </w:tc>
        <w:tc>
          <w:tcPr>
            <w:tcW w:w="2600" w:type="dxa"/>
            <w:vAlign w:val="bottom"/>
          </w:tcPr>
          <w:p>
            <w:pPr>
              <w:jc w:val="center"/>
              <w:ind w:right="50"/>
              <w:spacing w:after="0"/>
              <w:rPr>
                <w:sz w:val="20"/>
                <w:szCs w:val="20"/>
                <w:color w:val="auto"/>
              </w:rPr>
            </w:pPr>
            <w:r>
              <w:rPr>
                <w:rFonts w:ascii="Arial" w:cs="Arial" w:eastAsia="Arial" w:hAnsi="Arial"/>
                <w:sz w:val="18"/>
                <w:szCs w:val="18"/>
                <w:color w:val="auto"/>
                <w:w w:val="92"/>
              </w:rPr>
              <w:t>(Commission File Number)</w:t>
            </w:r>
          </w:p>
        </w:tc>
        <w:tc>
          <w:tcPr>
            <w:tcW w:w="4320" w:type="dxa"/>
            <w:vAlign w:val="bottom"/>
          </w:tcPr>
          <w:p>
            <w:pPr>
              <w:jc w:val="center"/>
              <w:ind w:left="570"/>
              <w:spacing w:after="0"/>
              <w:rPr>
                <w:sz w:val="20"/>
                <w:szCs w:val="20"/>
                <w:color w:val="auto"/>
              </w:rPr>
            </w:pPr>
            <w:r>
              <w:rPr>
                <w:rFonts w:ascii="Arial" w:cs="Arial" w:eastAsia="Arial" w:hAnsi="Arial"/>
                <w:sz w:val="18"/>
                <w:szCs w:val="18"/>
                <w:color w:val="auto"/>
                <w:w w:val="93"/>
              </w:rPr>
              <w:t>(IRS Employer</w:t>
            </w:r>
          </w:p>
        </w:tc>
        <w:tc>
          <w:tcPr>
            <w:tcW w:w="20" w:type="dxa"/>
            <w:vAlign w:val="bottom"/>
          </w:tcPr>
          <w:p>
            <w:pPr>
              <w:spacing w:after="0"/>
              <w:rPr>
                <w:sz w:val="18"/>
                <w:szCs w:val="18"/>
                <w:color w:val="auto"/>
              </w:rPr>
            </w:pPr>
          </w:p>
        </w:tc>
      </w:tr>
      <w:tr>
        <w:trPr>
          <w:trHeight w:val="230"/>
        </w:trPr>
        <w:tc>
          <w:tcPr>
            <w:tcW w:w="45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320" w:type="dxa"/>
            <w:vAlign w:val="bottom"/>
          </w:tcPr>
          <w:p>
            <w:pPr>
              <w:jc w:val="center"/>
              <w:ind w:left="570"/>
              <w:spacing w:after="0"/>
              <w:rPr>
                <w:sz w:val="20"/>
                <w:szCs w:val="20"/>
                <w:color w:val="auto"/>
              </w:rPr>
            </w:pPr>
            <w:r>
              <w:rPr>
                <w:rFonts w:ascii="Arial" w:cs="Arial" w:eastAsia="Arial" w:hAnsi="Arial"/>
                <w:sz w:val="18"/>
                <w:szCs w:val="18"/>
                <w:color w:val="auto"/>
                <w:w w:val="95"/>
              </w:rPr>
              <w:t>Identification No.)</w:t>
            </w:r>
          </w:p>
        </w:tc>
        <w:tc>
          <w:tcPr>
            <w:tcW w:w="20" w:type="dxa"/>
            <w:vAlign w:val="bottom"/>
          </w:tcPr>
          <w:p>
            <w:pPr>
              <w:spacing w:after="0"/>
              <w:rPr>
                <w:sz w:val="20"/>
                <w:szCs w:val="20"/>
                <w:color w:val="auto"/>
              </w:rPr>
            </w:pPr>
          </w:p>
        </w:tc>
      </w:tr>
      <w:tr>
        <w:trPr>
          <w:trHeight w:val="414"/>
        </w:trPr>
        <w:tc>
          <w:tcPr>
            <w:tcW w:w="450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3100 East Hennepin Avenue</w:t>
            </w:r>
          </w:p>
        </w:tc>
        <w:tc>
          <w:tcPr>
            <w:tcW w:w="26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0"/>
        </w:trPr>
        <w:tc>
          <w:tcPr>
            <w:tcW w:w="4500" w:type="dxa"/>
            <w:vAlign w:val="bottom"/>
          </w:tcPr>
          <w:p>
            <w:pPr>
              <w:jc w:val="center"/>
              <w:ind w:left="1030"/>
              <w:spacing w:after="0"/>
              <w:rPr>
                <w:sz w:val="20"/>
                <w:szCs w:val="20"/>
                <w:color w:val="auto"/>
              </w:rPr>
            </w:pPr>
            <w:r>
              <w:rPr>
                <w:rFonts w:ascii="Arial" w:cs="Arial" w:eastAsia="Arial" w:hAnsi="Arial"/>
                <w:sz w:val="18"/>
                <w:szCs w:val="18"/>
                <w:b w:val="1"/>
                <w:bCs w:val="1"/>
                <w:color w:val="auto"/>
                <w:w w:val="94"/>
              </w:rPr>
              <w:t>Minneapolis, MN</w:t>
            </w:r>
          </w:p>
        </w:tc>
        <w:tc>
          <w:tcPr>
            <w:tcW w:w="2600" w:type="dxa"/>
            <w:vAlign w:val="bottom"/>
          </w:tcPr>
          <w:p>
            <w:pPr>
              <w:spacing w:after="0"/>
              <w:rPr>
                <w:sz w:val="19"/>
                <w:szCs w:val="19"/>
                <w:color w:val="auto"/>
              </w:rPr>
            </w:pPr>
          </w:p>
        </w:tc>
        <w:tc>
          <w:tcPr>
            <w:tcW w:w="4320" w:type="dxa"/>
            <w:vAlign w:val="bottom"/>
          </w:tcPr>
          <w:p>
            <w:pPr>
              <w:jc w:val="right"/>
              <w:ind w:right="2490"/>
              <w:spacing w:after="0"/>
              <w:rPr>
                <w:sz w:val="20"/>
                <w:szCs w:val="20"/>
                <w:color w:val="auto"/>
              </w:rPr>
            </w:pPr>
            <w:r>
              <w:rPr>
                <w:rFonts w:ascii="Arial" w:cs="Arial" w:eastAsia="Arial" w:hAnsi="Arial"/>
                <w:sz w:val="18"/>
                <w:szCs w:val="18"/>
                <w:b w:val="1"/>
                <w:bCs w:val="1"/>
                <w:color w:val="auto"/>
              </w:rPr>
              <w:t>55413</w:t>
            </w:r>
          </w:p>
        </w:tc>
        <w:tc>
          <w:tcPr>
            <w:tcW w:w="20" w:type="dxa"/>
            <w:vAlign w:val="bottom"/>
          </w:tcPr>
          <w:p>
            <w:pPr>
              <w:spacing w:after="0"/>
              <w:rPr>
                <w:sz w:val="19"/>
                <w:szCs w:val="19"/>
                <w:color w:val="auto"/>
              </w:rPr>
            </w:pPr>
          </w:p>
        </w:tc>
      </w:tr>
      <w:tr>
        <w:trPr>
          <w:trHeight w:val="230"/>
        </w:trPr>
        <w:tc>
          <w:tcPr>
            <w:tcW w:w="4500" w:type="dxa"/>
            <w:vAlign w:val="bottom"/>
          </w:tcPr>
          <w:p>
            <w:pPr>
              <w:jc w:val="center"/>
              <w:ind w:left="1030"/>
              <w:spacing w:after="0"/>
              <w:rPr>
                <w:sz w:val="20"/>
                <w:szCs w:val="20"/>
                <w:color w:val="auto"/>
              </w:rPr>
            </w:pPr>
            <w:r>
              <w:rPr>
                <w:rFonts w:ascii="Arial" w:cs="Arial" w:eastAsia="Arial" w:hAnsi="Arial"/>
                <w:sz w:val="18"/>
                <w:szCs w:val="18"/>
                <w:color w:val="auto"/>
                <w:w w:val="92"/>
              </w:rPr>
              <w:t>(Address of Principal Executive Offices)</w:t>
            </w:r>
          </w:p>
        </w:tc>
        <w:tc>
          <w:tcPr>
            <w:tcW w:w="2600" w:type="dxa"/>
            <w:vAlign w:val="bottom"/>
          </w:tcPr>
          <w:p>
            <w:pPr>
              <w:spacing w:after="0"/>
              <w:rPr>
                <w:sz w:val="20"/>
                <w:szCs w:val="20"/>
                <w:color w:val="auto"/>
              </w:rPr>
            </w:pPr>
          </w:p>
        </w:tc>
        <w:tc>
          <w:tcPr>
            <w:tcW w:w="4320" w:type="dxa"/>
            <w:vAlign w:val="bottom"/>
          </w:tcPr>
          <w:p>
            <w:pPr>
              <w:jc w:val="center"/>
              <w:ind w:right="1190"/>
              <w:spacing w:after="0"/>
              <w:rPr>
                <w:sz w:val="20"/>
                <w:szCs w:val="20"/>
                <w:color w:val="auto"/>
              </w:rPr>
            </w:pPr>
            <w:r>
              <w:rPr>
                <w:rFonts w:ascii="Arial" w:cs="Arial" w:eastAsia="Arial" w:hAnsi="Arial"/>
                <w:sz w:val="18"/>
                <w:szCs w:val="18"/>
                <w:color w:val="auto"/>
                <w:w w:val="94"/>
              </w:rPr>
              <w:t>(Zip Code)</w:t>
            </w:r>
          </w:p>
        </w:tc>
        <w:tc>
          <w:tcPr>
            <w:tcW w:w="20" w:type="dxa"/>
            <w:vAlign w:val="bottom"/>
          </w:tcPr>
          <w:p>
            <w:pPr>
              <w:spacing w:after="0"/>
              <w:rPr>
                <w:sz w:val="20"/>
                <w:szCs w:val="20"/>
                <w:color w:val="auto"/>
              </w:rPr>
            </w:pPr>
          </w:p>
        </w:tc>
      </w:tr>
      <w:tr>
        <w:trPr>
          <w:trHeight w:val="432"/>
        </w:trPr>
        <w:tc>
          <w:tcPr>
            <w:tcW w:w="7100" w:type="dxa"/>
            <w:vAlign w:val="bottom"/>
            <w:gridSpan w:val="2"/>
          </w:tcPr>
          <w:p>
            <w:pPr>
              <w:ind w:left="3140"/>
              <w:spacing w:after="0"/>
              <w:rPr>
                <w:sz w:val="20"/>
                <w:szCs w:val="20"/>
                <w:color w:val="auto"/>
              </w:rPr>
            </w:pPr>
            <w:r>
              <w:rPr>
                <w:rFonts w:ascii="Arial" w:cs="Arial" w:eastAsia="Arial" w:hAnsi="Arial"/>
                <w:sz w:val="18"/>
                <w:szCs w:val="18"/>
                <w:color w:val="auto"/>
                <w:w w:val="92"/>
              </w:rPr>
              <w:t>Registrant’s Telephone Number, Including Area Code</w:t>
            </w:r>
          </w:p>
        </w:tc>
        <w:tc>
          <w:tcPr>
            <w:tcW w:w="4320" w:type="dxa"/>
            <w:vAlign w:val="bottom"/>
          </w:tcPr>
          <w:p>
            <w:pPr>
              <w:jc w:val="right"/>
              <w:ind w:right="3050"/>
              <w:spacing w:after="0"/>
              <w:rPr>
                <w:sz w:val="20"/>
                <w:szCs w:val="20"/>
                <w:color w:val="auto"/>
              </w:rPr>
            </w:pPr>
            <w:r>
              <w:rPr>
                <w:rFonts w:ascii="Arial" w:cs="Arial" w:eastAsia="Arial" w:hAnsi="Arial"/>
                <w:sz w:val="18"/>
                <w:szCs w:val="18"/>
                <w:b w:val="1"/>
                <w:bCs w:val="1"/>
                <w:color w:val="auto"/>
                <w:w w:val="94"/>
              </w:rPr>
              <w:t>(612) 331-6910</w:t>
            </w:r>
          </w:p>
        </w:tc>
        <w:tc>
          <w:tcPr>
            <w:tcW w:w="20" w:type="dxa"/>
            <w:vAlign w:val="bottom"/>
          </w:tcPr>
          <w:p>
            <w:pPr>
              <w:spacing w:after="0"/>
              <w:rPr>
                <w:sz w:val="24"/>
                <w:szCs w:val="24"/>
                <w:color w:val="auto"/>
              </w:rPr>
            </w:pPr>
          </w:p>
        </w:tc>
      </w:tr>
      <w:tr>
        <w:trPr>
          <w:trHeight w:val="250"/>
        </w:trPr>
        <w:tc>
          <w:tcPr>
            <w:tcW w:w="450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tcPr>
          <w:p>
            <w:pPr>
              <w:spacing w:after="0"/>
              <w:rPr>
                <w:sz w:val="21"/>
                <w:szCs w:val="21"/>
                <w:color w:val="auto"/>
              </w:rPr>
            </w:pPr>
          </w:p>
        </w:tc>
        <w:tc>
          <w:tcPr>
            <w:tcW w:w="43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88"/>
        </w:trPr>
        <w:tc>
          <w:tcPr>
            <w:tcW w:w="4500" w:type="dxa"/>
            <w:vAlign w:val="bottom"/>
            <w:tcBorders>
              <w:bottom w:val="single" w:sz="8" w:color="auto"/>
            </w:tcBorders>
          </w:tcPr>
          <w:p>
            <w:pPr>
              <w:spacing w:after="0"/>
              <w:rPr>
                <w:sz w:val="7"/>
                <w:szCs w:val="7"/>
                <w:color w:val="auto"/>
              </w:rPr>
            </w:pPr>
          </w:p>
        </w:tc>
        <w:tc>
          <w:tcPr>
            <w:tcW w:w="2600" w:type="dxa"/>
            <w:vAlign w:val="bottom"/>
            <w:tcBorders>
              <w:bottom w:val="single" w:sz="8" w:color="auto"/>
            </w:tcBorders>
          </w:tcPr>
          <w:p>
            <w:pPr>
              <w:spacing w:after="0"/>
              <w:rPr>
                <w:sz w:val="7"/>
                <w:szCs w:val="7"/>
                <w:color w:val="auto"/>
              </w:rPr>
            </w:pPr>
          </w:p>
        </w:tc>
        <w:tc>
          <w:tcPr>
            <w:tcW w:w="43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321"/>
        </w:trPr>
        <w:tc>
          <w:tcPr>
            <w:tcW w:w="4500" w:type="dxa"/>
            <w:vAlign w:val="bottom"/>
            <w:tcBorders>
              <w:bottom w:val="single" w:sz="8" w:color="808080"/>
            </w:tcBorders>
          </w:tcPr>
          <w:p>
            <w:pPr>
              <w:spacing w:after="0"/>
              <w:rPr>
                <w:sz w:val="24"/>
                <w:szCs w:val="24"/>
                <w:color w:val="auto"/>
              </w:rPr>
            </w:pPr>
          </w:p>
        </w:tc>
        <w:tc>
          <w:tcPr>
            <w:tcW w:w="2600" w:type="dxa"/>
            <w:vAlign w:val="bottom"/>
            <w:tcBorders>
              <w:bottom w:val="single" w:sz="8" w:color="808080"/>
            </w:tcBorders>
          </w:tcPr>
          <w:p>
            <w:pPr>
              <w:spacing w:after="0"/>
              <w:rPr>
                <w:sz w:val="24"/>
                <w:szCs w:val="24"/>
                <w:color w:val="auto"/>
              </w:rPr>
            </w:pPr>
          </w:p>
        </w:tc>
        <w:tc>
          <w:tcPr>
            <w:tcW w:w="43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ind w:left="960" w:hanging="628"/>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225" w:lineRule="exact"/>
        <w:rPr>
          <w:rFonts w:ascii="Arial" w:cs="Arial" w:eastAsia="Arial" w:hAnsi="Arial"/>
          <w:sz w:val="18"/>
          <w:szCs w:val="18"/>
          <w:color w:val="auto"/>
        </w:rPr>
      </w:pPr>
    </w:p>
    <w:p>
      <w:pPr>
        <w:ind w:left="960" w:right="680"/>
        <w:spacing w:after="0" w:line="277" w:lineRule="auto"/>
        <w:rPr>
          <w:rFonts w:ascii="Arial" w:cs="Arial" w:eastAsia="Arial" w:hAnsi="Arial"/>
          <w:sz w:val="18"/>
          <w:szCs w:val="18"/>
          <w:color w:val="auto"/>
        </w:rPr>
      </w:pPr>
      <w:r>
        <w:rPr>
          <w:rFonts w:ascii="Arial" w:cs="Arial" w:eastAsia="Arial" w:hAnsi="Arial"/>
          <w:sz w:val="18"/>
          <w:szCs w:val="18"/>
          <w:color w:val="auto"/>
        </w:rPr>
        <w:t>Exhibit 99 - Press Release, dated August 5, 2004, announcing financial results of Hawkins, Inc. for its fiscal first quarter ended June 30,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210820</wp:posOffset>
            </wp:positionH>
            <wp:positionV relativeFrom="paragraph">
              <wp:posOffset>-276225</wp:posOffset>
            </wp:positionV>
            <wp:extent cx="4763"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63" cy="8890"/>
                    </a:xfrm>
                    <a:prstGeom prst="rect">
                      <a:avLst/>
                    </a:prstGeom>
                    <a:noFill/>
                  </pic:spPr>
                </pic:pic>
              </a:graphicData>
            </a:graphic>
          </wp:anchor>
        </w:drawing>
      </w:r>
    </w:p>
    <w:p>
      <w:pPr>
        <w:spacing w:after="0" w:line="146" w:lineRule="exact"/>
        <w:rPr>
          <w:sz w:val="24"/>
          <w:szCs w:val="24"/>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4"/>
          <w:szCs w:val="24"/>
          <w:color w:val="auto"/>
        </w:rPr>
      </w:pPr>
    </w:p>
    <w:p>
      <w:pPr>
        <w:ind w:right="240" w:firstLine="648"/>
        <w:spacing w:after="0" w:line="277" w:lineRule="auto"/>
        <w:rPr>
          <w:sz w:val="20"/>
          <w:szCs w:val="20"/>
          <w:color w:val="auto"/>
        </w:rPr>
      </w:pPr>
      <w:r>
        <w:rPr>
          <w:rFonts w:ascii="Arial" w:cs="Arial" w:eastAsia="Arial" w:hAnsi="Arial"/>
          <w:sz w:val="18"/>
          <w:szCs w:val="18"/>
          <w:color w:val="auto"/>
        </w:rPr>
        <w:t>On August 5, 2004, Hawkins, Inc. issued a press release announcing financial results for its first quarter ended June 30, 2004. A copy of the press release issued by the Registrant is furnished herewith as Exhibit 99 hereto and is incorporated herein by reference.</w:t>
      </w:r>
    </w:p>
    <w:p>
      <w:pPr>
        <w:spacing w:after="0" w:line="17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4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4"/>
          <w:szCs w:val="24"/>
          <w:color w:val="auto"/>
        </w:rPr>
      </w:pPr>
    </w:p>
    <w:p>
      <w:pPr>
        <w:ind w:left="6520"/>
        <w:spacing w:after="0"/>
        <w:rPr>
          <w:sz w:val="20"/>
          <w:szCs w:val="20"/>
          <w:color w:val="auto"/>
        </w:rPr>
      </w:pPr>
      <w:r>
        <w:rPr>
          <w:rFonts w:ascii="Arial" w:cs="Arial" w:eastAsia="Arial" w:hAnsi="Arial"/>
          <w:sz w:val="18"/>
          <w:szCs w:val="18"/>
          <w:color w:val="auto"/>
        </w:rPr>
        <w:t>HAWKINS, INC.</w:t>
      </w:r>
    </w:p>
    <w:p>
      <w:pPr>
        <w:spacing w:after="0" w:line="200" w:lineRule="exact"/>
        <w:rPr>
          <w:sz w:val="24"/>
          <w:szCs w:val="24"/>
          <w:color w:val="auto"/>
        </w:rPr>
      </w:pPr>
    </w:p>
    <w:p>
      <w:pPr>
        <w:spacing w:after="0" w:line="241" w:lineRule="exact"/>
        <w:rPr>
          <w:sz w:val="24"/>
          <w:szCs w:val="24"/>
          <w:color w:val="auto"/>
        </w:rPr>
      </w:pPr>
    </w:p>
    <w:p>
      <w:pPr>
        <w:spacing w:after="0"/>
        <w:tabs>
          <w:tab w:leader="none" w:pos="6500" w:val="left"/>
          <w:tab w:leader="none" w:pos="8520" w:val="left"/>
        </w:tabs>
        <w:rPr>
          <w:sz w:val="20"/>
          <w:szCs w:val="20"/>
          <w:color w:val="auto"/>
        </w:rPr>
      </w:pPr>
      <w:r>
        <w:rPr>
          <w:rFonts w:ascii="Arial" w:cs="Arial" w:eastAsia="Arial" w:hAnsi="Arial"/>
          <w:sz w:val="18"/>
          <w:szCs w:val="18"/>
          <w:color w:val="auto"/>
        </w:rPr>
        <w:t>Date: August 5, 2004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Marvin E. Dee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4396105</wp:posOffset>
            </wp:positionH>
            <wp:positionV relativeFrom="paragraph">
              <wp:posOffset>14605</wp:posOffset>
            </wp:positionV>
            <wp:extent cx="28555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19" w:lineRule="exact"/>
        <w:rPr>
          <w:sz w:val="24"/>
          <w:szCs w:val="24"/>
          <w:color w:val="auto"/>
        </w:rPr>
      </w:pPr>
    </w:p>
    <w:p>
      <w:pPr>
        <w:jc w:val="center"/>
        <w:ind w:left="6920"/>
        <w:spacing w:after="0"/>
        <w:rPr>
          <w:sz w:val="20"/>
          <w:szCs w:val="20"/>
          <w:color w:val="auto"/>
        </w:rPr>
      </w:pPr>
      <w:r>
        <w:rPr>
          <w:rFonts w:ascii="Arial" w:cs="Arial" w:eastAsia="Arial" w:hAnsi="Arial"/>
          <w:sz w:val="18"/>
          <w:szCs w:val="18"/>
          <w:color w:val="auto"/>
        </w:rPr>
        <w:t>Marvin E. Dee</w:t>
      </w:r>
    </w:p>
    <w:p>
      <w:pPr>
        <w:spacing w:after="0" w:line="23" w:lineRule="exact"/>
        <w:rPr>
          <w:sz w:val="24"/>
          <w:szCs w:val="24"/>
          <w:color w:val="auto"/>
        </w:rPr>
      </w:pPr>
    </w:p>
    <w:p>
      <w:pPr>
        <w:jc w:val="center"/>
        <w:ind w:left="6920"/>
        <w:spacing w:after="0"/>
        <w:rPr>
          <w:sz w:val="20"/>
          <w:szCs w:val="20"/>
          <w:color w:val="auto"/>
        </w:rPr>
      </w:pPr>
      <w:r>
        <w:rPr>
          <w:rFonts w:ascii="Arial" w:cs="Arial" w:eastAsia="Arial" w:hAnsi="Arial"/>
          <w:sz w:val="18"/>
          <w:szCs w:val="18"/>
          <w:color w:val="auto"/>
        </w:rPr>
        <w:t>Vice President, Chief Financial Officer,</w:t>
      </w:r>
    </w:p>
    <w:p>
      <w:pPr>
        <w:spacing w:after="0" w:line="9" w:lineRule="exact"/>
        <w:rPr>
          <w:sz w:val="24"/>
          <w:szCs w:val="24"/>
          <w:color w:val="auto"/>
        </w:rPr>
      </w:pPr>
    </w:p>
    <w:p>
      <w:pPr>
        <w:jc w:val="center"/>
        <w:ind w:left="6920"/>
        <w:spacing w:after="0"/>
        <w:rPr>
          <w:sz w:val="20"/>
          <w:szCs w:val="20"/>
          <w:color w:val="auto"/>
        </w:rPr>
      </w:pPr>
      <w:r>
        <w:rPr>
          <w:rFonts w:ascii="Arial" w:cs="Arial" w:eastAsia="Arial" w:hAnsi="Arial"/>
          <w:sz w:val="18"/>
          <w:szCs w:val="18"/>
          <w:color w:val="auto"/>
        </w:rPr>
        <w:t>Secretary and Treasurer</w:t>
      </w:r>
    </w:p>
    <w:p>
      <w:pPr>
        <w:spacing w:after="0" w:line="21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585" w:right="219" w:bottom="1440" w:gutter="0" w:footer="0" w:header="0"/>
        </w:sectPr>
      </w:pPr>
    </w:p>
    <w:bookmarkStart w:id="1" w:name="page2"/>
    <w:bookmarkEnd w:id="1"/>
    <w:p>
      <w:pPr>
        <w:spacing w:after="0" w:line="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Marvin E. Dee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612/617-8571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marvin.dee@hawkinsinc.com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Jennifer A. Weichert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Weichert Financial Relations,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651/686-9751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weichertfr@aol.com</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 REPORTS POSITIVE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2005 FIRST QUARTER RESULTS</w:t>
      </w:r>
    </w:p>
    <w:p>
      <w:pPr>
        <w:spacing w:after="0" w:line="21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Minneapolis, MN, August 5, 2004 – Hawkins, Inc. (Nasdaq: HWKN) today announced sales of $30.0 million for its first quarter ended June 30, 2004, an increase of 3.1% over the $29.1 million in sales for last year’s first quarter. Net income for the first quarter of fiscal 2005 was $2.9 million, or $0.29 per share, compared with net income of $2.8 million, or $0.27 per share, earned in the same period of fiscal 2004.</w:t>
      </w:r>
    </w:p>
    <w:p>
      <w:pPr>
        <w:spacing w:after="0" w:line="181"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Chairman and Chief Executive Officer, John R. Hawkins, commented, “The Water Treatment segment has maintained a steady growth trend, with sales increasing by 5.4% and gross margins improving to 35.9%, versus 35.7% in the first quarter a year ago. A favorable product mix, and to a lesser extent, volume increases, positively impacted results.”</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Mr. Hawkins noted that Industrial segment sales were flat despite more volume of caustic soda, which was offset by lower selling prices. As a result of these and other factors, overall gross margins were 28.7%, compared to 29.0% a year ago.</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Although selling, general and administrative expenses were relatively stable during the quarter as compared to the prior year, the Company expects a significant increase through the end of fiscal 2005 in expenses associated with the Company’s implementation of a new Enterprise Resource Planning system and to meet the requirements of the Sarbanes-Oxley Act.</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end our first quarter of fiscal 2005 in excellent financial health with approximately $25.5 million in cash and marketable securities, strong, predictable cash flow and no debt,”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stated. Mr. Hawkins also commented, “During the first quarter of fiscal 2005, the Company opened a new distribution facility in Eldridge, Iowa, paving the way for further growth.”</w:t>
      </w:r>
    </w:p>
    <w:p>
      <w:pPr>
        <w:spacing w:after="0" w:line="17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Hawkins, Inc. is a highly focused regional company which provides a full range of bulk industrial products complemented with the technical competence and ingenuity to formulate and blend specialty chemicals. The Company sells and services related products and equipment to safely dispense chemicals in highly controlled environments.</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industries in which Hawkins’ customers participate include chemical processing, electronics, energy, environmental services, food processing, metal finishing, pharmaceutical, medical devices, pulp and paper, and water treatment.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strives to operate in concert with the environment. Its products and services are geared to improve the environment and insure the safe handling of chemicals.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Hawkins is headquartered in Minneapolis, Minnesota. The Company operates fifteen facilities in Iowa, Illinois, Minnesota, Montana, Nebraska, South and North Dakota and Wisconsin and services customers in Upper Michigan, Kansas and Wyoming as well.</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The discussion above contains forward-looking statements within the meaning of the Private Securities Litigation Reform Act of 1995. These statements by their nature involve substantial risks and uncertainties as described by Hawkins’ periodic filings. Actual results may differ materially depending on a variety of factors, including, but not limited to the following: the achievement of Hawkins’ projected operating results, the achievement of efficient volume production and related sales revenue, and the ability of Hawkins to identify and successfully pursue other business opportunities. Additional information with respect to the risks and uncertainties faced by Hawkins may be found in, and the prior discussion is qualified in its entirety by, the Risk Factors contained in the Company’s filings with the Securities and Exchange Commission including Hawkins’ Report on Form 10-K for the period ended March 28, 2004, Forms 10-Q, and other SEC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187325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Quarters Ended</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6"/>
              </w:rPr>
              <w:t>June 30,</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June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65"/>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29,955,818</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29,066,867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3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21,370,342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20,630,734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8,585,476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8,436,133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4,204,845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4,192,655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4,380,631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4,243,478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2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196,173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222,538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4,576,804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4,466,016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1,647,500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2,929,304</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2,792,016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2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10,216,688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10,216,688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Earnings per share - basic and diluted</w:t>
            </w:r>
          </w:p>
        </w:tc>
        <w:tc>
          <w:tcPr>
            <w:tcW w:w="28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5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60" w:type="dxa"/>
            <w:vAlign w:val="bottom"/>
          </w:tcPr>
          <w:p>
            <w:pPr>
              <w:jc w:val="right"/>
              <w:ind w:right="2150"/>
              <w:spacing w:after="0"/>
              <w:rPr>
                <w:sz w:val="20"/>
                <w:szCs w:val="20"/>
                <w:color w:val="auto"/>
              </w:rPr>
            </w:pPr>
            <w:r>
              <w:rPr>
                <w:rFonts w:ascii="Arial" w:cs="Arial" w:eastAsia="Arial" w:hAnsi="Arial"/>
                <w:sz w:val="18"/>
                <w:szCs w:val="18"/>
                <w:color w:val="auto"/>
              </w:rPr>
              <w:t>#  #  #</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5460" w:type="dxa"/>
            <w:vAlign w:val="bottom"/>
            <w:tcBorders>
              <w:bottom w:val="single" w:sz="8" w:color="808080"/>
            </w:tcBorders>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14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2019-12-13T01:42:35Z</dcterms:created>
  <dcterms:modified xsi:type="dcterms:W3CDTF">2019-12-13T01:42:35Z</dcterms:modified>
</cp:coreProperties>
</file>