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3" w:lineRule="exact"/>
        <w:rPr>
          <w:sz w:val="24"/>
          <w:szCs w:val="24"/>
          <w:color w:val="auto"/>
        </w:rPr>
      </w:pPr>
    </w:p>
    <w:p>
      <w:pPr>
        <w:ind w:left="620" w:right="320" w:hanging="612"/>
        <w:spacing w:after="0" w:line="256" w:lineRule="auto"/>
        <w:tabs>
          <w:tab w:leader="none" w:pos="6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2002</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20" w:right="300" w:hanging="612"/>
        <w:spacing w:after="0" w:line="256" w:lineRule="auto"/>
        <w:tabs>
          <w:tab w:leader="none" w:pos="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0-7647</w:t>
      </w:r>
    </w:p>
    <w:p>
      <w:pPr>
        <w:spacing w:after="0" w:line="200" w:lineRule="exact"/>
        <w:rPr>
          <w:sz w:val="24"/>
          <w:szCs w:val="24"/>
          <w:color w:val="auto"/>
        </w:rPr>
      </w:pPr>
    </w:p>
    <w:p>
      <w:pPr>
        <w:spacing w:after="0" w:line="36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949" w:right="219" w:bottom="32" w:gutter="0" w:footer="0" w:header="0"/>
        </w:sect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(State or other jurisdiction of incorporation of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60" w:space="720"/>
            <w:col w:w="4160"/>
          </w:cols>
          <w:pgMar w:left="240" w:top="949" w:right="219" w:bottom="32" w:gutter="0" w:footer="0" w:header="0"/>
          <w:type w:val="continuous"/>
        </w:sectPr>
      </w:pP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4"/>
          <w:szCs w:val="24"/>
          <w:color w:val="auto"/>
        </w:rPr>
      </w:pPr>
    </w:p>
    <w:p>
      <w:pPr>
        <w:jc w:val="center"/>
        <w:spacing w:after="0" w:line="207" w:lineRule="exact"/>
        <w:tabs>
          <w:tab w:leader="none" w:pos="240" w:val="left"/>
          <w:tab w:leader="none" w:pos="400" w:val="left"/>
          <w:tab w:leader="none" w:pos="28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CLASS</w:t>
            </w: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rPr>
              <w:t>OUTSTANDING AT NOVEMBER 8, 2002</w:t>
            </w:r>
          </w:p>
        </w:tc>
        <w:tc>
          <w:tcPr>
            <w:tcW w:w="20" w:type="dxa"/>
            <w:vAlign w:val="bottom"/>
          </w:tcPr>
          <w:p>
            <w:pPr>
              <w:spacing w:after="0"/>
              <w:rPr>
                <w:sz w:val="14"/>
                <w:szCs w:val="14"/>
                <w:color w:val="auto"/>
              </w:rPr>
            </w:pPr>
          </w:p>
        </w:tc>
      </w:tr>
      <w:tr>
        <w:trPr>
          <w:trHeight w:val="224"/>
        </w:trPr>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$.05 per share</w:t>
            </w:r>
          </w:p>
        </w:tc>
        <w:tc>
          <w:tcPr>
            <w:tcW w:w="300" w:type="dxa"/>
            <w:vAlign w:val="bottom"/>
          </w:tcPr>
          <w:p>
            <w:pPr>
              <w:spacing w:after="0"/>
              <w:rPr>
                <w:sz w:val="19"/>
                <w:szCs w:val="19"/>
                <w:color w:val="auto"/>
              </w:rPr>
            </w:pPr>
          </w:p>
        </w:tc>
        <w:tc>
          <w:tcPr>
            <w:tcW w:w="5800" w:type="dxa"/>
            <w:vAlign w:val="bottom"/>
            <w:tcBorders>
              <w:top w:val="single" w:sz="8" w:color="auto"/>
            </w:tcBorders>
          </w:tcPr>
          <w:p>
            <w:pPr>
              <w:jc w:val="right"/>
              <w:ind w:right="2419"/>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r>
      <w:tr>
        <w:trPr>
          <w:trHeight w:val="600"/>
        </w:trPr>
        <w:tc>
          <w:tcPr>
            <w:tcW w:w="5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5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91"/>
        </w:trPr>
        <w:tc>
          <w:tcPr>
            <w:tcW w:w="53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58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170" w:lineRule="exact"/>
        <w:rPr>
          <w:sz w:val="24"/>
          <w:szCs w:val="24"/>
          <w:color w:val="auto"/>
        </w:rPr>
      </w:pPr>
    </w:p>
    <w:p>
      <w:pPr>
        <w:spacing w:after="0"/>
        <w:tabs>
          <w:tab w:leader="none" w:pos="900" w:val="left"/>
        </w:tabs>
        <w:rPr>
          <w:rFonts w:ascii="Arial" w:cs="Arial" w:eastAsia="Arial" w:hAnsi="Arial"/>
          <w:sz w:val="17"/>
          <w:szCs w:val="17"/>
          <w:u w:val="single" w:color="auto"/>
          <w:color w:val="0000EE"/>
        </w:rPr>
      </w:pPr>
      <w:hyperlink w:anchor="page2">
        <w:r>
          <w:rPr>
            <w:rFonts w:ascii="Arial" w:cs="Arial" w:eastAsia="Arial" w:hAnsi="Arial"/>
            <w:sz w:val="18"/>
            <w:szCs w:val="18"/>
            <w:u w:val="single" w:color="auto"/>
            <w:color w:val="0000EE"/>
          </w:rPr>
          <w:t>PART I</w:t>
        </w:r>
      </w:hyperlink>
      <w:r>
        <w:rPr>
          <w:rFonts w:ascii="Arial" w:cs="Arial" w:eastAsia="Arial" w:hAnsi="Arial"/>
          <w:sz w:val="18"/>
          <w:szCs w:val="18"/>
          <w:u w:val="single" w:color="auto"/>
          <w:color w:val="0000EE"/>
        </w:rPr>
        <w:tab/>
      </w:r>
      <w:hyperlink w:anchor="page2">
        <w:r>
          <w:rPr>
            <w:rFonts w:ascii="Arial" w:cs="Arial" w:eastAsia="Arial" w:hAnsi="Arial"/>
            <w:sz w:val="17"/>
            <w:szCs w:val="17"/>
            <w:u w:val="single" w:color="auto"/>
            <w:color w:val="0000EE"/>
          </w:rPr>
          <w:t>FINANCIAL INFORMATION</w:t>
        </w:r>
      </w:hyperlink>
    </w:p>
    <w:p>
      <w:pPr>
        <w:spacing w:after="0" w:line="252"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52" w:lineRule="exact"/>
        <w:rPr>
          <w:sz w:val="20"/>
          <w:szCs w:val="20"/>
          <w:color w:val="auto"/>
        </w:rPr>
      </w:pPr>
    </w:p>
    <w:p>
      <w:pPr>
        <w:ind w:left="9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Balance Sheets — September 30, 2002 and March 31, 2002</w:t>
        </w:r>
      </w:hyperlink>
    </w:p>
    <w:p>
      <w:pPr>
        <w:spacing w:after="0" w:line="252" w:lineRule="exact"/>
        <w:rPr>
          <w:sz w:val="20"/>
          <w:szCs w:val="20"/>
          <w:color w:val="auto"/>
        </w:rPr>
      </w:pPr>
    </w:p>
    <w:p>
      <w:pPr>
        <w:ind w:left="9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Income — Three and Six Months Ended September 30, 2002 and 2001</w:t>
        </w:r>
      </w:hyperlink>
    </w:p>
    <w:p>
      <w:pPr>
        <w:sectPr>
          <w:pgSz w:w="11900" w:h="16838" w:orient="portrait"/>
          <w:cols w:equalWidth="0" w:num="1">
            <w:col w:w="11440"/>
          </w:cols>
          <w:pgMar w:left="240" w:top="949" w:right="219" w:bottom="32" w:gutter="0" w:footer="0" w:header="0"/>
          <w:type w:val="continuous"/>
        </w:sectPr>
      </w:pPr>
    </w:p>
    <w:bookmarkStart w:id="1" w:name="page2"/>
    <w:bookmarkEnd w:id="1"/>
    <w:p>
      <w:pPr>
        <w:ind w:left="9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Cash Flows — Six Months Ended September 30, 2002 and 2001</w:t>
        </w:r>
      </w:hyperlink>
    </w:p>
    <w:p>
      <w:pPr>
        <w:spacing w:after="0" w:line="252" w:lineRule="exact"/>
        <w:rPr>
          <w:sz w:val="20"/>
          <w:szCs w:val="20"/>
          <w:color w:val="auto"/>
        </w:rPr>
      </w:pPr>
    </w:p>
    <w:p>
      <w:pPr>
        <w:ind w:left="9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Condensed Financial Statements</w:t>
        </w:r>
      </w:hyperlink>
    </w:p>
    <w:p>
      <w:pPr>
        <w:spacing w:after="0" w:line="252"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Management’s Discussion and Analysis of Financial Condition and Results of Operations</w:t>
        </w:r>
      </w:hyperlink>
    </w:p>
    <w:p>
      <w:pPr>
        <w:spacing w:after="0" w:line="252" w:lineRule="exact"/>
        <w:rPr>
          <w:sz w:val="20"/>
          <w:szCs w:val="20"/>
          <w:color w:val="auto"/>
        </w:rPr>
      </w:pPr>
    </w:p>
    <w:p>
      <w:pPr>
        <w:spacing w:after="0"/>
        <w:tabs>
          <w:tab w:leader="none" w:pos="900" w:val="left"/>
        </w:tabs>
        <w:rPr>
          <w:rFonts w:ascii="Arial" w:cs="Arial" w:eastAsia="Arial" w:hAnsi="Arial"/>
          <w:sz w:val="17"/>
          <w:szCs w:val="17"/>
          <w:u w:val="single" w:color="auto"/>
          <w:color w:val="0000EE"/>
        </w:rPr>
      </w:pPr>
      <w:hyperlink w:anchor="page7">
        <w:r>
          <w:rPr>
            <w:rFonts w:ascii="Arial" w:cs="Arial" w:eastAsia="Arial" w:hAnsi="Arial"/>
            <w:sz w:val="18"/>
            <w:szCs w:val="18"/>
            <w:u w:val="single" w:color="auto"/>
            <w:color w:val="0000EE"/>
          </w:rPr>
          <w:t>PART II</w:t>
        </w:r>
      </w:hyperlink>
      <w:r>
        <w:rPr>
          <w:rFonts w:ascii="Arial" w:cs="Arial" w:eastAsia="Arial" w:hAnsi="Arial"/>
          <w:sz w:val="18"/>
          <w:szCs w:val="18"/>
          <w:u w:val="single" w:color="auto"/>
          <w:color w:val="0000EE"/>
        </w:rPr>
        <w:tab/>
      </w:r>
      <w:hyperlink w:anchor="page7">
        <w:r>
          <w:rPr>
            <w:rFonts w:ascii="Arial" w:cs="Arial" w:eastAsia="Arial" w:hAnsi="Arial"/>
            <w:sz w:val="17"/>
            <w:szCs w:val="17"/>
            <w:u w:val="single" w:color="auto"/>
            <w:color w:val="0000EE"/>
          </w:rPr>
          <w:t>OTHER INFORMATION</w:t>
        </w:r>
      </w:hyperlink>
    </w:p>
    <w:p>
      <w:pPr>
        <w:spacing w:after="0" w:line="252"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hyperlink w:anchor="page7">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7">
        <w:r>
          <w:rPr>
            <w:rFonts w:ascii="Arial" w:cs="Arial" w:eastAsia="Arial" w:hAnsi="Arial"/>
            <w:sz w:val="15"/>
            <w:szCs w:val="15"/>
            <w:u w:val="single" w:color="auto"/>
            <w:color w:val="0000EE"/>
          </w:rPr>
          <w:t>Legal Proceedings</w:t>
        </w:r>
      </w:hyperlink>
    </w:p>
    <w:p>
      <w:pPr>
        <w:spacing w:after="0" w:line="252"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Controls and Procedures and Submission of Matters to a Vote of Security Holders</w:t>
        </w:r>
      </w:hyperlink>
    </w:p>
    <w:p>
      <w:pPr>
        <w:spacing w:after="0" w:line="252"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Exhibits and Reports on Form 8-K</w:t>
        </w:r>
      </w:hyperlink>
    </w:p>
    <w:p>
      <w:pPr>
        <w:spacing w:after="0" w:line="200" w:lineRule="exact"/>
        <w:rPr>
          <w:sz w:val="20"/>
          <w:szCs w:val="20"/>
          <w:color w:val="auto"/>
        </w:rPr>
      </w:pPr>
    </w:p>
    <w:p>
      <w:pPr>
        <w:spacing w:after="0" w:line="39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 2002</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(DERIVED FROM</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2002</w:t>
            </w:r>
          </w:p>
        </w:tc>
        <w:tc>
          <w:tcPr>
            <w:tcW w:w="1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3,796,542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7,339,895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available-for-sale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18,669,688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7,170,748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Trade receivables-net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10,777,043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10,610,386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9,327,872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9,397,541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1,333,513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1,977,667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43,904,658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36,496,237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27,513,410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27,940,170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INTANGIBLE ASSETS-less accumulated amortization of</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$1,159,644 and $1,017,901, respectively</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3,203,405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3,345,148</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3,566,120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3,705,578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78,187,593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71,487,133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LIABILITIES AND SHAREHOLDERS’ EQUITY</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Accounts payable — trade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4,813,335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4,095,820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1,532,503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1,532,690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6,393,440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4,004,451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12,856,101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9,749,784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929,851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953,851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290,760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353,063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Common stock, par value $.05 per share; 10,216,688 shares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issued and outstanding</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510,834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510,834</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37,747,492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37,747,492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(188,285 )</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(145,528 )</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26,040,840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22,317,637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64,110,881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60,430,435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78,187,593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71,487,133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10219"/>
          </w:cols>
          <w:pgMar w:left="240" w:top="125" w:right="1440" w:bottom="0" w:gutter="0" w:footer="0" w:header="0"/>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gridSpan w:val="3"/>
          </w:tcPr>
          <w:p>
            <w:pPr>
              <w:jc w:val="center"/>
              <w:ind w:left="654"/>
              <w:spacing w:after="0" w:line="149" w:lineRule="exact"/>
              <w:rPr>
                <w:sz w:val="20"/>
                <w:szCs w:val="20"/>
                <w:color w:val="auto"/>
              </w:rPr>
            </w:pPr>
            <w:r>
              <w:rPr>
                <w:rFonts w:ascii="Arial" w:cs="Arial" w:eastAsia="Arial" w:hAnsi="Arial"/>
                <w:sz w:val="14"/>
                <w:szCs w:val="14"/>
                <w:b w:val="1"/>
                <w:bCs w:val="1"/>
                <w:color w:val="auto"/>
                <w:w w:val="99"/>
              </w:rPr>
              <w:t>SEPTEMBER 30</w:t>
            </w:r>
          </w:p>
        </w:tc>
        <w:tc>
          <w:tcPr>
            <w:tcW w:w="1140" w:type="dxa"/>
            <w:vAlign w:val="bottom"/>
            <w:vMerge w:val="restart"/>
          </w:tcPr>
          <w:p>
            <w:pPr>
              <w:jc w:val="right"/>
              <w:ind w:right="631"/>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80" w:type="dxa"/>
            <w:vAlign w:val="bottom"/>
            <w:gridSpan w:val="3"/>
          </w:tcPr>
          <w:p>
            <w:pPr>
              <w:jc w:val="center"/>
              <w:ind w:left="554"/>
              <w:spacing w:after="0" w:line="149" w:lineRule="exact"/>
              <w:rPr>
                <w:sz w:val="20"/>
                <w:szCs w:val="20"/>
                <w:color w:val="auto"/>
              </w:rPr>
            </w:pPr>
            <w:r>
              <w:rPr>
                <w:rFonts w:ascii="Arial" w:cs="Arial" w:eastAsia="Arial" w:hAnsi="Arial"/>
                <w:sz w:val="14"/>
                <w:szCs w:val="14"/>
                <w:b w:val="1"/>
                <w:bCs w:val="1"/>
                <w:color w:val="auto"/>
                <w:w w:val="99"/>
              </w:rPr>
              <w:t>SEPTEMBER 30</w:t>
            </w:r>
          </w:p>
        </w:tc>
        <w:tc>
          <w:tcPr>
            <w:tcW w:w="106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w w:val="96"/>
              </w:rPr>
              <w:t>2001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gridSpan w:val="3"/>
          </w:tcPr>
          <w:p>
            <w:pPr>
              <w:jc w:val="center"/>
              <w:ind w:left="654"/>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gridSpan w:val="3"/>
          </w:tcPr>
          <w:p>
            <w:pPr>
              <w:jc w:val="center"/>
              <w:ind w:left="574"/>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27,636,311</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28,543,374</w:t>
            </w: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54,919,212</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57,522,030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19,673,756</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21,769,871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39,205,531</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43,668,201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7,962,555</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6,773,503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15,713,681</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13,853,829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3,895,389</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3,755,731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7,691,224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7,601,646</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4,067,166</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3,017,772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8,022,457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6,252,183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190,189</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323,338</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262,043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(2,044)</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(4,089)</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(14,796)</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4,255,311</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3,059,777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8,341,706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6,499,430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1,574,000</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613,820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3,086,000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1,970,520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2,681,311</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2,445,957</w:t>
            </w: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5,255,706</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4,528,910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2"/>
              </w:rPr>
              <w:t>Weighted average number of shares outstanding</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10,216,688</w:t>
            </w:r>
          </w:p>
        </w:tc>
        <w:tc>
          <w:tcPr>
            <w:tcW w:w="6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10,269,346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10,216,688</w:t>
            </w:r>
          </w:p>
        </w:tc>
        <w:tc>
          <w:tcPr>
            <w:tcW w:w="7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10,306,014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share — basic and</w:t>
            </w:r>
          </w:p>
        </w:tc>
        <w:tc>
          <w:tcPr>
            <w:tcW w:w="6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60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4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1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0.51</w:t>
            </w:r>
          </w:p>
        </w:tc>
        <w:tc>
          <w:tcPr>
            <w:tcW w:w="700" w:type="dxa"/>
            <w:vAlign w:val="bottom"/>
            <w:vMerge w:val="restart"/>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600" w:type="dxa"/>
            <w:vAlign w:val="bottom"/>
            <w:gridSpan w:val="2"/>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17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3"/>
              <w:spacing w:after="0" w:line="142" w:lineRule="exact"/>
              <w:rPr>
                <w:sz w:val="20"/>
                <w:szCs w:val="20"/>
                <w:color w:val="auto"/>
              </w:rPr>
            </w:pPr>
            <w:r>
              <w:rPr>
                <w:rFonts w:ascii="Arial" w:cs="Arial" w:eastAsia="Arial" w:hAnsi="Arial"/>
                <w:sz w:val="14"/>
                <w:szCs w:val="14"/>
                <w:b w:val="1"/>
                <w:bCs w:val="1"/>
                <w:color w:val="auto"/>
              </w:rPr>
              <w:t>2002</w:t>
            </w: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2"/>
                <w:szCs w:val="12"/>
                <w:color w:val="auto"/>
              </w:rPr>
            </w:pPr>
          </w:p>
        </w:tc>
      </w:tr>
      <w:tr>
        <w:trPr>
          <w:trHeight w:val="142"/>
        </w:trPr>
        <w:tc>
          <w:tcPr>
            <w:tcW w:w="7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5,255,706</w:t>
            </w:r>
          </w:p>
        </w:tc>
        <w:tc>
          <w:tcPr>
            <w:tcW w:w="16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4,528,910</w:t>
            </w:r>
          </w:p>
        </w:tc>
        <w:tc>
          <w:tcPr>
            <w:tcW w:w="160" w:type="dxa"/>
            <w:vAlign w:val="bottom"/>
          </w:tcPr>
          <w:p>
            <w:pPr>
              <w:spacing w:after="0"/>
              <w:rPr>
                <w:sz w:val="18"/>
                <w:szCs w:val="18"/>
                <w:color w:val="auto"/>
              </w:rPr>
            </w:pPr>
          </w:p>
        </w:tc>
      </w:tr>
      <w:tr>
        <w:trPr>
          <w:trHeight w:val="216"/>
        </w:trPr>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to cash flows: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1,451,510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1,455,141</w:t>
            </w:r>
          </w:p>
        </w:tc>
        <w:tc>
          <w:tcPr>
            <w:tcW w:w="160" w:type="dxa"/>
            <w:vAlign w:val="bottom"/>
          </w:tcPr>
          <w:p>
            <w:pPr>
              <w:spacing w:after="0"/>
              <w:rPr>
                <w:sz w:val="18"/>
                <w:szCs w:val="18"/>
                <w:color w:val="auto"/>
              </w:rPr>
            </w:pPr>
          </w:p>
        </w:tc>
      </w:tr>
      <w:tr>
        <w:trPr>
          <w:trHeight w:val="216"/>
        </w:trPr>
        <w:tc>
          <w:tcPr>
            <w:tcW w:w="7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(202,109 )</w:t>
            </w: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Changes in operating accounts (requiring) providing cash:</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Trade receivables</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(166,657 )</w:t>
            </w: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(295,455 )</w:t>
            </w:r>
          </w:p>
        </w:tc>
      </w:tr>
      <w:tr>
        <w:trPr>
          <w:trHeight w:val="216"/>
        </w:trPr>
        <w:tc>
          <w:tcPr>
            <w:tcW w:w="7740" w:type="dxa"/>
            <w:vAlign w:val="bottom"/>
          </w:tcPr>
          <w:p>
            <w:pPr>
              <w:ind w:left="56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69,669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(6,082,779 )</w:t>
            </w:r>
          </w:p>
        </w:tc>
      </w:tr>
      <w:tr>
        <w:trPr>
          <w:trHeight w:val="216"/>
        </w:trPr>
        <w:tc>
          <w:tcPr>
            <w:tcW w:w="7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717,515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2,458,186</w:t>
            </w:r>
          </w:p>
        </w:tc>
        <w:tc>
          <w:tcPr>
            <w:tcW w:w="160" w:type="dxa"/>
            <w:vAlign w:val="bottom"/>
            <w:shd w:val="clear" w:color="auto" w:fill="CCEEFF"/>
          </w:tcPr>
          <w:p>
            <w:pPr>
              <w:spacing w:after="0"/>
              <w:rPr>
                <w:sz w:val="18"/>
                <w:szCs w:val="18"/>
                <w:color w:val="auto"/>
              </w:rPr>
            </w:pPr>
          </w:p>
        </w:tc>
      </w:tr>
      <w:tr>
        <w:trPr>
          <w:trHeight w:val="216"/>
        </w:trPr>
        <w:tc>
          <w:tcPr>
            <w:tcW w:w="7740" w:type="dxa"/>
            <w:vAlign w:val="bottom"/>
          </w:tcPr>
          <w:p>
            <w:pPr>
              <w:ind w:left="56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2,326,686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1,344,340</w:t>
            </w:r>
          </w:p>
        </w:tc>
        <w:tc>
          <w:tcPr>
            <w:tcW w:w="160" w:type="dxa"/>
            <w:vAlign w:val="bottom"/>
          </w:tcPr>
          <w:p>
            <w:pPr>
              <w:spacing w:after="0"/>
              <w:rPr>
                <w:sz w:val="18"/>
                <w:szCs w:val="18"/>
                <w:color w:val="auto"/>
              </w:rPr>
            </w:pPr>
          </w:p>
        </w:tc>
      </w:tr>
      <w:tr>
        <w:trPr>
          <w:trHeight w:val="216"/>
        </w:trPr>
        <w:tc>
          <w:tcPr>
            <w:tcW w:w="7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565,130</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1,068,450</w:t>
            </w:r>
          </w:p>
        </w:tc>
        <w:tc>
          <w:tcPr>
            <w:tcW w:w="160" w:type="dxa"/>
            <w:vAlign w:val="bottom"/>
            <w:shd w:val="clear" w:color="auto" w:fill="CCEEFF"/>
          </w:tcPr>
          <w:p>
            <w:pPr>
              <w:spacing w:after="0"/>
              <w:rPr>
                <w:sz w:val="18"/>
                <w:szCs w:val="18"/>
                <w:color w:val="auto"/>
              </w:rPr>
            </w:pPr>
          </w:p>
        </w:tc>
      </w:tr>
      <w:tr>
        <w:trPr>
          <w:trHeight w:val="237"/>
        </w:trPr>
        <w:tc>
          <w:tcPr>
            <w:tcW w:w="7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7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10,259,559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4,274,684</w:t>
            </w:r>
          </w:p>
        </w:tc>
        <w:tc>
          <w:tcPr>
            <w:tcW w:w="160" w:type="dxa"/>
            <w:vAlign w:val="bottom"/>
            <w:shd w:val="clear" w:color="auto" w:fill="CCEEFF"/>
          </w:tcPr>
          <w:p>
            <w:pPr>
              <w:spacing w:after="0"/>
              <w:rPr>
                <w:sz w:val="18"/>
                <w:szCs w:val="18"/>
                <w:color w:val="auto"/>
              </w:rPr>
            </w:pPr>
          </w:p>
        </w:tc>
      </w:tr>
      <w:tr>
        <w:trPr>
          <w:trHeight w:val="243"/>
        </w:trPr>
        <w:tc>
          <w:tcPr>
            <w:tcW w:w="7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84"/>
        </w:trPr>
        <w:tc>
          <w:tcPr>
            <w:tcW w:w="77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517"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(883,007 )</w:t>
            </w:r>
          </w:p>
        </w:tc>
        <w:tc>
          <w:tcPr>
            <w:tcW w:w="5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(3,155,997 )</w:t>
            </w:r>
          </w:p>
        </w:tc>
        <w:tc>
          <w:tcPr>
            <w:tcW w:w="20" w:type="dxa"/>
            <w:vAlign w:val="bottom"/>
          </w:tcPr>
          <w:p>
            <w:pPr>
              <w:spacing w:after="0"/>
              <w:rPr>
                <w:sz w:val="18"/>
                <w:szCs w:val="18"/>
                <w:color w:val="auto"/>
              </w:rPr>
            </w:pPr>
          </w:p>
        </w:tc>
      </w:tr>
      <w:tr>
        <w:trPr>
          <w:trHeight w:val="21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(16,565,697 )</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(526,386 )</w:t>
            </w:r>
          </w:p>
        </w:tc>
        <w:tc>
          <w:tcPr>
            <w:tcW w:w="20" w:type="dxa"/>
            <w:vAlign w:val="bottom"/>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Sale and maturities of investments</w:t>
            </w: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1,032,018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received on notes receivable</w:t>
            </w:r>
          </w:p>
        </w:tc>
        <w:tc>
          <w:tcPr>
            <w:tcW w:w="2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178,482</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187,450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5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(12,270,222 )</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(2,462,915 )</w:t>
            </w:r>
          </w:p>
        </w:tc>
        <w:tc>
          <w:tcPr>
            <w:tcW w:w="20" w:type="dxa"/>
            <w:vAlign w:val="bottom"/>
          </w:tcPr>
          <w:p>
            <w:pPr>
              <w:spacing w:after="0"/>
              <w:rPr>
                <w:sz w:val="18"/>
                <w:szCs w:val="18"/>
                <w:color w:val="auto"/>
              </w:rPr>
            </w:pPr>
          </w:p>
        </w:tc>
      </w:tr>
      <w:tr>
        <w:trPr>
          <w:trHeight w:val="243"/>
        </w:trPr>
        <w:tc>
          <w:tcPr>
            <w:tcW w:w="55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Cash dividends paid</w:t>
            </w:r>
          </w:p>
        </w:tc>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(1,532,690 )</w:t>
            </w:r>
          </w:p>
        </w:tc>
        <w:tc>
          <w:tcPr>
            <w:tcW w:w="5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(1,555,086 )</w:t>
            </w:r>
          </w:p>
        </w:tc>
        <w:tc>
          <w:tcPr>
            <w:tcW w:w="20" w:type="dxa"/>
            <w:vAlign w:val="bottom"/>
          </w:tcPr>
          <w:p>
            <w:pPr>
              <w:spacing w:after="0"/>
              <w:rPr>
                <w:sz w:val="18"/>
                <w:szCs w:val="18"/>
                <w:color w:val="auto"/>
              </w:rPr>
            </w:pPr>
          </w:p>
        </w:tc>
      </w:tr>
      <w:tr>
        <w:trPr>
          <w:trHeight w:val="21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and retirement of stock</w:t>
            </w: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(1,001,282 )</w:t>
            </w:r>
          </w:p>
        </w:tc>
        <w:tc>
          <w:tcPr>
            <w:tcW w:w="20" w:type="dxa"/>
            <w:vAlign w:val="bottom"/>
          </w:tcPr>
          <w:p>
            <w:pPr>
              <w:spacing w:after="0"/>
              <w:rPr>
                <w:sz w:val="18"/>
                <w:szCs w:val="18"/>
                <w:color w:val="auto"/>
              </w:rPr>
            </w:pPr>
          </w:p>
        </w:tc>
      </w:tr>
      <w:tr>
        <w:trPr>
          <w:trHeight w:val="237"/>
        </w:trPr>
        <w:tc>
          <w:tcPr>
            <w:tcW w:w="5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(1,532,690 )</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(2,556,368 )</w:t>
            </w:r>
          </w:p>
        </w:tc>
        <w:tc>
          <w:tcPr>
            <w:tcW w:w="20" w:type="dxa"/>
            <w:vAlign w:val="bottom"/>
          </w:tcPr>
          <w:p>
            <w:pPr>
              <w:spacing w:after="0"/>
              <w:rPr>
                <w:sz w:val="18"/>
                <w:szCs w:val="18"/>
                <w:color w:val="auto"/>
              </w:rPr>
            </w:pPr>
          </w:p>
        </w:tc>
      </w:tr>
      <w:tr>
        <w:trPr>
          <w:trHeight w:val="237"/>
        </w:trPr>
        <w:tc>
          <w:tcPr>
            <w:tcW w:w="5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CASH AND CASH EQUIVALENTS</w:t>
            </w: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(3,543,353 )</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(744,599 )</w:t>
            </w:r>
          </w:p>
        </w:tc>
        <w:tc>
          <w:tcPr>
            <w:tcW w:w="20" w:type="dxa"/>
            <w:vAlign w:val="bottom"/>
          </w:tcPr>
          <w:p>
            <w:pPr>
              <w:spacing w:after="0"/>
              <w:rPr>
                <w:sz w:val="18"/>
                <w:szCs w:val="18"/>
                <w:color w:val="auto"/>
              </w:rPr>
            </w:pPr>
          </w:p>
        </w:tc>
      </w:tr>
      <w:tr>
        <w:trPr>
          <w:trHeight w:val="243"/>
        </w:trPr>
        <w:tc>
          <w:tcPr>
            <w:tcW w:w="55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7,339,895</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1,863,455</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5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3,796,542</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1,118,856</w:t>
            </w: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520" w:type="dxa"/>
            <w:vAlign w:val="bottom"/>
            <w:tcBorders>
              <w:top w:val="single" w:sz="8" w:color="CCEEFF"/>
            </w:tcBorders>
          </w:tcPr>
          <w:p>
            <w:pPr>
              <w:spacing w:after="0"/>
              <w:rPr>
                <w:sz w:val="21"/>
                <w:szCs w:val="21"/>
                <w:color w:val="auto"/>
              </w:rPr>
            </w:pPr>
          </w:p>
        </w:tc>
        <w:tc>
          <w:tcPr>
            <w:tcW w:w="222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SUPPLEMENTAL DISCLOSURES OF CASH FLOW INFORMATION:</w:t>
            </w:r>
          </w:p>
        </w:tc>
        <w:tc>
          <w:tcPr>
            <w:tcW w:w="2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55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2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1,505,724</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1,463,071</w:t>
            </w: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595"/>
        </w:trPr>
        <w:tc>
          <w:tcPr>
            <w:tcW w:w="5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22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5520" w:type="dxa"/>
            <w:vAlign w:val="bottom"/>
          </w:tcPr>
          <w:p>
            <w:pPr>
              <w:spacing w:after="0"/>
              <w:rPr>
                <w:sz w:val="24"/>
                <w:szCs w:val="24"/>
                <w:color w:val="auto"/>
              </w:rPr>
            </w:pPr>
          </w:p>
        </w:tc>
        <w:tc>
          <w:tcPr>
            <w:tcW w:w="2220" w:type="dxa"/>
            <w:vAlign w:val="bottom"/>
          </w:tcPr>
          <w:p>
            <w:pPr>
              <w:jc w:val="right"/>
              <w:ind w:right="189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5520" w:type="dxa"/>
            <w:vAlign w:val="bottom"/>
            <w:tcBorders>
              <w:bottom w:val="single" w:sz="8" w:color="808080"/>
            </w:tcBorders>
          </w:tcPr>
          <w:p>
            <w:pPr>
              <w:spacing w:after="0"/>
              <w:rPr>
                <w:sz w:val="17"/>
                <w:szCs w:val="17"/>
                <w:color w:val="auto"/>
              </w:rPr>
            </w:pPr>
          </w:p>
        </w:tc>
        <w:tc>
          <w:tcPr>
            <w:tcW w:w="22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12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70" w:lineRule="exact"/>
        <w:rPr>
          <w:sz w:val="20"/>
          <w:szCs w:val="20"/>
          <w:color w:val="auto"/>
        </w:rPr>
      </w:pPr>
    </w:p>
    <w:p>
      <w:pPr>
        <w:ind w:left="660" w:right="300" w:hanging="652"/>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Report on Form 10-KT for the six-month transitional period ended March 31, 2002, previously filed with the Securities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216" w:lineRule="exact"/>
        <w:rPr>
          <w:rFonts w:ascii="Arial" w:cs="Arial" w:eastAsia="Arial" w:hAnsi="Arial"/>
          <w:sz w:val="18"/>
          <w:szCs w:val="18"/>
          <w:color w:val="auto"/>
        </w:rPr>
      </w:pPr>
    </w:p>
    <w:p>
      <w:pPr>
        <w:ind w:left="660" w:right="660"/>
        <w:spacing w:after="0" w:line="308" w:lineRule="auto"/>
        <w:rPr>
          <w:rFonts w:ascii="Arial" w:cs="Arial" w:eastAsia="Arial" w:hAnsi="Arial"/>
          <w:sz w:val="18"/>
          <w:szCs w:val="18"/>
          <w:color w:val="auto"/>
        </w:rPr>
      </w:pPr>
      <w:r>
        <w:rPr>
          <w:rFonts w:ascii="Arial" w:cs="Arial" w:eastAsia="Arial" w:hAnsi="Arial"/>
          <w:sz w:val="17"/>
          <w:szCs w:val="17"/>
          <w:color w:val="auto"/>
        </w:rPr>
        <w:t>The accounting policies followed by the Company are set forth in Note 1 to the Company’s financial statements in the Company’s Report on Form 10-KT for the six-month transitional period ended March 31, 2002 filed with the Commission on June 27, 2002.</w:t>
      </w:r>
    </w:p>
    <w:p>
      <w:pPr>
        <w:spacing w:after="0" w:line="173" w:lineRule="exact"/>
        <w:rPr>
          <w:rFonts w:ascii="Arial" w:cs="Arial" w:eastAsia="Arial" w:hAnsi="Arial"/>
          <w:sz w:val="18"/>
          <w:szCs w:val="18"/>
          <w:color w:val="auto"/>
        </w:rPr>
      </w:pPr>
    </w:p>
    <w:p>
      <w:pPr>
        <w:ind w:left="660" w:right="52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operations for the period ended September 30, 2002 are not necessarily indicative of the results that may be expected for the full year.</w:t>
      </w:r>
    </w:p>
    <w:p>
      <w:pPr>
        <w:spacing w:after="0" w:line="197" w:lineRule="exact"/>
        <w:rPr>
          <w:rFonts w:ascii="Arial" w:cs="Arial" w:eastAsia="Arial" w:hAnsi="Arial"/>
          <w:sz w:val="18"/>
          <w:szCs w:val="18"/>
          <w:color w:val="auto"/>
        </w:rPr>
      </w:pPr>
    </w:p>
    <w:p>
      <w:pPr>
        <w:ind w:left="660" w:right="70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$450,000 at September 30, 2002. Inventory consists principally of finished goods.</w:t>
      </w:r>
    </w:p>
    <w:p>
      <w:pPr>
        <w:spacing w:after="0" w:line="197" w:lineRule="exact"/>
        <w:rPr>
          <w:rFonts w:ascii="Arial" w:cs="Arial" w:eastAsia="Arial" w:hAnsi="Arial"/>
          <w:sz w:val="18"/>
          <w:szCs w:val="18"/>
          <w:color w:val="auto"/>
        </w:rPr>
      </w:pPr>
    </w:p>
    <w:p>
      <w:pPr>
        <w:ind w:left="660" w:right="260" w:hanging="652"/>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July 2001, the Financial Accounting Standards Board (FASB) issued Statement of Financial Accounting Standards (SFAS) No. 142, “Goodwill and Other Intangible Assets.” The Company adopted the provisions of SFAS No. 142 on April 1, 2002. Under SFAS No. 142, goodwill as well as other intangibles determined to have an infinite life will no longer be amortized; however, these assets will be reviewed for impairment on a periodic basis. SFAS No.142 also includes provisions for the reclassification of certain existing recognized intangibles as goodwill, reclassification of certain intangibles out of previously reported goodwill and the identification of reporting units for purposes of assessing potential future impairments of goodwill. The implementation of SFAS No. 142 did not impact the Company’s financial statements since the Company does not have any goodwill recorded. As of September 30, 2002 the Company had net intangible assets of $3,203,405 and amortization expense during the six months ended September 30, 2002 was approximately $142,000. The estimated amortization expense for each of the next five years is approximately $284,000 per year.</w:t>
      </w:r>
    </w:p>
    <w:p>
      <w:pPr>
        <w:spacing w:after="0" w:line="224" w:lineRule="exact"/>
        <w:rPr>
          <w:rFonts w:ascii="Arial" w:cs="Arial" w:eastAsia="Arial" w:hAnsi="Arial"/>
          <w:sz w:val="18"/>
          <w:szCs w:val="18"/>
          <w:color w:val="auto"/>
        </w:rPr>
      </w:pPr>
    </w:p>
    <w:p>
      <w:pPr>
        <w:ind w:left="660" w:right="260"/>
        <w:spacing w:after="0" w:line="272" w:lineRule="auto"/>
        <w:rPr>
          <w:rFonts w:ascii="Arial" w:cs="Arial" w:eastAsia="Arial" w:hAnsi="Arial"/>
          <w:sz w:val="18"/>
          <w:szCs w:val="18"/>
          <w:color w:val="auto"/>
        </w:rPr>
      </w:pPr>
      <w:r>
        <w:rPr>
          <w:rFonts w:ascii="Arial" w:cs="Arial" w:eastAsia="Arial" w:hAnsi="Arial"/>
          <w:sz w:val="17"/>
          <w:szCs w:val="17"/>
          <w:color w:val="auto"/>
        </w:rPr>
        <w:t>In September 2001, the FASB issued SFAS No. 144, “Accounting for the Impairment or Disposal of Long-Lived Assets.” SFAS No. 144 requires that long-lived assets to be disposed of by sale, including discontinued operations, be measured at the lower of the carrying cost or fair value less cost to sell, whether reported in continuing operations or in discontinued operations. SFAS No. 144 also broadens the reporting of discontinued operations to include all components of an entity with operations that can be distinguished from the rest of the entity and that will be eliminated from the onging operations of the entity in a disposal transaction. The provisions of SFAS No. 144 are effective for financial statements issued for fiscal years beginning after December 15, 2001, and generally, are to be applied prospectively. The Company’s adoption of SFAS No. 144 on April 1, 2002 did not have an impact on the Company’s financial statements.</w:t>
      </w:r>
    </w:p>
    <w:p>
      <w:pPr>
        <w:sectPr>
          <w:pgSz w:w="11900" w:h="16838" w:orient="portrait"/>
          <w:cols w:equalWidth="0" w:num="1">
            <w:col w:w="11440"/>
          </w:cols>
          <w:pgMar w:left="240" w:top="140" w:right="219"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0" w:right="219" w:bottom="0" w:gutter="0" w:footer="0" w:header="0"/>
          <w:type w:val="continuous"/>
        </w:sectPr>
      </w:pPr>
    </w:p>
    <w:bookmarkStart w:id="4" w:name="page5"/>
    <w:bookmarkEnd w:id="4"/>
    <w:p>
      <w:pPr>
        <w:spacing w:after="0" w:line="49" w:lineRule="exact"/>
        <w:rPr>
          <w:sz w:val="20"/>
          <w:szCs w:val="20"/>
          <w:color w:val="auto"/>
        </w:rPr>
      </w:pPr>
    </w:p>
    <w:p>
      <w:pPr>
        <w:ind w:left="660" w:right="22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two reportable segments: Industrial and Water Treatment. Reportable segments are defined by product and type of customer. Each segment is responsible for the sales, marketing and development of its products and services. The segments do not have separate accounting, administration, customer service or purchasing functions.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WATER</w:t>
            </w:r>
          </w:p>
        </w:tc>
        <w:tc>
          <w:tcPr>
            <w:tcW w:w="400" w:type="dxa"/>
            <w:vAlign w:val="bottom"/>
          </w:tcPr>
          <w:p>
            <w:pPr>
              <w:spacing w:after="0"/>
              <w:rPr>
                <w:sz w:val="14"/>
                <w:szCs w:val="14"/>
                <w:color w:val="auto"/>
              </w:rPr>
            </w:pPr>
          </w:p>
        </w:tc>
        <w:tc>
          <w:tcPr>
            <w:tcW w:w="16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TREATMENT</w:t>
            </w:r>
          </w:p>
        </w:tc>
        <w:tc>
          <w:tcPr>
            <w:tcW w:w="4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2002</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Sales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16,869,406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10,766,905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27,636,311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4,198,352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3,764,203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1,779,204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2,287,962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4,067,166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THREE MONTHS ENDED SEPTEMBER 30, 2001</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17,778,313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10,765,061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28,543,374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3,545,389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3,228,114</w:t>
            </w:r>
          </w:p>
        </w:tc>
        <w:tc>
          <w:tcPr>
            <w:tcW w:w="4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6,773,503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859,955</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2,157,817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3,017,772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SEPTEMBER 30, 2002</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Sales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33,987,856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20,931,356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54,919,212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8,338,949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7,374,732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3,563,026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4,459,431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8,022,457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SIX MONTHS ENDED SEPTEMBER 30, 2001</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36,792,757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20,729,273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57,522,030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7,420,746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6,433,083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13,853,829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2,212,083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4,040,100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6,252,183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CONTAINED IN THIS FORM 10-Q INCLUDES FORWARD-LOOKING STATEMENTS AS DEFINED IN SECTION 21E OF THE SECURITIES EXCHANGE ACT OF 1934, AS AMENDED. FORWARD-LOOKING INFORMATION OR STATEMENTS INCLUDE STATEMENTS ABOUT THE FUTURE OF THE INDUSTRIES REPRESENTED BY OUR OPERATING GROUPS, STATEMENTS ABOUT OUR FUTURE BUSINESS PLANS AND STRATEGIES, THE TIMELINESS OF PRODUCT INTRODUCTIONS AND DELIVERIES, EXPECTATIONS ABOUT INDUSTRY AND MARKET GROWTH DEVELOPMENTS, EXPECTATIONS ABOUT OUR GROWTH AND PROFITABILITY AND OTHER STATEMENTS THAT ARE NOT HISTORICAL IN NATURE. MANY OF THESE STATEMENTS CONTAIN WORDS SUCH AS “MAY,” “WILL,” “BELIEVE,” “INTEND,” “ESTIMATE,” OR “CONTINUE” OR OTHER SIMILAR WORDS.</w:t>
      </w:r>
    </w:p>
    <w:p>
      <w:pPr>
        <w:spacing w:after="0" w:line="16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AND CASH FLOWS.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Sales decreased $907,063, or 3.2%, in the three months ended September 30, 2002, and $2,602,818, or 4.5%, in the six months ended September 30, 2002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same respective periods in 2001. The Industrial segment decreased $908,907 and $2,804,901, respectively, in the three and six-month periods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2002 as compared to the same respective periods in 2001. These decreases were mainly attributable to selling price decreases of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single, large-volume product (caustic soda), which was partially offset by increased sales volumes in several other product lines. The Water Treatment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segment sales were flat in the three month period ended September 30, 2002 as compared to the comparable period one year ago and had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$202,083 in the six months ended September 30, 2002 as compared to the six months ended September 30, 2001. The increase is due to both increased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volumes and selling prices.</w:t>
      </w:r>
    </w:p>
    <w:p>
      <w:pPr>
        <w:spacing w:after="0" w:line="18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Gross margin, as a percentage of sales, for the three and six months ended September 30, 2002 was 28.8% and 28.6%, respectively, compared to 23.7% and 24.1%, respectively, for the comparable periods in 2001. For the Industrial segment, gross margin, as a percentage of sales, was 24.9% for the three months ended September 30, 2002 compared to 19.9% in the prior year and 24.5% for the six months ended September 30, 2002 compared to 20.2% for the comparable period in 2001. These increases are mainly due to improved margins in most product lines and to fluctuations in the cost and selling price of caustic soda. During 2001, the cost and selling price of caustic soda was decreasing and has been increasing during 2002. Due to the large quantities of</w:t>
      </w:r>
    </w:p>
    <w:p>
      <w:pPr>
        <w:sectPr>
          <w:pgSz w:w="11900" w:h="16887" w:orient="portrait"/>
          <w:cols w:equalWidth="0" w:num="1">
            <w:col w:w="11420"/>
          </w:cols>
          <w:pgMar w:left="240" w:top="949" w:right="239" w:bottom="0" w:gutter="0" w:footer="0" w:header="0"/>
        </w:sectPr>
      </w:pPr>
    </w:p>
    <w:bookmarkStart w:id="5" w:name="page6"/>
    <w:bookmarkEnd w:id="5"/>
    <w:p>
      <w:pPr>
        <w:spacing w:after="0" w:line="253" w:lineRule="auto"/>
        <w:rPr>
          <w:sz w:val="20"/>
          <w:szCs w:val="20"/>
          <w:color w:val="auto"/>
        </w:rPr>
      </w:pPr>
      <w:r>
        <w:rPr>
          <w:rFonts w:ascii="Arial" w:cs="Arial" w:eastAsia="Arial" w:hAnsi="Arial"/>
          <w:sz w:val="18"/>
          <w:szCs w:val="18"/>
          <w:color w:val="auto"/>
        </w:rPr>
        <w:t>caustic soda inventory that are maintained to meet customer requirements and because the Company is on the LIFO method of valuing inventories, any cost fluctuations can impact gross margins. The Company attempts to maintain relatively constant dollar margins as the cost of caustic soda increases or decreases. The cost of this product is normally subject to fluctuations, which are expected to continue in future periods. By maintaining relatively stable dollar margins, the gross margin percentage will decrease when the cost of the product is increasing and will increase when the cost of the product is decreasing. The Company has generally been able to, and expects to continue to, adjust its selling price as the cost of materials and other expenses changes. Gross margin, as a percentage of sales, for the Water Treatment segment was 35.0% for the three months ended September 30, 2002 compared to 30.0% in the comparable period of 2001 and 35.2% for the six-month period ended September 30, 2002 compared to 31.0% for the comparable period of 2001. These increases are primarily attributable to the fluctuations in caustic soda prices mentioned above and to increased sales in product lines that have a higher gross margin percentage.</w:t>
      </w:r>
    </w:p>
    <w:p>
      <w:pPr>
        <w:spacing w:after="0" w:line="15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Selling, general and administrative expenses for the three and six month periods ended September 30, 2002 increased $139,658 and $89,578, respectively, as compared to the comparable periods in 2001. Selling, general and administrative expenses are expected to remain at similar levels for the remainder of fiscal 2003 as these expenses, excluding employee compensation and related benefits, are relatively fixed in nature and vary only slightly with sales fluctuations.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18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Interest income increased during the three and six-month periods ended September 30, 2002 as compared to the same respective periods in 2001. The increases were primarily due to fluctuations in cash available for investment and higher returns on the Company’s cash equivalents and available for sale securities, which consist primarily of money market accounts, municipal bonds, mutual funds, and annuity contracts.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9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 the six-month period ended September 30, 2002, cash provided by operations was $10,259,559 compared to $4,274,684 for the six-month period ended September 30, 2001. This increase was due primarily to fluctuations in inventory values and quantities and the increase in net income.</w:t>
      </w:r>
    </w:p>
    <w:p>
      <w:pPr>
        <w:spacing w:after="0" w:line="10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Cash and investments available-for-sale increased by $7,955,587 from March 31, 2002 to $22,466,230 as of September 30, 2002. The increase was primarily attributable to cash generated by operations in excess of capital expenditures and financing uses. Cash equivalents consist of money market accounts at a financial institution. Investments consist of investment contracts with high-rated, stable insurance companies, marketable securities consisting of variable rate municipal bonds and mutual funds carried at fair value. Investments are highly liquid and are available upon demand generally with only a minor penalty.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obtain debt financing on favorable terms.</w:t>
      </w:r>
    </w:p>
    <w:p>
      <w:pPr>
        <w:spacing w:after="0" w:line="13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w:t>
      </w:r>
    </w:p>
    <w:p>
      <w:pPr>
        <w:spacing w:after="0" w:line="15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Other than as discussed above, management is not aware of any matters that have materially affected the first six months of fiscal 2003, or are expected to materially affect future periods, nor is management aware of other matters not affecting this period that are expected to materially affect future periods.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MARKET RISK</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September 30, 2002, the Company had an investment portfolio of fixed income securities of $13,046,373 and mutual funds of $5,744,227, excluding $5,065,799 of those classified as cash and cash equivalents and variable rate securities.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on the amount ultimately realized on the investment. The value of the mutual funds, like all mutual funds, may increase or decrease due to market volatility. The Company intends to continue to hold the mutual funds until it has a need to liquidate the investments and does not anticipate a present need to liquidate the investment. Therefore, the Company would not expect a material adverse impact on net income or cash flows or the amount ultimately realized on the investment.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Accounting policies whose application may have a significant effect on the reported results of operations and financial position of the Company, and that can require judgments by management that affect their application, include Statement of Financial Accounting Standards (SFAS) No. 5, “Accounting for Contingencies” and SFAS No. 144, “Accounting for the Impairment or Disposal of Long-Lived Assets.”</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SFAS No. 5 requires management judgments regarding the probability and estimated amount of possible future contingent liabilities, including legal matters. SFAS No. 144 requires judgments regarding future operating or disposition plans for marginally performing assets and estimates of expected realizable values for assets to be sold. Other accounting policies that are significant to the Company include the following:</w:t>
      </w:r>
    </w:p>
    <w:p>
      <w:pPr>
        <w:spacing w:after="0" w:line="154"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Revenue Recognition — The Company recognizes revenue when the product has been shipped to the customer if there is evidence that the customer has agreed to purchase the products, delivery and performance has occurred, the price and terms of sale are fixed and collection of the receivable is expected.</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Allowance for Doubtful Accounts — Accounts receivable are reduced by an allowance for amounts that may become uncollectible in the future. Substantially 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ectPr>
          <w:pgSz w:w="11900" w:h="16838" w:orient="portrait"/>
          <w:cols w:equalWidth="0" w:num="1">
            <w:col w:w="11420"/>
          </w:cols>
          <w:pgMar w:left="240" w:top="125" w:right="239" w:bottom="0" w:gutter="0" w:footer="0" w:header="0"/>
        </w:sectPr>
      </w:pPr>
    </w:p>
    <w:bookmarkStart w:id="6" w:name="page7"/>
    <w:bookmarkEnd w:id="6"/>
    <w:p>
      <w:pPr>
        <w:ind w:right="20"/>
        <w:spacing w:after="0" w:line="277" w:lineRule="auto"/>
        <w:rPr>
          <w:sz w:val="20"/>
          <w:szCs w:val="20"/>
          <w:color w:val="auto"/>
        </w:rPr>
      </w:pPr>
      <w:r>
        <w:rPr>
          <w:rFonts w:ascii="Arial" w:cs="Arial" w:eastAsia="Arial" w:hAnsi="Arial"/>
          <w:sz w:val="18"/>
          <w:szCs w:val="18"/>
          <w:color w:val="auto"/>
        </w:rPr>
        <w:t>Inventories — Inventories are valued at the lower of cost or market. On a quarterly basis, management assesses the inventory quantities on hand to estimated future usage and sales and, if necessary, writes down the value of inventory deemed obsolete or excess to market.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Property, Plant and Equipment — Property, plant and equipment are stated at cost and depreciated over the lives of the assets using both the straight-line and declining balance methods. Major replacements and improvements are capitalized, while maintenance and repairs, which do not improve or extend the useful lives of the respective assets are charged to operations. The assets and related accumulated depreciation accounts are adjusted for asset retirements and disposals with the resulting gain or loss, if any, recorded in the Statement of Income at the time of disposal.</w:t>
      </w:r>
    </w:p>
    <w:p>
      <w:pPr>
        <w:spacing w:after="0" w:line="14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Company’s policies for these matters, which are described in Note 1 to the financial statements in the Company’s Report on Form 10-KT for the six-month transitional period ended March 31, 2002 filed with the Securities and Exchange Commission on June 27, 2002, are in accordance with generally accepted accounting principles. Management believes that their application results in a fair presentation in the financial statements of the Company’s operating results and financial position.</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this filing, the Company was not involved in any pending legal proceedings other than ordinary routine litigation incidental to its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 and Submission of Matters to a Vote of Security Holders</w:t>
      </w:r>
    </w:p>
    <w:p>
      <w:pPr>
        <w:spacing w:after="0" w:line="198" w:lineRule="exact"/>
        <w:rPr>
          <w:sz w:val="20"/>
          <w:szCs w:val="20"/>
          <w:color w:val="auto"/>
        </w:rPr>
      </w:pPr>
    </w:p>
    <w:p>
      <w:pPr>
        <w:ind w:left="620" w:hanging="612"/>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Controls and Procedures</w:t>
      </w:r>
    </w:p>
    <w:p>
      <w:pPr>
        <w:spacing w:after="0" w:line="225" w:lineRule="exact"/>
        <w:rPr>
          <w:sz w:val="20"/>
          <w:szCs w:val="20"/>
          <w:color w:val="auto"/>
        </w:rPr>
      </w:pPr>
    </w:p>
    <w:p>
      <w:pPr>
        <w:ind w:left="900" w:right="40"/>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have evaluated the effectiveness of the design and operation of our disclosure controls and procedures within 90 days of the filing date of this quarterly report, and, based on their evaluation, our principal executive officer and principal financial officer have concluded that these controls and procedures are effective. There were no significant changes in our internal controls or in other factors that could significantly affect these controls subsequent to the date of their evaluation.</w:t>
      </w:r>
    </w:p>
    <w:p>
      <w:pPr>
        <w:spacing w:after="0" w:line="148" w:lineRule="exact"/>
        <w:rPr>
          <w:sz w:val="20"/>
          <w:szCs w:val="20"/>
          <w:color w:val="auto"/>
        </w:rPr>
      </w:pPr>
    </w:p>
    <w:p>
      <w:pPr>
        <w:ind w:left="900" w:right="20"/>
        <w:spacing w:after="0" w:line="255" w:lineRule="auto"/>
        <w:rPr>
          <w:sz w:val="20"/>
          <w:szCs w:val="20"/>
          <w:color w:val="auto"/>
        </w:rPr>
      </w:pPr>
      <w:r>
        <w:rPr>
          <w:rFonts w:ascii="Arial" w:cs="Arial" w:eastAsia="Arial" w:hAnsi="Arial"/>
          <w:sz w:val="18"/>
          <w:szCs w:val="18"/>
          <w:color w:val="auto"/>
        </w:rPr>
        <w:t>Disclosure controls and procedures are our controls and other procedures that are designed to ensure that information required to be disclosed by us in the reports that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us in the reports that we file under the Exchange Act is accumulated and communicated to our management, including our principal executive officer and principal financial officer, as appropriate to allow timely decisions regarding required disclosure.</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of Matters to a Vote of Security Holders</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meeting of the shareholders of the Company was held on August 14, 2002.</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is a tabulation of the results of votes cast on the matters voted upon at the meeting of the shareholders:</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PROPOSAL 1: Election of Directors. All of management’s nominees for director were elected with the following votes:</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Broker</w:t>
            </w:r>
          </w:p>
        </w:tc>
        <w:tc>
          <w:tcPr>
            <w:tcW w:w="0" w:type="dxa"/>
            <w:vAlign w:val="bottom"/>
          </w:tcPr>
          <w:p>
            <w:pPr>
              <w:spacing w:after="0"/>
              <w:rPr>
                <w:sz w:val="1"/>
                <w:szCs w:val="1"/>
                <w:color w:val="auto"/>
              </w:rPr>
            </w:pPr>
          </w:p>
        </w:tc>
      </w:tr>
      <w:tr>
        <w:trPr>
          <w:trHeight w:val="167"/>
        </w:trPr>
        <w:tc>
          <w:tcPr>
            <w:tcW w:w="3000" w:type="dxa"/>
            <w:vAlign w:val="bottom"/>
            <w:vMerge w:val="restart"/>
          </w:tcPr>
          <w:p>
            <w:pPr>
              <w:spacing w:after="0"/>
              <w:rPr>
                <w:sz w:val="20"/>
                <w:szCs w:val="20"/>
                <w:color w:val="auto"/>
              </w:rPr>
            </w:pPr>
            <w:r>
              <w:rPr>
                <w:rFonts w:ascii="Arial" w:cs="Arial" w:eastAsia="Arial" w:hAnsi="Arial"/>
                <w:sz w:val="18"/>
                <w:szCs w:val="18"/>
                <w:color w:val="auto"/>
              </w:rPr>
              <w:t>John R. Hawkins</w:t>
            </w: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For</w:t>
            </w: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Withheld</w:t>
            </w:r>
          </w:p>
        </w:tc>
        <w:tc>
          <w:tcPr>
            <w:tcW w:w="2300" w:type="dxa"/>
            <w:vAlign w:val="bottom"/>
            <w:gridSpan w:val="2"/>
          </w:tcPr>
          <w:p>
            <w:pPr>
              <w:jc w:val="center"/>
              <w:ind w:right="400"/>
              <w:spacing w:after="0"/>
              <w:rPr>
                <w:sz w:val="20"/>
                <w:szCs w:val="20"/>
                <w:color w:val="auto"/>
              </w:rPr>
            </w:pPr>
            <w:r>
              <w:rPr>
                <w:rFonts w:ascii="Arial" w:cs="Arial" w:eastAsia="Arial" w:hAnsi="Arial"/>
                <w:sz w:val="14"/>
                <w:szCs w:val="14"/>
                <w:color w:val="auto"/>
                <w:w w:val="98"/>
              </w:rPr>
              <w:t>Abstain</w:t>
            </w:r>
          </w:p>
        </w:tc>
        <w:tc>
          <w:tcPr>
            <w:tcW w:w="900" w:type="dxa"/>
            <w:vAlign w:val="bottom"/>
          </w:tcPr>
          <w:p>
            <w:pPr>
              <w:ind w:left="20"/>
              <w:spacing w:after="0"/>
              <w:rPr>
                <w:sz w:val="20"/>
                <w:szCs w:val="20"/>
                <w:color w:val="auto"/>
              </w:rPr>
            </w:pPr>
            <w:r>
              <w:rPr>
                <w:rFonts w:ascii="Arial" w:cs="Arial" w:eastAsia="Arial" w:hAnsi="Arial"/>
                <w:sz w:val="14"/>
                <w:szCs w:val="14"/>
                <w:color w:val="auto"/>
              </w:rPr>
              <w:t>Non-votes</w:t>
            </w:r>
          </w:p>
        </w:tc>
        <w:tc>
          <w:tcPr>
            <w:tcW w:w="0" w:type="dxa"/>
            <w:vAlign w:val="bottom"/>
          </w:tcPr>
          <w:p>
            <w:pPr>
              <w:spacing w:after="0"/>
              <w:rPr>
                <w:sz w:val="1"/>
                <w:szCs w:val="1"/>
                <w:color w:val="auto"/>
              </w:rPr>
            </w:pPr>
          </w:p>
        </w:tc>
      </w:tr>
      <w:tr>
        <w:trPr>
          <w:trHeight w:val="195"/>
        </w:trPr>
        <w:tc>
          <w:tcPr>
            <w:tcW w:w="3000" w:type="dxa"/>
            <w:vAlign w:val="bottom"/>
            <w:vMerge w:val="continue"/>
          </w:tcPr>
          <w:p>
            <w:pPr>
              <w:spacing w:after="0"/>
              <w:rPr>
                <w:sz w:val="16"/>
                <w:szCs w:val="16"/>
                <w:color w:val="auto"/>
              </w:rPr>
            </w:pPr>
          </w:p>
        </w:tc>
        <w:tc>
          <w:tcPr>
            <w:tcW w:w="1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7,432,138</w:t>
            </w:r>
          </w:p>
        </w:tc>
        <w:tc>
          <w:tcPr>
            <w:tcW w:w="240" w:type="dxa"/>
            <w:vAlign w:val="bottom"/>
          </w:tcPr>
          <w:p>
            <w:pPr>
              <w:spacing w:after="0"/>
              <w:rPr>
                <w:sz w:val="16"/>
                <w:szCs w:val="16"/>
                <w:color w:val="auto"/>
              </w:rPr>
            </w:pPr>
          </w:p>
        </w:tc>
        <w:tc>
          <w:tcPr>
            <w:tcW w:w="1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207,469</w:t>
            </w:r>
          </w:p>
        </w:tc>
        <w:tc>
          <w:tcPr>
            <w:tcW w:w="240" w:type="dxa"/>
            <w:vAlign w:val="bottom"/>
          </w:tcPr>
          <w:p>
            <w:pPr>
              <w:spacing w:after="0"/>
              <w:rPr>
                <w:sz w:val="16"/>
                <w:szCs w:val="16"/>
                <w:color w:val="auto"/>
              </w:rPr>
            </w:pPr>
          </w:p>
        </w:tc>
        <w:tc>
          <w:tcPr>
            <w:tcW w:w="1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16"/>
                <w:szCs w:val="16"/>
                <w:color w:val="auto"/>
              </w:rPr>
            </w:pPr>
          </w:p>
        </w:tc>
        <w:tc>
          <w:tcPr>
            <w:tcW w:w="900" w:type="dxa"/>
            <w:vAlign w:val="bottom"/>
            <w:tcBorders>
              <w:top w:val="single" w:sz="8" w:color="auto"/>
            </w:tcBorders>
          </w:tcPr>
          <w:p>
            <w:pPr>
              <w:jc w:val="right"/>
              <w:ind w:right="313"/>
              <w:spacing w:after="0" w:line="195"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Kurt R. Norman</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7,203,189</w:t>
            </w:r>
          </w:p>
        </w:tc>
        <w:tc>
          <w:tcPr>
            <w:tcW w:w="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436,418</w:t>
            </w:r>
          </w:p>
        </w:tc>
        <w:tc>
          <w:tcPr>
            <w:tcW w:w="2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18"/>
                <w:szCs w:val="18"/>
                <w:color w:val="auto"/>
              </w:rPr>
            </w:pPr>
          </w:p>
        </w:tc>
        <w:tc>
          <w:tcPr>
            <w:tcW w:w="900" w:type="dxa"/>
            <w:vAlign w:val="bottom"/>
          </w:tcPr>
          <w:p>
            <w:pPr>
              <w:jc w:val="right"/>
              <w:ind w:right="3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Dean L. Hahn</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7,331,574</w:t>
            </w:r>
          </w:p>
        </w:tc>
        <w:tc>
          <w:tcPr>
            <w:tcW w:w="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308,033</w:t>
            </w:r>
          </w:p>
        </w:tc>
        <w:tc>
          <w:tcPr>
            <w:tcW w:w="2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18"/>
                <w:szCs w:val="18"/>
                <w:color w:val="auto"/>
              </w:rPr>
            </w:pPr>
          </w:p>
        </w:tc>
        <w:tc>
          <w:tcPr>
            <w:tcW w:w="900" w:type="dxa"/>
            <w:vAlign w:val="bottom"/>
          </w:tcPr>
          <w:p>
            <w:pPr>
              <w:jc w:val="right"/>
              <w:ind w:right="3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Donald L. Shipp</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7,264,364</w:t>
            </w:r>
          </w:p>
        </w:tc>
        <w:tc>
          <w:tcPr>
            <w:tcW w:w="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375,243</w:t>
            </w:r>
          </w:p>
        </w:tc>
        <w:tc>
          <w:tcPr>
            <w:tcW w:w="2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18"/>
                <w:szCs w:val="18"/>
                <w:color w:val="auto"/>
              </w:rPr>
            </w:pPr>
          </w:p>
        </w:tc>
        <w:tc>
          <w:tcPr>
            <w:tcW w:w="900" w:type="dxa"/>
            <w:vAlign w:val="bottom"/>
          </w:tcPr>
          <w:p>
            <w:pPr>
              <w:jc w:val="right"/>
              <w:ind w:right="3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Howard M. Hawkins</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7,515,885</w:t>
            </w:r>
          </w:p>
        </w:tc>
        <w:tc>
          <w:tcPr>
            <w:tcW w:w="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123,722</w:t>
            </w:r>
          </w:p>
        </w:tc>
        <w:tc>
          <w:tcPr>
            <w:tcW w:w="2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18"/>
                <w:szCs w:val="18"/>
                <w:color w:val="auto"/>
              </w:rPr>
            </w:pPr>
          </w:p>
        </w:tc>
        <w:tc>
          <w:tcPr>
            <w:tcW w:w="900" w:type="dxa"/>
            <w:vAlign w:val="bottom"/>
          </w:tcPr>
          <w:p>
            <w:pPr>
              <w:jc w:val="right"/>
              <w:ind w:right="3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John S. McKeon</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7,332,011</w:t>
            </w:r>
          </w:p>
        </w:tc>
        <w:tc>
          <w:tcPr>
            <w:tcW w:w="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307,596</w:t>
            </w:r>
          </w:p>
        </w:tc>
        <w:tc>
          <w:tcPr>
            <w:tcW w:w="2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18"/>
                <w:szCs w:val="18"/>
                <w:color w:val="auto"/>
              </w:rPr>
            </w:pPr>
          </w:p>
        </w:tc>
        <w:tc>
          <w:tcPr>
            <w:tcW w:w="900" w:type="dxa"/>
            <w:vAlign w:val="bottom"/>
          </w:tcPr>
          <w:p>
            <w:pPr>
              <w:jc w:val="right"/>
              <w:ind w:right="3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Duane M. Jergenson</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7,332,011</w:t>
            </w:r>
          </w:p>
        </w:tc>
        <w:tc>
          <w:tcPr>
            <w:tcW w:w="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307,596</w:t>
            </w:r>
          </w:p>
        </w:tc>
        <w:tc>
          <w:tcPr>
            <w:tcW w:w="2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18"/>
                <w:szCs w:val="18"/>
                <w:color w:val="auto"/>
              </w:rPr>
            </w:pPr>
          </w:p>
        </w:tc>
        <w:tc>
          <w:tcPr>
            <w:tcW w:w="900" w:type="dxa"/>
            <w:vAlign w:val="bottom"/>
          </w:tcPr>
          <w:p>
            <w:pPr>
              <w:jc w:val="right"/>
              <w:ind w:right="3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 Robert Gey</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7,328,379</w:t>
            </w:r>
          </w:p>
        </w:tc>
        <w:tc>
          <w:tcPr>
            <w:tcW w:w="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311,228</w:t>
            </w:r>
          </w:p>
        </w:tc>
        <w:tc>
          <w:tcPr>
            <w:tcW w:w="2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18"/>
                <w:szCs w:val="18"/>
                <w:color w:val="auto"/>
              </w:rPr>
            </w:pPr>
          </w:p>
        </w:tc>
        <w:tc>
          <w:tcPr>
            <w:tcW w:w="900" w:type="dxa"/>
            <w:vAlign w:val="bottom"/>
          </w:tcPr>
          <w:p>
            <w:pPr>
              <w:jc w:val="right"/>
              <w:ind w:right="3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Daryl I. Skaar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7,327,309</w:t>
            </w:r>
          </w:p>
        </w:tc>
        <w:tc>
          <w:tcPr>
            <w:tcW w:w="2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312,298</w:t>
            </w:r>
          </w:p>
        </w:tc>
        <w:tc>
          <w:tcPr>
            <w:tcW w:w="24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20"/>
                <w:szCs w:val="20"/>
                <w:color w:val="auto"/>
              </w:rPr>
            </w:pPr>
          </w:p>
        </w:tc>
        <w:tc>
          <w:tcPr>
            <w:tcW w:w="900" w:type="dxa"/>
            <w:vAlign w:val="bottom"/>
          </w:tcPr>
          <w:p>
            <w:pPr>
              <w:jc w:val="right"/>
              <w:ind w:right="3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 and Reports on Form 8-K</w:t>
      </w:r>
    </w:p>
    <w:p>
      <w:pPr>
        <w:spacing w:after="0" w:line="198" w:lineRule="exact"/>
        <w:rPr>
          <w:sz w:val="20"/>
          <w:szCs w:val="20"/>
          <w:color w:val="auto"/>
        </w:rPr>
      </w:pPr>
    </w:p>
    <w:p>
      <w:pPr>
        <w:ind w:left="620" w:hanging="612"/>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540"/>
        <w:spacing w:after="0"/>
        <w:tabs>
          <w:tab w:leader="none" w:pos="17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185" w:lineRule="exact"/>
        <w:rPr>
          <w:sz w:val="20"/>
          <w:szCs w:val="20"/>
          <w:color w:val="auto"/>
        </w:rPr>
      </w:pPr>
    </w:p>
    <w:p>
      <w:pPr>
        <w:ind w:left="540"/>
        <w:spacing w:after="0"/>
        <w:tabs>
          <w:tab w:leader="none" w:pos="174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ectPr>
          <w:pgSz w:w="11900" w:h="16838" w:orient="portrait"/>
          <w:cols w:equalWidth="0" w:num="1">
            <w:col w:w="11340"/>
          </w:cols>
          <w:pgMar w:left="240" w:top="125" w:right="319" w:bottom="0" w:gutter="0" w:footer="0" w:header="0"/>
        </w:sectPr>
      </w:pPr>
    </w:p>
    <w:bookmarkStart w:id="7" w:name="page8"/>
    <w:bookmarkEnd w:id="7"/>
    <w:p>
      <w:pPr>
        <w:ind w:left="600" w:right="9220" w:hanging="547"/>
        <w:spacing w:after="0" w:line="459" w:lineRule="auto"/>
        <w:tabs>
          <w:tab w:leader="none" w:pos="58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on Form 8-K. None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HAWKINS, INC.</w:t>
      </w:r>
    </w:p>
    <w:p>
      <w:pPr>
        <w:spacing w:after="0" w:line="252" w:lineRule="exact"/>
        <w:rPr>
          <w:sz w:val="20"/>
          <w:szCs w:val="20"/>
          <w:color w:val="auto"/>
        </w:rPr>
      </w:pPr>
    </w:p>
    <w:p>
      <w:pPr>
        <w:jc w:val="center"/>
        <w:ind w:right="-13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2084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3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Marvin E. Dee, Vice President, Chief</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Financial Officer, Secretary, Treasurer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14, 2002</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certify that:</w:t>
      </w:r>
    </w:p>
    <w:p>
      <w:pPr>
        <w:spacing w:after="0" w:line="225" w:lineRule="exact"/>
        <w:rPr>
          <w:sz w:val="20"/>
          <w:szCs w:val="20"/>
          <w:color w:val="auto"/>
        </w:rPr>
      </w:pPr>
    </w:p>
    <w:p>
      <w:pPr>
        <w:ind w:left="880" w:hanging="86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left="880" w:right="160" w:hanging="860"/>
        <w:spacing w:after="0" w:line="264"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880" w:right="80" w:hanging="860"/>
        <w:spacing w:after="0" w:line="342"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23" w:lineRule="exact"/>
        <w:rPr>
          <w:rFonts w:ascii="Arial" w:cs="Arial" w:eastAsia="Arial" w:hAnsi="Arial"/>
          <w:sz w:val="16"/>
          <w:szCs w:val="16"/>
          <w:color w:val="auto"/>
        </w:rPr>
      </w:pPr>
    </w:p>
    <w:p>
      <w:pPr>
        <w:ind w:left="880" w:right="220" w:hanging="86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13a-14 and 15d-14) for the Company and we have:</w:t>
      </w:r>
    </w:p>
    <w:p>
      <w:pPr>
        <w:spacing w:after="0" w:line="170" w:lineRule="exact"/>
        <w:rPr>
          <w:rFonts w:ascii="Arial" w:cs="Arial" w:eastAsia="Arial" w:hAnsi="Arial"/>
          <w:sz w:val="18"/>
          <w:szCs w:val="18"/>
          <w:color w:val="auto"/>
        </w:rPr>
      </w:pPr>
    </w:p>
    <w:p>
      <w:pPr>
        <w:ind w:left="1400" w:right="300" w:hanging="529"/>
        <w:spacing w:after="0" w:line="277"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Company is made known to us by others within those entities, particularly during the period in which this quarterly report is being prepared;</w:t>
      </w:r>
    </w:p>
    <w:p>
      <w:pPr>
        <w:spacing w:after="0" w:line="170" w:lineRule="exact"/>
        <w:rPr>
          <w:rFonts w:ascii="Arial" w:cs="Arial" w:eastAsia="Arial" w:hAnsi="Arial"/>
          <w:sz w:val="18"/>
          <w:szCs w:val="18"/>
          <w:color w:val="auto"/>
        </w:rPr>
      </w:pPr>
    </w:p>
    <w:p>
      <w:pPr>
        <w:ind w:left="1400" w:right="60" w:hanging="529"/>
        <w:spacing w:after="0" w:line="277"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as of a date within 90 days prior to the filing date of this quarterly report (the “Evaluation Date”); and</w:t>
      </w:r>
    </w:p>
    <w:p>
      <w:pPr>
        <w:spacing w:after="0" w:line="170" w:lineRule="exact"/>
        <w:rPr>
          <w:rFonts w:ascii="Arial" w:cs="Arial" w:eastAsia="Arial" w:hAnsi="Arial"/>
          <w:sz w:val="18"/>
          <w:szCs w:val="18"/>
          <w:color w:val="auto"/>
        </w:rPr>
      </w:pPr>
    </w:p>
    <w:p>
      <w:pPr>
        <w:ind w:left="1400" w:hanging="529"/>
        <w:spacing w:after="0" w:line="277"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70" w:lineRule="exact"/>
        <w:rPr>
          <w:rFonts w:ascii="Arial" w:cs="Arial" w:eastAsia="Arial" w:hAnsi="Arial"/>
          <w:sz w:val="18"/>
          <w:szCs w:val="18"/>
          <w:color w:val="auto"/>
        </w:rPr>
      </w:pPr>
    </w:p>
    <w:p>
      <w:pPr>
        <w:ind w:left="880" w:right="520" w:hanging="86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to the Company’s auditors and the audit committee of the Company’s board of directors:</w:t>
      </w:r>
    </w:p>
    <w:p>
      <w:pPr>
        <w:spacing w:after="0" w:line="170" w:lineRule="exact"/>
        <w:rPr>
          <w:rFonts w:ascii="Arial" w:cs="Arial" w:eastAsia="Arial" w:hAnsi="Arial"/>
          <w:sz w:val="18"/>
          <w:szCs w:val="18"/>
          <w:color w:val="auto"/>
        </w:rPr>
      </w:pPr>
    </w:p>
    <w:p>
      <w:pPr>
        <w:ind w:left="1400" w:right="60" w:hanging="529"/>
        <w:spacing w:after="0" w:line="264"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Company’s ability to record, process, summarize and report financial data and have identified for the Company’s auditors any material weaknesses in internal controls; and</w:t>
      </w:r>
    </w:p>
    <w:p>
      <w:pPr>
        <w:spacing w:after="0" w:line="181" w:lineRule="exact"/>
        <w:rPr>
          <w:rFonts w:ascii="Arial" w:cs="Arial" w:eastAsia="Arial" w:hAnsi="Arial"/>
          <w:sz w:val="18"/>
          <w:szCs w:val="18"/>
          <w:color w:val="auto"/>
        </w:rPr>
      </w:pPr>
    </w:p>
    <w:p>
      <w:pPr>
        <w:ind w:left="1400" w:right="160" w:hanging="529"/>
        <w:spacing w:after="0" w:line="277"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controls; and</w:t>
      </w:r>
    </w:p>
    <w:p>
      <w:pPr>
        <w:spacing w:after="0" w:line="170" w:lineRule="exact"/>
        <w:rPr>
          <w:rFonts w:ascii="Arial" w:cs="Arial" w:eastAsia="Arial" w:hAnsi="Arial"/>
          <w:sz w:val="18"/>
          <w:szCs w:val="18"/>
          <w:color w:val="auto"/>
        </w:rPr>
      </w:pPr>
    </w:p>
    <w:p>
      <w:pPr>
        <w:ind w:left="880" w:right="220" w:hanging="860"/>
        <w:spacing w:after="0" w:line="264"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other certifying officer and I have indicated in this quarterly report whether or not there were significant changes in internal controls or in other factors that could significantly affect internal controls subsequent to the date of our most recent evaluation, influencing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John R. Hawkins</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November 14, 2002</w:t>
      </w:r>
    </w:p>
    <w:p>
      <w:pPr>
        <w:sectPr>
          <w:pgSz w:w="11900" w:h="16838" w:orient="portrait"/>
          <w:cols w:equalWidth="0" w:num="1">
            <w:col w:w="11380"/>
          </w:cols>
          <w:pgMar w:left="240" w:top="125" w:right="279" w:bottom="4"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certify that:</w:t>
      </w:r>
    </w:p>
    <w:p>
      <w:pPr>
        <w:spacing w:after="0" w:line="225" w:lineRule="exact"/>
        <w:rPr>
          <w:sz w:val="20"/>
          <w:szCs w:val="20"/>
          <w:color w:val="auto"/>
        </w:rPr>
      </w:pPr>
    </w:p>
    <w:p>
      <w:pPr>
        <w:ind w:left="880" w:hanging="86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left="880" w:right="160" w:hanging="860"/>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880" w:right="80" w:hanging="860"/>
        <w:spacing w:after="0" w:line="342"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spacing w:after="0" w:line="123" w:lineRule="exact"/>
        <w:rPr>
          <w:rFonts w:ascii="Arial" w:cs="Arial" w:eastAsia="Arial" w:hAnsi="Arial"/>
          <w:sz w:val="16"/>
          <w:szCs w:val="16"/>
          <w:color w:val="auto"/>
        </w:rPr>
      </w:pPr>
    </w:p>
    <w:p>
      <w:pPr>
        <w:ind w:left="880" w:right="220" w:hanging="86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13a-14 and 15d-14) for the Company and we have:</w:t>
      </w:r>
    </w:p>
    <w:p>
      <w:pPr>
        <w:spacing w:after="0" w:line="170" w:lineRule="exact"/>
        <w:rPr>
          <w:rFonts w:ascii="Arial" w:cs="Arial" w:eastAsia="Arial" w:hAnsi="Arial"/>
          <w:sz w:val="18"/>
          <w:szCs w:val="18"/>
          <w:color w:val="auto"/>
        </w:rPr>
      </w:pPr>
    </w:p>
    <w:p>
      <w:pPr>
        <w:ind w:left="1700" w:hanging="829"/>
        <w:spacing w:after="0" w:line="277" w:lineRule="auto"/>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Company is made known to us by others within those entities, particularly during the period in which this quarterly report is being prepared;</w:t>
      </w:r>
    </w:p>
    <w:p>
      <w:pPr>
        <w:spacing w:after="0" w:line="170" w:lineRule="exact"/>
        <w:rPr>
          <w:rFonts w:ascii="Arial" w:cs="Arial" w:eastAsia="Arial" w:hAnsi="Arial"/>
          <w:sz w:val="18"/>
          <w:szCs w:val="18"/>
          <w:color w:val="auto"/>
        </w:rPr>
      </w:pPr>
    </w:p>
    <w:p>
      <w:pPr>
        <w:ind w:left="1700" w:right="80" w:hanging="829"/>
        <w:spacing w:after="0" w:line="277" w:lineRule="auto"/>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as of a date within 90 days prior to the filing date of this quarterly report (the “Evaluation Date”); and</w:t>
      </w:r>
    </w:p>
    <w:p>
      <w:pPr>
        <w:spacing w:after="0" w:line="170" w:lineRule="exact"/>
        <w:rPr>
          <w:rFonts w:ascii="Arial" w:cs="Arial" w:eastAsia="Arial" w:hAnsi="Arial"/>
          <w:sz w:val="18"/>
          <w:szCs w:val="18"/>
          <w:color w:val="auto"/>
        </w:rPr>
      </w:pPr>
    </w:p>
    <w:p>
      <w:pPr>
        <w:ind w:left="1700" w:right="500" w:hanging="829"/>
        <w:spacing w:after="0" w:line="277" w:lineRule="auto"/>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70" w:lineRule="exact"/>
        <w:rPr>
          <w:rFonts w:ascii="Arial" w:cs="Arial" w:eastAsia="Arial" w:hAnsi="Arial"/>
          <w:sz w:val="18"/>
          <w:szCs w:val="18"/>
          <w:color w:val="auto"/>
        </w:rPr>
      </w:pPr>
    </w:p>
    <w:p>
      <w:pPr>
        <w:ind w:left="880" w:right="520" w:hanging="86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to the Company’s auditors and the audit committee of the Company’s board of directors:</w:t>
      </w:r>
    </w:p>
    <w:p>
      <w:pPr>
        <w:spacing w:after="0" w:line="170" w:lineRule="exact"/>
        <w:rPr>
          <w:rFonts w:ascii="Arial" w:cs="Arial" w:eastAsia="Arial" w:hAnsi="Arial"/>
          <w:sz w:val="18"/>
          <w:szCs w:val="18"/>
          <w:color w:val="auto"/>
        </w:rPr>
      </w:pPr>
    </w:p>
    <w:p>
      <w:pPr>
        <w:jc w:val="both"/>
        <w:ind w:left="1700" w:right="480" w:hanging="829"/>
        <w:spacing w:after="0" w:line="264" w:lineRule="auto"/>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Company’s ability to record, process, summarize and report financial data and have identified for the Company’s auditors any material weaknesses in internal controls; and</w:t>
      </w:r>
    </w:p>
    <w:p>
      <w:pPr>
        <w:spacing w:after="0" w:line="181" w:lineRule="exact"/>
        <w:rPr>
          <w:rFonts w:ascii="Arial" w:cs="Arial" w:eastAsia="Arial" w:hAnsi="Arial"/>
          <w:sz w:val="18"/>
          <w:szCs w:val="18"/>
          <w:color w:val="auto"/>
        </w:rPr>
      </w:pPr>
    </w:p>
    <w:p>
      <w:pPr>
        <w:ind w:left="1700" w:right="460" w:hanging="829"/>
        <w:spacing w:after="0" w:line="277" w:lineRule="auto"/>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controls; and</w:t>
      </w:r>
    </w:p>
    <w:p>
      <w:pPr>
        <w:spacing w:after="0" w:line="170" w:lineRule="exact"/>
        <w:rPr>
          <w:rFonts w:ascii="Arial" w:cs="Arial" w:eastAsia="Arial" w:hAnsi="Arial"/>
          <w:sz w:val="18"/>
          <w:szCs w:val="18"/>
          <w:color w:val="auto"/>
        </w:rPr>
      </w:pPr>
    </w:p>
    <w:p>
      <w:pPr>
        <w:ind w:left="880" w:right="220" w:hanging="860"/>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other certifying officer and I have indicated in this quarterly report whether or not there were significant changes in internal controls or in other factors that could significantly affect internal controls subsequent to the date of our most recent evaluation, influencing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Marvin E. Dee</w:t>
      </w:r>
    </w:p>
    <w:p>
      <w:pPr>
        <w:spacing w:after="0" w:line="25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November 14, 2002</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13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2002 as filed with the Securities and Exchange Commission on the date hereof (the “Report”), I, John R. Hawkins, Chief Executive Officer of the Company, certify, pursuant to 18 U.S.C. § 1350, as adopted pursuant to § 906 of the Sarbanes-Oxley Act of 2002, that:</w:t>
      </w:r>
    </w:p>
    <w:p>
      <w:pPr>
        <w:spacing w:after="0" w:line="87" w:lineRule="exact"/>
        <w:rPr>
          <w:sz w:val="20"/>
          <w:szCs w:val="20"/>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20" w:hanging="264"/>
        <w:spacing w:after="0"/>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7280"/>
        <w:spacing w:after="0"/>
        <w:rPr>
          <w:sz w:val="20"/>
          <w:szCs w:val="20"/>
          <w:color w:val="auto"/>
        </w:rPr>
      </w:pPr>
      <w:r>
        <w:rPr>
          <w:rFonts w:ascii="Arial" w:cs="Arial" w:eastAsia="Arial" w:hAnsi="Arial"/>
          <w:sz w:val="18"/>
          <w:szCs w:val="18"/>
          <w:b w:val="1"/>
          <w:bCs w:val="1"/>
          <w:color w:val="auto"/>
        </w:rPr>
        <w:t>Exhibit 99.2</w:t>
      </w:r>
    </w:p>
    <w:p>
      <w:pPr>
        <w:spacing w:after="0" w:line="13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2002 as filed with the Securities and Exchange Commission on the date hereof (the “Report”), I, Marvin E. Dee, Chief Financial Officer of the Company, certify, pursuant to 18 U.S.C. § 1350, as adopted pursuant to § 906 of the Sarbanes-Oxley Act of 2002, that:</w:t>
      </w:r>
    </w:p>
    <w:p>
      <w:pPr>
        <w:spacing w:after="0" w:line="87" w:lineRule="exact"/>
        <w:rPr>
          <w:sz w:val="20"/>
          <w:szCs w:val="20"/>
          <w:color w:val="auto"/>
        </w:rPr>
      </w:pPr>
    </w:p>
    <w:p>
      <w:pPr>
        <w:ind w:left="960" w:hanging="30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60" w:hanging="304"/>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240" w:top="33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2019-12-13T01:43:21Z</dcterms:created>
  <dcterms:modified xsi:type="dcterms:W3CDTF">2019-12-13T01:43:21Z</dcterms:modified>
</cp:coreProperties>
</file>