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28, 2026</w:t>
      </w:r>
    </w:p>
    <w:p>
      <w:pPr>
        <w:spacing w:after="0" w:line="3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41" w:right="339" w:bottom="1440" w:gutter="0" w:footer="0" w:header="0"/>
        </w:sectPr>
      </w:pP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51" w:lineRule="exact"/>
        <w:rPr>
          <w:sz w:val="24"/>
          <w:szCs w:val="24"/>
          <w:color w:val="auto"/>
        </w:rPr>
      </w:pPr>
    </w:p>
    <w:p>
      <w:pPr>
        <w:sectPr>
          <w:pgSz w:w="11900" w:h="16838" w:orient="portrait"/>
          <w:cols w:equalWidth="0" w:num="3">
            <w:col w:w="4520" w:space="720"/>
            <w:col w:w="2800" w:space="720"/>
            <w:col w:w="2480"/>
          </w:cols>
          <w:pgMar w:left="320" w:top="1041" w:right="339" w:bottom="1440" w:gutter="0" w:footer="0" w:header="0"/>
          <w:type w:val="continuous"/>
        </w:sectPr>
      </w:pPr>
    </w:p>
    <w:p>
      <w:pPr>
        <w:ind w:left="8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00" w:space="720"/>
            <w:col w:w="3120"/>
          </w:cols>
          <w:pgMar w:left="320" w:top="1041"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51" w:lineRule="exact"/>
        <w:rPr>
          <w:sz w:val="24"/>
          <w:szCs w:val="24"/>
          <w:color w:val="auto"/>
        </w:rPr>
      </w:pPr>
    </w:p>
    <w:p>
      <w:pPr>
        <w:sectPr>
          <w:pgSz w:w="11900" w:h="16838" w:orient="portrait"/>
          <w:cols w:equalWidth="0" w:num="2">
            <w:col w:w="8580" w:space="720"/>
            <w:col w:w="1940"/>
          </w:cols>
          <w:pgMar w:left="320" w:top="1041"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41" w:right="339" w:bottom="1440" w:gutter="0" w:footer="0" w:header="0"/>
          <w:type w:val="continuous"/>
        </w:sect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33" w:lineRule="exact"/>
        <w:rPr>
          <w:sz w:val="24"/>
          <w:szCs w:val="24"/>
          <w:color w:val="auto"/>
        </w:rPr>
      </w:pPr>
    </w:p>
    <w:p>
      <w:pPr>
        <w:ind w:right="220" w:firstLine="445"/>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3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r>
      <w:tr>
        <w:trPr>
          <w:trHeight w:val="208"/>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The Nasdaq Stock Market LLC</w:t>
            </w:r>
          </w:p>
        </w:tc>
      </w:tr>
    </w:tbl>
    <w:p>
      <w:pPr>
        <w:spacing w:after="0" w:line="347"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40" w:lineRule="exact"/>
        <w:rPr>
          <w:sz w:val="24"/>
          <w:szCs w:val="24"/>
          <w:color w:val="auto"/>
        </w:rPr>
      </w:pPr>
    </w:p>
    <w:p>
      <w:pPr>
        <w:ind w:left="876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84"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4" w:lineRule="exact"/>
        <w:rPr>
          <w:sz w:val="20"/>
          <w:szCs w:val="20"/>
          <w:color w:val="auto"/>
        </w:rPr>
      </w:pPr>
    </w:p>
    <w:p>
      <w:pPr>
        <w:ind w:right="320" w:firstLine="405"/>
        <w:spacing w:after="0" w:line="268" w:lineRule="auto"/>
        <w:rPr>
          <w:sz w:val="20"/>
          <w:szCs w:val="20"/>
          <w:color w:val="auto"/>
        </w:rPr>
      </w:pPr>
      <w:r>
        <w:rPr>
          <w:rFonts w:ascii="Arial" w:cs="Arial" w:eastAsia="Arial" w:hAnsi="Arial"/>
          <w:sz w:val="18"/>
          <w:szCs w:val="18"/>
          <w:color w:val="auto"/>
        </w:rPr>
        <w:t>On January 28, 2026, Hawkins, Inc. issued a press release announcing financial results for its fiscal 2026 third quarter ended December 28, 2025. A copy of the press release issued by the Registrant is furnished herewith as Exhibit 99.1 hereto and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Exhibit No.</w:t>
            </w:r>
          </w:p>
        </w:tc>
        <w:tc>
          <w:tcPr>
            <w:tcW w:w="500" w:type="dxa"/>
            <w:vAlign w:val="bottom"/>
          </w:tcPr>
          <w:p>
            <w:pPr>
              <w:spacing w:after="0"/>
              <w:rPr>
                <w:sz w:val="16"/>
                <w:szCs w:val="16"/>
                <w:color w:val="auto"/>
              </w:rPr>
            </w:pP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Description</w:t>
            </w:r>
          </w:p>
        </w:tc>
        <w:tc>
          <w:tcPr>
            <w:tcW w:w="4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Method of Filing</w:t>
            </w:r>
          </w:p>
        </w:tc>
        <w:tc>
          <w:tcPr>
            <w:tcW w:w="20" w:type="dxa"/>
            <w:vAlign w:val="bottom"/>
          </w:tcPr>
          <w:p>
            <w:pPr>
              <w:spacing w:after="0"/>
              <w:rPr>
                <w:sz w:val="16"/>
                <w:szCs w:val="16"/>
                <w:color w:val="auto"/>
              </w:rPr>
            </w:pPr>
          </w:p>
        </w:tc>
      </w:tr>
      <w:tr>
        <w:trPr>
          <w:trHeight w:val="220"/>
        </w:trPr>
        <w:tc>
          <w:tcPr>
            <w:tcW w:w="1640" w:type="dxa"/>
            <w:vAlign w:val="bottom"/>
            <w:gridSpan w:val="2"/>
          </w:tcPr>
          <w:p>
            <w:pPr>
              <w:ind w:left="1280"/>
              <w:spacing w:after="0"/>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Press Release, dated January 28, 2026, announcing financial results of Hawkins, Inc.</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211"/>
        </w:trPr>
        <w:tc>
          <w:tcPr>
            <w:tcW w:w="128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for its fiscal 2026 third quarter ended December 28, 2025.</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640" w:type="dxa"/>
            <w:vAlign w:val="bottom"/>
            <w:gridSpan w:val="2"/>
          </w:tcPr>
          <w:p>
            <w:pPr>
              <w:ind w:left="12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Filed Electronically</w:t>
            </w:r>
          </w:p>
        </w:tc>
      </w:tr>
      <w:tr>
        <w:trPr>
          <w:trHeight w:val="1218"/>
        </w:trPr>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340"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HAWKINS, INC.</w:t>
            </w:r>
          </w:p>
        </w:tc>
        <w:tc>
          <w:tcPr>
            <w:tcW w:w="5280" w:type="dxa"/>
            <w:vAlign w:val="bottom"/>
          </w:tcPr>
          <w:p>
            <w:pPr>
              <w:spacing w:after="0"/>
              <w:rPr>
                <w:sz w:val="20"/>
                <w:szCs w:val="20"/>
                <w:color w:val="auto"/>
              </w:rPr>
            </w:pPr>
          </w:p>
        </w:tc>
      </w:tr>
      <w:tr>
        <w:trPr>
          <w:trHeight w:val="279"/>
        </w:trPr>
        <w:tc>
          <w:tcPr>
            <w:tcW w:w="3180" w:type="dxa"/>
            <w:vAlign w:val="bottom"/>
          </w:tcPr>
          <w:p>
            <w:pPr>
              <w:spacing w:after="0"/>
              <w:rPr>
                <w:sz w:val="20"/>
                <w:szCs w:val="20"/>
                <w:color w:val="auto"/>
              </w:rPr>
            </w:pPr>
            <w:r>
              <w:rPr>
                <w:rFonts w:ascii="Arial" w:cs="Arial" w:eastAsia="Arial" w:hAnsi="Arial"/>
                <w:sz w:val="18"/>
                <w:szCs w:val="18"/>
                <w:color w:val="auto"/>
              </w:rPr>
              <w:t>Date: January 28, 2026</w:t>
            </w:r>
          </w:p>
        </w:tc>
        <w:tc>
          <w:tcPr>
            <w:tcW w:w="2720" w:type="dxa"/>
            <w:vAlign w:val="bottom"/>
            <w:gridSpan w:val="2"/>
          </w:tcPr>
          <w:p>
            <w:pPr>
              <w:ind w:left="1300"/>
              <w:spacing w:after="0"/>
              <w:rPr>
                <w:sz w:val="20"/>
                <w:szCs w:val="20"/>
                <w:color w:val="auto"/>
              </w:rPr>
            </w:pPr>
            <w:r>
              <w:rPr>
                <w:rFonts w:ascii="Arial" w:cs="Arial" w:eastAsia="Arial" w:hAnsi="Arial"/>
                <w:sz w:val="18"/>
                <w:szCs w:val="18"/>
                <w:color w:val="auto"/>
              </w:rPr>
              <w:t>By:</w:t>
            </w: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8"/>
              </w:rPr>
              <w:t>/s/ Jeffrey P. Oldenkamp</w:t>
            </w:r>
          </w:p>
        </w:tc>
      </w:tr>
      <w:tr>
        <w:trPr>
          <w:trHeight w:val="218"/>
        </w:trPr>
        <w:tc>
          <w:tcPr>
            <w:tcW w:w="3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8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8"/>
              </w:rPr>
              <w:t>Jeffrey P. Oldenkamp</w:t>
            </w:r>
          </w:p>
        </w:tc>
      </w:tr>
      <w:tr>
        <w:trPr>
          <w:trHeight w:val="239"/>
        </w:trPr>
        <w:tc>
          <w:tcPr>
            <w:tcW w:w="3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80" w:type="dxa"/>
            <w:vAlign w:val="bottom"/>
          </w:tcPr>
          <w:p>
            <w:pPr>
              <w:jc w:val="center"/>
              <w:ind w:right="770"/>
              <w:spacing w:after="0"/>
              <w:rPr>
                <w:sz w:val="20"/>
                <w:szCs w:val="20"/>
                <w:color w:val="auto"/>
              </w:rPr>
            </w:pPr>
            <w:r>
              <w:rPr>
                <w:rFonts w:ascii="Arial" w:cs="Arial" w:eastAsia="Arial" w:hAnsi="Arial"/>
                <w:sz w:val="18"/>
                <w:szCs w:val="18"/>
                <w:color w:val="auto"/>
                <w:w w:val="99"/>
              </w:rPr>
              <w:t>Executive Vice President and Chief Financial Officer</w:t>
            </w:r>
          </w:p>
        </w:tc>
      </w:tr>
    </w:tbl>
    <w:p>
      <w:pPr>
        <w:sectPr>
          <w:pgSz w:w="11900" w:h="16838" w:orient="portrait"/>
          <w:cols w:equalWidth="0" w:num="1">
            <w:col w:w="11200"/>
          </w:cols>
          <w:pgMar w:left="320" w:top="890" w:right="379" w:bottom="1440" w:gutter="0" w:footer="0" w:header="0"/>
        </w:sectPr>
      </w:pPr>
    </w:p>
    <w:bookmarkStart w:id="3" w:name="page4"/>
    <w:bookmarkEnd w:id="3"/>
    <w:p>
      <w:pPr>
        <w:ind w:left="1026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Fiscal 2026 Results</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Roseville, Minn., January 28, 2026 – Hawkins, Inc. (Nasdaq: HWKN) today announced results for the three and nine months ended December 28, 2025, its third quarter of fiscal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Year 2026 Highlights:</w:t>
      </w:r>
    </w:p>
    <w:p>
      <w:pPr>
        <w:spacing w:after="0" w:line="117" w:lineRule="exact"/>
        <w:rPr>
          <w:sz w:val="20"/>
          <w:szCs w:val="20"/>
          <w:color w:val="auto"/>
        </w:rPr>
      </w:pPr>
    </w:p>
    <w:p>
      <w:pPr>
        <w:ind w:left="660" w:right="200" w:hanging="328"/>
        <w:spacing w:after="0" w:line="287"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third quarter results for revenue, gross profit, operating income, and adjusted Earnings Before Interest, Taxes, Depreciation and Amortization (“adjusted EBITDA”), a non-GAAP measure.</w:t>
      </w:r>
    </w:p>
    <w:p>
      <w:pPr>
        <w:spacing w:after="0" w:line="44" w:lineRule="exact"/>
        <w:rPr>
          <w:rFonts w:ascii="Arial" w:cs="Arial" w:eastAsia="Arial" w:hAnsi="Arial"/>
          <w:sz w:val="18"/>
          <w:szCs w:val="18"/>
          <w:color w:val="auto"/>
        </w:rPr>
      </w:pPr>
    </w:p>
    <w:p>
      <w:pPr>
        <w:ind w:left="660" w:right="480" w:hanging="328"/>
        <w:spacing w:after="0" w:line="287"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growth of 8% over the same period of the prior year, including Water Treatment segment growth of 21% and Industrial Solutions segment growth of 10%.</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5% over the same period of the prior year.</w:t>
      </w:r>
    </w:p>
    <w:p>
      <w:pPr>
        <w:spacing w:after="0" w:line="117" w:lineRule="exact"/>
        <w:rPr>
          <w:rFonts w:ascii="Arial" w:cs="Arial" w:eastAsia="Arial" w:hAnsi="Arial"/>
          <w:sz w:val="18"/>
          <w:szCs w:val="18"/>
          <w:color w:val="auto"/>
        </w:rPr>
      </w:pPr>
    </w:p>
    <w:p>
      <w:pPr>
        <w:ind w:left="660" w:right="20" w:hanging="328"/>
        <w:spacing w:after="0" w:line="259" w:lineRule="auto"/>
        <w:tabs>
          <w:tab w:leader="none" w:pos="628"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("EPS") of $0.69 decreased by $0.03, or 4% due primarily to an approximately $5 million increase in amortization and interest expense related to the six acquisitions completed in the first nine months of fiscal 2026, including WaterSurplus, the largest of the acquisitions previously announced, which was closed in the first quarter of fiscal 2026. Assuming the acquisition of WaterSurplus had occurred at the beginning of the prior fiscal year, pro forma EPS for the third quarter of fiscal 2026 would have been approximately 10% higher than the comparable prior year period.</w:t>
      </w:r>
    </w:p>
    <w:p>
      <w:pPr>
        <w:spacing w:after="0" w:line="7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of $34.8 million, a 3% increase over the same period of the prior year and trailing 12-month Adjusted EBITDA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$179 million.</w:t>
      </w:r>
    </w:p>
    <w:p>
      <w:pPr>
        <w:spacing w:after="0" w:line="99" w:lineRule="exact"/>
        <w:rPr>
          <w:sz w:val="20"/>
          <w:szCs w:val="20"/>
          <w:color w:val="auto"/>
        </w:rPr>
      </w:pPr>
    </w:p>
    <w:p>
      <w:pPr>
        <w:ind w:left="660" w:right="58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cashflow of $35 million in the quarter, a portion of which was used to pay down $15 million of debt, and lowering our leverage ratio below 1.5x Adjusted EBITDA at the end of the quarter.</w:t>
      </w:r>
    </w:p>
    <w:p>
      <w:pPr>
        <w:spacing w:after="0" w:line="44" w:lineRule="exact"/>
        <w:rPr>
          <w:rFonts w:ascii="Arial" w:cs="Arial" w:eastAsia="Arial" w:hAnsi="Arial"/>
          <w:sz w:val="18"/>
          <w:szCs w:val="18"/>
          <w:color w:val="auto"/>
        </w:rPr>
      </w:pPr>
    </w:p>
    <w:p>
      <w:pPr>
        <w:ind w:left="660" w:right="480" w:hanging="328"/>
        <w:spacing w:after="0" w:line="287" w:lineRule="auto"/>
        <w:tabs>
          <w:tab w:leader="none" w:pos="628"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previously reported in December, we closed on our sixth acquisition of fiscal 2026, with the purchase of Redbird Chemical, a distributor of chemicals in eastern Texas within both water treatment and industrial markets.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Commentary – Patrick H. Hawkins, Chief Executive Officer and President:</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third quarter performance was highlighted by another quarter of record results in revenue, gross profit, operating income and Adjusted EBITDA. The key drivers were our ongoing acquisition activity within the Water Treatment segment and the continued improvement in our Industrial Solutions segment. From a bottom-line perspective, proforma EPS grew 10% in the quarter over the prior year and Adjusted EBITDA continued to grow," said Patrick Hawkins, Chief Executive Officer and President. "Once again, our performance generated significant cash that we used to pay down debt, fund investments in the business, and close acquisitions as part of our growth strategy for our largest segment, Water Treatment.”</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Mr. Hawkins, continued, “As previously communicated, we are experiencing a continued impact on operating income and earnings per share from the first-quarter acquisition of WaterSurplus, due to $4 to $5 million per quarter of expense related to the acquisition associated with amortization, earn-out accretion and interest expense with one quarter of this impact remaining before we lap it. We expect this acquisition to be accretive in fiscal 2027 with our continued growth of the business. We continue to be pleased with the integration of WaterSurplus to date, including growing the revenue base between 15 to 20% as expected in calendar year 2025. Overall, we have been making investments in the business to ensure that it continues to deliver revenue growth of 15% or more and Adjusted EBITDA margins of 20% or better.”</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“Looking to the fourth quarter, we will continue to see pricing pressures within food end markets and are focused on returning our Food and Health Sciences segment to growth. We also believe we will start to return to historical organic revenue growth rates in fiscal 2027 and will continue to deliver on our strategy of investing in our higher margin businesses, acquiring companies that are accretive, and servicing the needs of our customers to the highest level possible.”</w:t>
      </w:r>
    </w:p>
    <w:p>
      <w:pPr>
        <w:sectPr>
          <w:pgSz w:w="11900" w:h="16838" w:orient="portrait"/>
          <w:cols w:equalWidth="0" w:num="1">
            <w:col w:w="11240"/>
          </w:cols>
          <w:pgMar w:left="320" w:top="60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Change in Reporting Segments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commenced in the first quarter of fiscal 2026, we aligned our reporting segments to better reflect how we manage our operations and allocate resources. We now report on the following segments: Water Treatment, Food and Health Sciences, and Industrial Solutions. There is no change in how Water Treatment is managed. Food and Health Sciences includes our Nutrition, Food, Agriculture, and Pharmaceutical businesses. Food, Agriculture, and Pharmaceutical businesses had previously been included within the Industrial reporting segment. The "Reports and Investor Information" section of our investor relations page on our website contains recast historical segment information for the past five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the third quarter of fiscal 2026, we reported net income of $14.3 million, or $0.69 per diluted share, compared to net income for the third quarter of fiscal 2025 of $15.0 million, or $0.72 per diluted share.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Sales were $244.1 million for the third quarter of fiscal 2026, an increase of $17.9 million, or 8%, from sales of $226.2 million in the same period a year ago. Our Water Treatment and Industrial Solutions segments both grew by more than 10%, while our Food &amp; Health Sciences segment decreased 10%.</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Water Treatment segment sales increased $20.7 million, or 21%, to $120.5 million for the current quarter, from $99.8 million in the same period a year ago. Water Treatment sales increased as a result of $19 million of added sales from acquired businesses as well as improved pricing on certain of our products in our legacy businesses.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Food &amp; Health Sciences segment sales decreased $7.7 million, or 10%, to $70.0 million for the current quarter, from $77.7 million in the same period a year ago. Food &amp; Health Sciences segment sales dollars decreased as result of decreased sales volumes of our food, health &amp; nutrition, and agricultural products.</w:t>
      </w:r>
    </w:p>
    <w:p>
      <w:pPr>
        <w:spacing w:after="0" w:line="6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Industrial Solutions segment sales increased $4.9 million, or 10%, to $53.6 million for the current quarter, from $48.7 million in the same period a year ago. Industrial Solutions segment sales increased primarily as a result of increased sales of certain of our manufactured, blended and repackaged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Gross profit increased $2.4 million, or 5%, to $50.8 million, or 21% of sales, for the current quarter, from $48.4 million, or 21% of sales, in the same period a year ago. During the current quarter, the LIFO reserve decreased, and gross profit increased, by $0.2 million. In the same period a year ago, the LIFO reserve decreased, and gross profit increased, by $0.8 million.</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Gross profit for the Water Treatment segment increased $3.7 million, or 14%, to $29.6 million, or 25% of sales, for the current quarter, from $25.9 million, or 26% of sales, in the same period a year ago. Water Treatment segment Gross profit increased primarily as a result of increased sales from our acquired businesses as well as increased sales in our legacy business.</w:t>
      </w:r>
    </w:p>
    <w:p>
      <w:pPr>
        <w:spacing w:after="0" w:line="6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Gross profit for the Food &amp; Health Sciences segment decreased $2.5 million, or 15%, to $13.8 million, or 20% of sales, for the current quarter, from $16.3 million, or 21% of sales, in the same period a year ago. Food &amp; Health Sciences gross profit decreased primarily as a result of the decrease in sales.</w:t>
      </w:r>
    </w:p>
    <w:p>
      <w:pPr>
        <w:spacing w:after="0" w:line="6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Gross profit for our Industrial Solutions segment increased $ 1.1 million, or 18%, to $7.4 million, or 14% of sales, for the current quarter, from $6.3 million, or 13% of sales, in the same period a year ago. Industrial Solutions segment gross profit increased as a result of the increase in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Selling, general and administrative (“SG&amp;A”) expenses increased $0.9 million, or 3%, to $28.3 million, or 12% of sales, for the current quarter, from $27.4 million, or 12% of sales, in the same period a year ago. This included $5.4 million due to added costs from the acquired businesses in our Water Treatment segment, largely offset by a year-over-year reduction of $4.6 million due to a fair value adjustment recorded to the Water Solutions earnout liability as a result of a change in projected estimates related to the earnout target. The primary components of the $5.4 million of added costs related to the acquired businesses were personnel and operating costs, $2.3 million of intangible amortization and $0.5 million of fair value accretion on the WaterSurplus earnout liability.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December 28, 2025 was $34.8 million, an increase of $0.9 million, or 3%, from $34.0 million in the same period a year ago.</w:t>
      </w:r>
    </w:p>
    <w:p>
      <w:pPr>
        <w:sectPr>
          <w:pgSz w:w="11900" w:h="16838" w:orient="portrait"/>
          <w:cols w:equalWidth="0" w:num="1">
            <w:col w:w="11240"/>
          </w:cols>
          <w:pgMar w:left="320" w:top="56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effective income tax rate was 27% for the current quarter and 26% for the same period a year ago. The effective tax rate in the third quarter of the prior year was impacted by favorable tax provision adjustments recorded. The effective tax rate is impacted by projected levels of annual taxable income, permanent items, and state taxes. Our effective tax rate for the full year is expected to be approximately 26% to 27%.</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December 28, 2025, our working capital was $7 million higher than the end of fiscal 2025 due primarily to decreased accounts payable, partially offset by decreased trade receivables. During the quarter, we repaid $15 million on our line of credit. Our total debt outstanding at the end of the third quarter was $264.0 million and our leverage ratio was 1.47x our trailing 12-month adjusted EBITDA, as compared to 0.86x of trailing twelve-month adjusted EBITDA at the end of fiscal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65 facilities in 28 states and creates value for its customers through superb customer service and support, quality products and personalized applications. Hawkins, Inc. generated $974 million of revenue in fiscal 2025 and has approximately 1,100 employees. For more information, including registering to receive email alerts, please visit www.hawkinsinc.com/investors.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charges for the employee stock purchase plan and restricted stock grants, and earnout related expenses; and non-recurring items of income or expense, if applicable. The non-cash earnout related expense adjustment is a new adjustment which was made to properly adjust for this non-cash expense and better reflect results from operations.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18"/>
                <w:szCs w:val="18"/>
                <w:color w:val="auto"/>
              </w:rPr>
            </w:pPr>
          </w:p>
        </w:tc>
        <w:tc>
          <w:tcPr>
            <w:tcW w:w="2980" w:type="dxa"/>
            <w:vAlign w:val="bottom"/>
            <w:gridSpan w:val="5"/>
            <w:vMerge w:val="restart"/>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98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Trailing 12-</w:t>
            </w: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gridSpan w:val="5"/>
            <w:vMerge w:val="continue"/>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5"/>
            <w:vMerge w:val="continue"/>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169"/>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December 28,</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9"/>
              </w:rPr>
              <w:t>December 29,</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December 28,</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December 29,</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December 28,</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(GAAP)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82,412</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29,426</w:t>
            </w:r>
          </w:p>
        </w:tc>
        <w:tc>
          <w:tcPr>
            <w:tcW w:w="0" w:type="dxa"/>
            <w:vAlign w:val="bottom"/>
          </w:tcPr>
          <w:p>
            <w:pPr>
              <w:spacing w:after="0"/>
              <w:rPr>
                <w:sz w:val="1"/>
                <w:szCs w:val="1"/>
                <w:color w:val="auto"/>
              </w:rPr>
            </w:pP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30,192</w:t>
            </w:r>
          </w:p>
        </w:tc>
        <w:tc>
          <w:tcPr>
            <w:tcW w:w="0" w:type="dxa"/>
            <w:vAlign w:val="bottom"/>
          </w:tcPr>
          <w:p>
            <w:pPr>
              <w:spacing w:after="0"/>
              <w:rPr>
                <w:sz w:val="1"/>
                <w:szCs w:val="1"/>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7,914</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Non-recurring acquisition expenses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Non-cash earnout related expense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178,801</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56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6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6"/>
                <w:szCs w:val="16"/>
                <w:b w:val="1"/>
                <w:bCs w:val="1"/>
                <w:color w:val="auto"/>
              </w:rPr>
              <w:t>December 28,</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6"/>
                <w:szCs w:val="16"/>
                <w:b w:val="1"/>
                <w:bCs w:val="1"/>
                <w:color w:val="auto"/>
              </w:rPr>
              <w:t>December 29,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6"/>
                <w:szCs w:val="16"/>
                <w:b w:val="1"/>
                <w:bCs w:val="1"/>
                <w:color w:val="auto"/>
              </w:rPr>
              <w:t>December 28,</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71"/>
              <w:spacing w:after="0" w:line="155" w:lineRule="exact"/>
              <w:rPr>
                <w:sz w:val="20"/>
                <w:szCs w:val="20"/>
                <w:color w:val="auto"/>
              </w:rPr>
            </w:pPr>
            <w:r>
              <w:rPr>
                <w:rFonts w:ascii="Arial" w:cs="Arial" w:eastAsia="Arial" w:hAnsi="Arial"/>
                <w:sz w:val="16"/>
                <w:szCs w:val="16"/>
                <w:b w:val="1"/>
                <w:bCs w:val="1"/>
                <w:color w:val="auto"/>
              </w:rPr>
              <w:t>December 29,</w:t>
            </w:r>
          </w:p>
        </w:tc>
      </w:tr>
      <w:tr>
        <w:trPr>
          <w:trHeight w:val="216"/>
        </w:trPr>
        <w:tc>
          <w:tcPr>
            <w:tcW w:w="5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729,113</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(555,812)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173,301</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(78,702)</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94,599</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(3,906)</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91,961</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w:t>
            </w: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66,085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20,740,284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20,766,764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20,731,837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20,780,213</w:t>
            </w: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20,843,980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20,875,387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20,902,456</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0.52</w:t>
            </w:r>
          </w:p>
        </w:tc>
      </w:tr>
    </w:tbl>
    <w:p>
      <w:pPr>
        <w:sectPr>
          <w:pgSz w:w="11900" w:h="16838" w:orient="portrait"/>
          <w:cols w:equalWidth="0" w:num="1">
            <w:col w:w="11200"/>
          </w:cols>
          <w:pgMar w:left="340" w:top="1025"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28,</w:t>
            </w:r>
          </w:p>
        </w:tc>
        <w:tc>
          <w:tcPr>
            <w:tcW w:w="240" w:type="dxa"/>
            <w:vAlign w:val="bottom"/>
          </w:tcPr>
          <w:p>
            <w:pPr>
              <w:spacing w:after="0"/>
              <w:rPr>
                <w:sz w:val="17"/>
                <w:szCs w:val="17"/>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Trade accounts receivables,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123,742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131,795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83,512</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23"/>
        </w:trPr>
        <w:tc>
          <w:tcPr>
            <w:tcW w:w="8100" w:type="dxa"/>
            <w:vAlign w:val="bottom"/>
          </w:tcPr>
          <w:p>
            <w:pPr>
              <w:ind w:left="7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230,691</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420,953</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195,667</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225,286</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229"/>
        </w:trPr>
        <w:tc>
          <w:tcPr>
            <w:tcW w:w="81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135,409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150,121</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Deferred compensation plan asset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313,890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769,867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46,384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61,195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Environmental remediation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23"/>
        </w:trPr>
        <w:tc>
          <w:tcPr>
            <w:tcW w:w="8100" w:type="dxa"/>
            <w:vAlign w:val="bottom"/>
          </w:tcPr>
          <w:p>
            <w:pPr>
              <w:ind w:left="7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107,135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253,375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138,906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lease liability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Pension withdrawal liability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Deferred compensation liability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13,132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Earnout 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202,440</w:t>
            </w:r>
          </w:p>
        </w:tc>
        <w:tc>
          <w:tcPr>
            <w:tcW w:w="0" w:type="dxa"/>
            <w:vAlign w:val="bottom"/>
          </w:tcPr>
          <w:p>
            <w:pPr>
              <w:spacing w:after="0"/>
              <w:rPr>
                <w:sz w:val="1"/>
                <w:szCs w:val="1"/>
                <w:color w:val="auto"/>
              </w:rPr>
            </w:pPr>
          </w:p>
        </w:tc>
      </w:tr>
      <w:tr>
        <w:trPr>
          <w:trHeight w:val="223"/>
        </w:trPr>
        <w:tc>
          <w:tcPr>
            <w:tcW w:w="8100" w:type="dxa"/>
            <w:vAlign w:val="bottom"/>
          </w:tcPr>
          <w:p>
            <w:pPr>
              <w:ind w:left="7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309,575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Common stock; authorized: 60,000,000 shares of $0.01 par value; 20,740,284 and 20,684,621</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as of December 28, 2025 and March 30, 2025, respectively</w:t>
            </w: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24,094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434,259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460,292</w:t>
            </w:r>
          </w:p>
        </w:tc>
        <w:tc>
          <w:tcPr>
            <w:tcW w:w="0" w:type="dxa"/>
            <w:vAlign w:val="bottom"/>
          </w:tcPr>
          <w:p>
            <w:pPr>
              <w:spacing w:after="0"/>
              <w:rPr>
                <w:sz w:val="1"/>
                <w:szCs w:val="1"/>
                <w:color w:val="auto"/>
              </w:rPr>
            </w:pPr>
          </w:p>
        </w:tc>
      </w:tr>
      <w:tr>
        <w:trPr>
          <w:trHeight w:val="223"/>
        </w:trPr>
        <w:tc>
          <w:tcPr>
            <w:tcW w:w="8100" w:type="dxa"/>
            <w:vAlign w:val="bottom"/>
          </w:tcPr>
          <w:p>
            <w:pPr>
              <w:ind w:left="7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976,526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769,867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05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December 28,</w:t>
            </w:r>
          </w:p>
        </w:tc>
        <w:tc>
          <w:tcPr>
            <w:tcW w:w="140" w:type="dxa"/>
            <w:vAlign w:val="bottom"/>
          </w:tcPr>
          <w:p>
            <w:pPr>
              <w:spacing w:after="0"/>
              <w:rPr>
                <w:sz w:val="14"/>
                <w:szCs w:val="14"/>
                <w:color w:val="auto"/>
              </w:rPr>
            </w:pPr>
          </w:p>
        </w:tc>
        <w:tc>
          <w:tcPr>
            <w:tcW w:w="134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December 29,</w:t>
            </w:r>
          </w:p>
        </w:tc>
      </w:tr>
      <w:tr>
        <w:trPr>
          <w:trHeight w:val="243"/>
        </w:trPr>
        <w:tc>
          <w:tcPr>
            <w:tcW w:w="80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66,085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68,018</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Reconciliation to cash flows: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29,368</w:t>
            </w:r>
          </w:p>
        </w:tc>
      </w:tr>
      <w:tr>
        <w:trPr>
          <w:trHeight w:val="230"/>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 of earnout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9"/>
        </w:trPr>
        <w:tc>
          <w:tcPr>
            <w:tcW w:w="8060" w:type="dxa"/>
            <w:vAlign w:val="bottom"/>
          </w:tcPr>
          <w:p>
            <w:pPr>
              <w:ind w:left="68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2,557</w:t>
            </w:r>
          </w:p>
        </w:tc>
      </w:tr>
      <w:tr>
        <w:trPr>
          <w:trHeight w:val="229"/>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deferred compensation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8060" w:type="dxa"/>
            <w:vAlign w:val="bottom"/>
          </w:tcPr>
          <w:p>
            <w:pPr>
              <w:ind w:left="68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5,022</w:t>
            </w:r>
          </w:p>
        </w:tc>
      </w:tr>
      <w:tr>
        <w:trPr>
          <w:trHeight w:val="229"/>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60" w:type="dxa"/>
            <w:vAlign w:val="bottom"/>
          </w:tcPr>
          <w:p>
            <w:pPr>
              <w:ind w:left="680"/>
              <w:spacing w:after="0"/>
              <w:rPr>
                <w:sz w:val="20"/>
                <w:szCs w:val="20"/>
                <w:color w:val="auto"/>
              </w:rPr>
            </w:pPr>
            <w:r>
              <w:rPr>
                <w:rFonts w:ascii="Arial" w:cs="Arial" w:eastAsia="Arial" w:hAnsi="Arial"/>
                <w:sz w:val="18"/>
                <w:szCs w:val="18"/>
                <w:color w:val="auto"/>
              </w:rPr>
              <w:t>Changes in operating accounts providing (using) cash:</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0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Trade receivables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r>
      <w:tr>
        <w:trPr>
          <w:trHeight w:val="229"/>
        </w:trPr>
        <w:tc>
          <w:tcPr>
            <w:tcW w:w="806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(5,682)</w:t>
            </w:r>
          </w:p>
        </w:tc>
      </w:tr>
      <w:tr>
        <w:trPr>
          <w:trHeight w:val="230"/>
        </w:trPr>
        <w:tc>
          <w:tcPr>
            <w:tcW w:w="80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r>
      <w:tr>
        <w:trPr>
          <w:trHeight w:val="229"/>
        </w:trPr>
        <w:tc>
          <w:tcPr>
            <w:tcW w:w="8060" w:type="dxa"/>
            <w:vAlign w:val="bottom"/>
          </w:tcPr>
          <w:p>
            <w:pPr>
              <w:ind w:left="1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29"/>
        </w:trPr>
        <w:tc>
          <w:tcPr>
            <w:tcW w:w="80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30"/>
        </w:trPr>
        <w:tc>
          <w:tcPr>
            <w:tcW w:w="8060" w:type="dxa"/>
            <w:vAlign w:val="bottom"/>
          </w:tcPr>
          <w:p>
            <w:pPr>
              <w:ind w:left="11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29"/>
        </w:trPr>
        <w:tc>
          <w:tcPr>
            <w:tcW w:w="80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23"/>
        </w:trPr>
        <w:tc>
          <w:tcPr>
            <w:tcW w:w="8060" w:type="dxa"/>
            <w:vAlign w:val="bottom"/>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80,252</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8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(72,822)</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declared and paid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New shares issued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taxes paid in exchange for shares withheld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Shares repurchased</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(9,149)</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revolving loan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Payments for debt issuance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revolving loan borrowings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r>
      <w:tr>
        <w:trPr>
          <w:trHeight w:val="223"/>
        </w:trPr>
        <w:tc>
          <w:tcPr>
            <w:tcW w:w="80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18,481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26,566</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w:t>
            </w:r>
          </w:p>
        </w:tc>
      </w:tr>
      <w:tr>
        <w:trPr>
          <w:trHeight w:val="239"/>
        </w:trPr>
        <w:tc>
          <w:tcPr>
            <w:tcW w:w="8060" w:type="dxa"/>
            <w:vAlign w:val="bottom"/>
          </w:tcPr>
          <w:p>
            <w:pPr>
              <w:ind w:left="36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1,152</w:t>
            </w:r>
          </w:p>
        </w:tc>
      </w:tr>
    </w:tbl>
    <w:p>
      <w:pPr>
        <w:sectPr>
          <w:pgSz w:w="11900" w:h="16838" w:orient="portrait"/>
          <w:cols w:equalWidth="0" w:num="1">
            <w:col w:w="11240"/>
          </w:cols>
          <w:pgMar w:left="320" w:top="89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REPORTABLE SEGMENTS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Water</w:t>
            </w:r>
          </w:p>
        </w:tc>
        <w:tc>
          <w:tcPr>
            <w:tcW w:w="14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Food &amp; Health</w:t>
            </w:r>
          </w:p>
        </w:tc>
        <w:tc>
          <w:tcPr>
            <w:tcW w:w="1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Industrial</w:t>
            </w:r>
          </w:p>
        </w:tc>
        <w:tc>
          <w:tcPr>
            <w:tcW w:w="28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Treatment</w:t>
            </w:r>
          </w:p>
        </w:tc>
        <w:tc>
          <w:tcPr>
            <w:tcW w:w="18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Sciences</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Solutions</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28, 2025:</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120,487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53,589</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244,080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Three months ended December 29,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0" w:type="dxa"/>
            <w:vAlign w:val="bottom"/>
          </w:tcPr>
          <w:p>
            <w:pPr>
              <w:spacing w:after="0"/>
              <w:rPr>
                <w:sz w:val="1"/>
                <w:szCs w:val="1"/>
                <w:color w:val="auto"/>
              </w:rPr>
            </w:pPr>
          </w:p>
        </w:tc>
      </w:tr>
      <w:tr>
        <w:trPr>
          <w:trHeight w:val="229"/>
        </w:trPr>
        <w:tc>
          <w:tcPr>
            <w:tcW w:w="5200" w:type="dxa"/>
            <w:vAlign w:val="bottom"/>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(152,565)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25,856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48,424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Nine months ended December 28, 2025: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420,961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232,095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164,730</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817,786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(552,115)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Nine months ended December 29,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341,456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729,113</w:t>
            </w:r>
          </w:p>
        </w:tc>
        <w:tc>
          <w:tcPr>
            <w:tcW w:w="0" w:type="dxa"/>
            <w:vAlign w:val="bottom"/>
          </w:tcPr>
          <w:p>
            <w:pPr>
              <w:spacing w:after="0"/>
              <w:rPr>
                <w:sz w:val="1"/>
                <w:szCs w:val="1"/>
                <w:color w:val="auto"/>
              </w:rPr>
            </w:pPr>
          </w:p>
        </w:tc>
      </w:tr>
      <w:tr>
        <w:trPr>
          <w:trHeight w:val="230"/>
        </w:trPr>
        <w:tc>
          <w:tcPr>
            <w:tcW w:w="5200" w:type="dxa"/>
            <w:vAlign w:val="bottom"/>
          </w:tcPr>
          <w:p>
            <w:pPr>
              <w:ind w:left="340"/>
              <w:spacing w:after="0"/>
              <w:rPr>
                <w:sz w:val="20"/>
                <w:szCs w:val="20"/>
                <w:color w:val="auto"/>
              </w:rPr>
            </w:pPr>
            <w:r>
              <w:rPr>
                <w:rFonts w:ascii="Arial" w:cs="Arial" w:eastAsia="Arial" w:hAnsi="Arial"/>
                <w:sz w:val="18"/>
                <w:szCs w:val="18"/>
                <w:color w:val="auto"/>
              </w:rPr>
              <w:t>Cost of sales - materials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(195,807)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(484,673)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operational overhead</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(71,139)</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96,992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173,301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(78,702)</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890"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Various remarks in this press release constitute forward-looking statements within the meaning of Section 27A</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the Securities Act of 1933, as amended, and Section 21E of the Securities Exchange Act of 1934, as amended. These statements include those relating to consumer demand for products containing our ingredients and the impacts of those demands, expectations for results in our</w:t>
      </w:r>
    </w:p>
    <w:p>
      <w:pPr>
        <w:spacing w:after="0" w:line="236" w:lineRule="auto"/>
        <w:rPr>
          <w:sz w:val="20"/>
          <w:szCs w:val="20"/>
          <w:color w:val="auto"/>
        </w:rPr>
      </w:pPr>
      <w:r>
        <w:rPr>
          <w:rFonts w:ascii="Arial" w:cs="Arial" w:eastAsia="Arial" w:hAnsi="Arial"/>
          <w:sz w:val="18"/>
          <w:szCs w:val="18"/>
          <w:color w:val="auto"/>
        </w:rPr>
        <w:t>business segments and the timing of our filings with the Securities and Exchange Commission. These statements are not historical facts, but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rather are based on our current expectations, estimates and projections, and our beliefs and assumptions. Forward-looking statements may be identified by terms, including “anticipate,” “believe,” “can,” “could,” “expect,” “intend,” “may,” “predict,” “should,” or “will” or the negative of</w:t>
      </w:r>
    </w:p>
    <w:p>
      <w:pPr>
        <w:spacing w:after="0" w:line="236" w:lineRule="auto"/>
        <w:rPr>
          <w:sz w:val="20"/>
          <w:szCs w:val="20"/>
          <w:color w:val="auto"/>
        </w:rPr>
      </w:pPr>
      <w:r>
        <w:rPr>
          <w:rFonts w:ascii="Arial" w:cs="Arial" w:eastAsia="Arial" w:hAnsi="Arial"/>
          <w:sz w:val="18"/>
          <w:szCs w:val="18"/>
          <w:color w:val="auto"/>
        </w:rPr>
        <w:t>these terms or other comparable terms. These statements are not guarantees of future performance and are subject to certain risks,</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uncertainties and other factors, some of which are beyond our control and are difficult to predict. Actual results may vary materially from those contained in forward looking statements based on a number of factors, including, but not limited to, changes in competition and price</w:t>
      </w:r>
    </w:p>
    <w:p>
      <w:pPr>
        <w:spacing w:after="0" w:line="236" w:lineRule="auto"/>
        <w:rPr>
          <w:sz w:val="20"/>
          <w:szCs w:val="20"/>
          <w:color w:val="auto"/>
        </w:rPr>
      </w:pPr>
      <w:r>
        <w:rPr>
          <w:rFonts w:ascii="Arial" w:cs="Arial" w:eastAsia="Arial" w:hAnsi="Arial"/>
          <w:sz w:val="18"/>
          <w:szCs w:val="18"/>
          <w:color w:val="auto"/>
        </w:rPr>
        <w:t>pressures, changes in demand and customer requirements or processes for our products, availability of product and disruptions to supplies,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interruptions in production resulting from hazards, transportation limitations or other extraordinary events outside our control that may negatively impact our business or the supply chains in which we participate, changes in imported products and tariff levels, the availability of</w:t>
      </w:r>
    </w:p>
    <w:p>
      <w:pPr>
        <w:spacing w:after="0" w:line="235" w:lineRule="auto"/>
        <w:rPr>
          <w:sz w:val="20"/>
          <w:szCs w:val="20"/>
          <w:color w:val="auto"/>
        </w:rPr>
      </w:pPr>
      <w:r>
        <w:rPr>
          <w:rFonts w:ascii="Arial" w:cs="Arial" w:eastAsia="Arial" w:hAnsi="Arial"/>
          <w:sz w:val="18"/>
          <w:szCs w:val="18"/>
          <w:color w:val="auto"/>
        </w:rPr>
        <w:t>products and the prices at which they are available, the acceptance of new products by our customers and the timing of any such</w:t>
      </w:r>
    </w:p>
    <w:p>
      <w:pPr>
        <w:ind w:right="220"/>
        <w:spacing w:after="0"/>
        <w:rPr>
          <w:rFonts w:ascii="Arial" w:cs="Arial" w:eastAsia="Arial" w:hAnsi="Arial"/>
          <w:sz w:val="17"/>
          <w:szCs w:val="17"/>
          <w:color w:val="auto"/>
        </w:rPr>
      </w:pPr>
      <w:r>
        <w:rPr>
          <w:rFonts w:ascii="Arial" w:cs="Arial" w:eastAsia="Arial" w:hAnsi="Arial"/>
          <w:sz w:val="17"/>
          <w:szCs w:val="17"/>
          <w:color w:val="auto"/>
        </w:rPr>
        <w:t xml:space="preserve">acceptance, and changes in product supplies. Additional information concerning potential factors that could affect future financial results is included in our </w:t>
      </w:r>
      <w:hyperlink r:id="rId11">
        <w:r>
          <w:rPr>
            <w:rFonts w:ascii="Arial" w:cs="Arial" w:eastAsia="Arial" w:hAnsi="Arial"/>
            <w:sz w:val="17"/>
            <w:szCs w:val="17"/>
            <w:u w:val="single" w:color="auto"/>
            <w:color w:val="0000FF"/>
          </w:rPr>
          <w:t>Annual Report on Form 10-K for the fiscal year ended March 30, 2025</w:t>
        </w:r>
      </w:hyperlink>
      <w:r>
        <w:rPr>
          <w:rFonts w:ascii="Arial" w:cs="Arial" w:eastAsia="Arial" w:hAnsi="Arial"/>
          <w:sz w:val="17"/>
          <w:szCs w:val="17"/>
          <w:color w:val="auto"/>
        </w:rPr>
        <w:t>, as updated from time to time in amendments and</w:t>
      </w:r>
    </w:p>
    <w:p>
      <w:pPr>
        <w:spacing w:after="0" w:line="235" w:lineRule="auto"/>
        <w:rPr>
          <w:sz w:val="20"/>
          <w:szCs w:val="20"/>
          <w:color w:val="auto"/>
        </w:rPr>
      </w:pPr>
      <w:r>
        <w:rPr>
          <w:rFonts w:ascii="Arial" w:cs="Arial" w:eastAsia="Arial" w:hAnsi="Arial"/>
          <w:sz w:val="18"/>
          <w:szCs w:val="18"/>
          <w:color w:val="auto"/>
        </w:rPr>
        <w:t>subsequent reports filed with the SEC. Investors should take such risks into account when making investment decisions. Shareholders and</w:t>
      </w:r>
    </w:p>
    <w:p>
      <w:pPr>
        <w:ind w:right="140"/>
        <w:spacing w:after="0" w:line="237" w:lineRule="auto"/>
        <w:rPr>
          <w:sz w:val="20"/>
          <w:szCs w:val="20"/>
          <w:color w:val="auto"/>
        </w:rPr>
      </w:pPr>
      <w:r>
        <w:rPr>
          <w:rFonts w:ascii="Arial" w:cs="Arial" w:eastAsia="Arial" w:hAnsi="Arial"/>
          <w:sz w:val="18"/>
          <w:szCs w:val="18"/>
          <w:color w:val="auto"/>
        </w:rPr>
        <w:t>other readers are cautioned not to place undue reliance on forward-looking statements, which reflect our management’s view only as of the date hereof. We do not undertake any obligation to update any forward-looking statements.</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Contacts:</w:t>
        <w:tab/>
        <w:t>Jeffrey P. Oldenkamp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Executive Vice President and Chief Financial Officer</w:t>
      </w:r>
    </w:p>
    <w:p>
      <w:pPr>
        <w:ind w:left="1300"/>
        <w:spacing w:after="0"/>
        <w:rPr>
          <w:sz w:val="20"/>
          <w:szCs w:val="20"/>
          <w:color w:val="auto"/>
        </w:rPr>
      </w:pPr>
      <w:r>
        <w:rPr>
          <w:rFonts w:ascii="Arial" w:cs="Arial" w:eastAsia="Arial" w:hAnsi="Arial"/>
          <w:sz w:val="18"/>
          <w:szCs w:val="18"/>
          <w:color w:val="auto"/>
        </w:rPr>
        <w:t>612/331-6910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ir@HawkinsInc.com</w:t>
      </w:r>
    </w:p>
    <w:sectPr>
      <w:pgSz w:w="11900" w:h="16838" w:orient="portrait"/>
      <w:cols w:equalWidth="0" w:num="1">
        <w:col w:w="11200"/>
      </w:cols>
      <w:pgMar w:left="320" w:top="87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s://www.sec.gov/ix?doc=/Archives/edgar/data/46250/000004625025000025/hwkn-202503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2026-01-28T15:56:33Z</dcterms:created>
  <dcterms:modified xsi:type="dcterms:W3CDTF">2026-01-28T15:56:33Z</dcterms:modified>
</cp:coreProperties>
</file>