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2819"/>
        <w:spacing w:after="0"/>
        <w:tabs>
          <w:tab w:leader="none" w:pos="160" w:val="left"/>
        </w:tabs>
        <w:rPr>
          <w:sz w:val="20"/>
          <w:szCs w:val="20"/>
          <w:color w:val="auto"/>
        </w:rPr>
      </w:pPr>
      <w:r>
        <w:rPr>
          <w:rFonts w:ascii="Courier New" w:cs="Courier New" w:eastAsia="Courier New" w:hAnsi="Courier New"/>
          <w:sz w:val="14"/>
          <w:szCs w:val="14"/>
          <w:color w:val="auto"/>
        </w:rPr>
        <w:t>Washington, D. C.</w:t>
        <w:tab/>
        <w:t>20549</w:t>
      </w:r>
    </w:p>
    <w:p>
      <w:pPr>
        <w:spacing w:after="0" w:line="7"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 - - - - - - - - - - - -</w:t>
      </w:r>
    </w:p>
    <w:p>
      <w:pPr>
        <w:spacing w:after="0" w:line="7"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ANNUAL REPORT PURSUANT TO SECTION 13 OR 15(d) OF</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September 29, 1996, Commission File No. 0-7647</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HAWKINS CHEMICAL, INC.</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27" w:right="1440" w:bottom="1440" w:gutter="0" w:footer="0" w:header="0"/>
        </w:sectPr>
      </w:pP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41-0771293</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73" w:lineRule="exact"/>
        <w:rPr>
          <w:sz w:val="24"/>
          <w:szCs w:val="24"/>
          <w:color w:val="auto"/>
        </w:rPr>
      </w:pPr>
    </w:p>
    <w:p>
      <w:pPr>
        <w:sectPr>
          <w:pgSz w:w="11900" w:h="16838" w:orient="portrait"/>
          <w:cols w:equalWidth="0" w:num="2">
            <w:col w:w="2860" w:space="680"/>
            <w:col w:w="6699"/>
          </w:cols>
          <w:pgMar w:left="220" w:top="727" w:right="1440" w:bottom="1440" w:gutter="0" w:footer="0" w:header="0"/>
          <w:type w:val="continuous"/>
        </w:sectPr>
      </w:pPr>
    </w:p>
    <w:p>
      <w:pPr>
        <w:spacing w:after="0"/>
        <w:tabs>
          <w:tab w:leader="none" w:pos="5240" w:val="left"/>
        </w:tabs>
        <w:rPr>
          <w:sz w:val="20"/>
          <w:szCs w:val="20"/>
          <w:color w:val="auto"/>
        </w:rPr>
      </w:pPr>
      <w:r>
        <w:rPr>
          <w:rFonts w:ascii="Courier New" w:cs="Courier New" w:eastAsia="Courier New" w:hAnsi="Courier New"/>
          <w:sz w:val="14"/>
          <w:szCs w:val="14"/>
          <w:color w:val="auto"/>
        </w:rPr>
        <w:t>3100 East Hennepin Avenue, Minneapolis, Minnesota</w:t>
      </w:r>
      <w:r>
        <w:rPr>
          <w:sz w:val="20"/>
          <w:szCs w:val="20"/>
          <w:color w:val="auto"/>
        </w:rPr>
        <w:tab/>
      </w:r>
      <w:r>
        <w:rPr>
          <w:rFonts w:ascii="Courier New" w:cs="Courier New" w:eastAsia="Courier New" w:hAnsi="Courier New"/>
          <w:sz w:val="14"/>
          <w:szCs w:val="14"/>
          <w:color w:val="auto"/>
        </w:rPr>
        <w:t>55413</w:t>
      </w:r>
    </w:p>
    <w:p>
      <w:pPr>
        <w:sectPr>
          <w:pgSz w:w="11900" w:h="16838" w:orient="portrait"/>
          <w:cols w:equalWidth="0" w:num="1">
            <w:col w:w="10239"/>
          </w:cols>
          <w:pgMar w:left="220" w:top="727"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440"/>
        <w:spacing w:after="0"/>
        <w:tabs>
          <w:tab w:leader="none" w:pos="498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(612) 331-6910</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right="4639"/>
        <w:spacing w:after="0" w:line="255" w:lineRule="auto"/>
        <w:rPr>
          <w:sz w:val="20"/>
          <w:szCs w:val="20"/>
          <w:color w:val="auto"/>
        </w:rPr>
      </w:pPr>
      <w:r>
        <w:rPr>
          <w:rFonts w:ascii="Courier New" w:cs="Courier New" w:eastAsia="Courier New" w:hAnsi="Courier New"/>
          <w:sz w:val="14"/>
          <w:szCs w:val="14"/>
          <w:color w:val="auto"/>
        </w:rPr>
        <w:t>Securities registered pursuant to Section 12(b) of the Act: NONE Securities registered pursuant to Section 12(g) of the Act:</w:t>
      </w:r>
    </w:p>
    <w:p>
      <w:pPr>
        <w:spacing w:after="0" w:line="160"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Common Stock, Par Value $.05 per share</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(Title of Class)</w:t>
      </w:r>
    </w:p>
    <w:p>
      <w:pPr>
        <w:spacing w:after="0" w:line="173"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p>
      <w:pPr>
        <w:spacing w:after="0" w:line="7" w:lineRule="exact"/>
        <w:rPr>
          <w:sz w:val="24"/>
          <w:szCs w:val="24"/>
          <w:color w:val="auto"/>
        </w:rPr>
      </w:pPr>
    </w:p>
    <w:p>
      <w:pPr>
        <w:spacing w:after="0"/>
        <w:tabs>
          <w:tab w:leader="none" w:pos="3260" w:val="left"/>
          <w:tab w:leader="none" w:pos="3780" w:val="left"/>
          <w:tab w:leader="none" w:pos="4640" w:val="left"/>
        </w:tabs>
        <w:rPr>
          <w:sz w:val="20"/>
          <w:szCs w:val="20"/>
          <w:color w:val="auto"/>
        </w:rPr>
      </w:pPr>
      <w:r>
        <w:rPr>
          <w:rFonts w:ascii="Courier New" w:cs="Courier New" w:eastAsia="Courier New" w:hAnsi="Courier New"/>
          <w:sz w:val="14"/>
          <w:szCs w:val="14"/>
          <w:color w:val="auto"/>
        </w:rPr>
        <w:t>requirements for the past 90 days.</w:t>
      </w:r>
      <w:r>
        <w:rPr>
          <w:sz w:val="20"/>
          <w:szCs w:val="20"/>
          <w:color w:val="auto"/>
        </w:rPr>
        <w:tab/>
      </w: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p>
    <w:p>
      <w:pPr>
        <w:spacing w:after="0" w:line="7" w:lineRule="exact"/>
        <w:rPr>
          <w:sz w:val="24"/>
          <w:szCs w:val="24"/>
          <w:color w:val="auto"/>
        </w:rPr>
      </w:pPr>
    </w:p>
    <w:p>
      <w:pPr>
        <w:ind w:left="3720"/>
        <w:spacing w:after="0"/>
        <w:tabs>
          <w:tab w:leader="none" w:pos="4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w:t>
      </w:r>
    </w:p>
    <w:p>
      <w:pPr>
        <w:spacing w:after="0" w:line="2" w:lineRule="exact"/>
        <w:rPr>
          <w:sz w:val="24"/>
          <w:szCs w:val="24"/>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Form 10-K.</w:t>
      </w:r>
      <w:r>
        <w:rPr>
          <w:sz w:val="20"/>
          <w:szCs w:val="20"/>
          <w:color w:val="auto"/>
        </w:rPr>
        <w:tab/>
      </w:r>
      <w:r>
        <w:rPr>
          <w:rFonts w:ascii="Courier New" w:cs="Courier New" w:eastAsia="Courier New" w:hAnsi="Courier New"/>
          <w:sz w:val="13"/>
          <w:szCs w:val="13"/>
          <w:color w:val="auto"/>
        </w:rPr>
        <w:t>X</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on November 30, 1996, was $50,280,041. For purposes of this calculation, all shares held by officers and directors of the Registrant and by the Trustees of the Registrant's Employee Stock Ownership Plan and Money Purchase Pension Plan were deemed to be shares held by affiliates.</w:t>
      </w:r>
    </w:p>
    <w:p>
      <w:pPr>
        <w:spacing w:after="0" w:line="165" w:lineRule="exact"/>
        <w:rPr>
          <w:sz w:val="24"/>
          <w:szCs w:val="24"/>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number of shares outstanding of the Registrant's only class of common stock on November 30, 1996, was 11,051,690.</w:t>
      </w:r>
    </w:p>
    <w:p>
      <w:pPr>
        <w:spacing w:after="0" w:line="160"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THE EXHIBIT INDEX IS LOCATED AT PAGE 15.</w:t>
      </w:r>
    </w:p>
    <w:p>
      <w:pPr>
        <w:sectPr>
          <w:pgSz w:w="11900" w:h="16838" w:orient="portrait"/>
          <w:cols w:equalWidth="0" w:num="1">
            <w:col w:w="10239"/>
          </w:cols>
          <w:pgMar w:left="220" w:top="727" w:right="1440" w:bottom="1440" w:gutter="0" w:footer="0" w:header="0"/>
          <w:type w:val="continuous"/>
        </w:sectPr>
      </w:pPr>
    </w:p>
    <w:bookmarkStart w:id="1" w:name="page2"/>
    <w:bookmarkEnd w:id="1"/>
    <w:p>
      <w:pPr>
        <w:ind w:left="216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following portions of the Registrant's Annual Report to Shareholders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year ended September 29, 1996 (which portions are filed as an exhibit to this Form 10-K in accordance with Item 601(b)(13)(ii) of Regulation S-K) and Proxy Statement for the 1997 Annual Meeting of Shareholders (to be filed with the Commission by January 7, 1997) are incorporated by the reference below as the Item of this Form l0-K indicated.</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of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hanging="352"/>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II, Item 5.</w:t>
      </w:r>
    </w:p>
    <w:p>
      <w:pPr>
        <w:spacing w:after="0" w:line="7" w:lineRule="exact"/>
        <w:rPr>
          <w:rFonts w:ascii="Courier New" w:cs="Courier New" w:eastAsia="Courier New" w:hAnsi="Courier New"/>
          <w:sz w:val="14"/>
          <w:szCs w:val="14"/>
          <w:color w:val="auto"/>
        </w:rPr>
      </w:pPr>
    </w:p>
    <w:p>
      <w:pPr>
        <w:jc w:val="both"/>
        <w:ind w:left="3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Market for Registrant's Common Equity and Related Stockholder Matters.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Portion of Annual Report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779" w:hanging="432"/>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caption entitled "Quarterly Stock Data."</w:t>
      </w:r>
    </w:p>
    <w:p>
      <w:pPr>
        <w:spacing w:after="0" w:line="491" w:lineRule="exact"/>
        <w:rPr>
          <w:sz w:val="20"/>
          <w:szCs w:val="20"/>
          <w:color w:val="auto"/>
        </w:rPr>
      </w:pPr>
    </w:p>
    <w:p>
      <w:pPr>
        <w:sectPr>
          <w:pgSz w:w="11900" w:h="16838" w:orient="portrait"/>
          <w:cols w:equalWidth="0" w:num="2">
            <w:col w:w="2940" w:space="420"/>
            <w:col w:w="6879"/>
          </w:cols>
          <w:pgMar w:left="220" w:top="616"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Part II, Item 6.</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2.</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See caption</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entitled "Selected</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Selected Financial Data.</w:t>
            </w: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Financial Data."</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3.</w:t>
            </w: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Part II, Item 7.</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3.</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See caption</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entitled "Management's</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Management's Discussion and</w:t>
            </w: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Discussion and Analysis of Results</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Analysis of Financial Condition</w:t>
            </w: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Operations and Financial</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and Results of Operations</w:t>
            </w:r>
          </w:p>
        </w:tc>
        <w:tc>
          <w:tcPr>
            <w:tcW w:w="34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Condition."</w:t>
            </w:r>
          </w:p>
        </w:tc>
        <w:tc>
          <w:tcPr>
            <w:tcW w:w="2040" w:type="dxa"/>
            <w:vAlign w:val="bottom"/>
          </w:tcPr>
          <w:p>
            <w:pPr>
              <w:spacing w:after="0"/>
              <w:rPr>
                <w:sz w:val="14"/>
                <w:szCs w:val="14"/>
                <w:color w:val="auto"/>
              </w:rPr>
            </w:pP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Part II, Item 8.</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4.</w:t>
            </w: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See Consolidated Balance Sheets,</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Financial Statements and</w:t>
            </w: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Statements of Income &amp; Retained</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Supplementary Data.</w:t>
            </w: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Earnings, Statements of Cash Flows,</w:t>
            </w:r>
          </w:p>
        </w:tc>
      </w:tr>
      <w:tr>
        <w:trPr>
          <w:trHeight w:val="166"/>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Independent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Auditors' Report, and</w:t>
            </w:r>
          </w:p>
        </w:tc>
      </w:tr>
      <w:tr>
        <w:trPr>
          <w:trHeight w:val="166"/>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Notes to Consolidated Financial</w:t>
            </w:r>
          </w:p>
        </w:tc>
      </w:tr>
      <w:tr>
        <w:trPr>
          <w:trHeight w:val="166"/>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Statements.</w:t>
            </w:r>
          </w:p>
        </w:tc>
        <w:tc>
          <w:tcPr>
            <w:tcW w:w="204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Portion of Proxy</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Statement</w:t>
            </w:r>
          </w:p>
        </w:tc>
      </w:tr>
      <w:tr>
        <w:trPr>
          <w:trHeight w:val="166"/>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6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Part III, Item 10.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5.</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See caption</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entitled</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Directors and Executive</w:t>
            </w: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"Election of Directors."</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Officers of the Registrant.</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6.</w:t>
            </w: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Part III, Item 11.</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6.</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See caption</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entitled</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Executive Compensation.</w:t>
            </w: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"Compensation of Execu-</w:t>
            </w:r>
          </w:p>
        </w:tc>
      </w:tr>
      <w:tr>
        <w:trPr>
          <w:trHeight w:val="166"/>
        </w:trPr>
        <w:tc>
          <w:tcPr>
            <w:tcW w:w="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tive Officers and Directors."</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7.</w:t>
            </w: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Part III, Item 12.</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7.</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See caption</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entitled</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Security Ownership of</w:t>
            </w: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"Security Ownership of</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Certain Beneficial Owners</w:t>
            </w:r>
          </w:p>
        </w:tc>
        <w:tc>
          <w:tcPr>
            <w:tcW w:w="34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Management and Beneficial</w:t>
            </w:r>
          </w:p>
        </w:tc>
      </w:tr>
      <w:tr>
        <w:trPr>
          <w:trHeight w:val="166"/>
        </w:trPr>
        <w:tc>
          <w:tcPr>
            <w:tcW w:w="26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Courier New" w:cs="Courier New" w:eastAsia="Courier New" w:hAnsi="Courier New"/>
                <w:sz w:val="14"/>
                <w:szCs w:val="14"/>
                <w:color w:val="auto"/>
              </w:rPr>
              <w:t>and Management.</w:t>
            </w:r>
          </w:p>
        </w:tc>
        <w:tc>
          <w:tcPr>
            <w:tcW w:w="34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Ownership."</w:t>
            </w:r>
          </w:p>
        </w:tc>
        <w:tc>
          <w:tcPr>
            <w:tcW w:w="2040" w:type="dxa"/>
            <w:vAlign w:val="bottom"/>
          </w:tcPr>
          <w:p>
            <w:pPr>
              <w:spacing w:after="0"/>
              <w:rPr>
                <w:sz w:val="14"/>
                <w:szCs w:val="14"/>
                <w:color w:val="auto"/>
              </w:rPr>
            </w:pPr>
          </w:p>
        </w:tc>
      </w:tr>
      <w:tr>
        <w:trPr>
          <w:trHeight w:val="497"/>
        </w:trPr>
        <w:tc>
          <w:tcPr>
            <w:tcW w:w="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2" w:name="page3"/>
    <w:bookmarkEnd w:id="2"/>
    <w:p>
      <w:pPr>
        <w:spacing w:after="0"/>
        <w:tabs>
          <w:tab w:leader="none" w:pos="340" w:val="left"/>
        </w:tabs>
        <w:rPr>
          <w:sz w:val="20"/>
          <w:szCs w:val="20"/>
          <w:color w:val="auto"/>
        </w:rPr>
      </w:pPr>
      <w:r>
        <w:rPr>
          <w:rFonts w:ascii="Courier New" w:cs="Courier New" w:eastAsia="Courier New" w:hAnsi="Courier New"/>
          <w:sz w:val="14"/>
          <w:szCs w:val="14"/>
          <w:color w:val="auto"/>
        </w:rPr>
        <w:t>8.</w:t>
        <w:tab/>
        <w:t>Part III, Item 13.</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Certain Relationships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and Related Transactions.</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See captions entitled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"Election of Directors"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"Related Party Transactions."</w:t>
      </w:r>
    </w:p>
    <w:p>
      <w:pPr>
        <w:spacing w:after="0" w:line="173" w:lineRule="exact"/>
        <w:rPr>
          <w:sz w:val="20"/>
          <w:szCs w:val="20"/>
          <w:color w:val="auto"/>
        </w:rPr>
      </w:pPr>
    </w:p>
    <w:p>
      <w:pPr>
        <w:sectPr>
          <w:pgSz w:w="11900" w:h="16838" w:orient="portrait"/>
          <w:cols w:equalWidth="0" w:num="2">
            <w:col w:w="2640" w:space="720"/>
            <w:col w:w="6879"/>
          </w:cols>
          <w:pgMar w:left="220" w:top="616" w:right="1440" w:bottom="1440" w:gutter="0" w:footer="0" w:header="0"/>
        </w:sectPr>
      </w:pPr>
    </w:p>
    <w:p>
      <w:pPr>
        <w:ind w:left="3460"/>
        <w:spacing w:after="0"/>
        <w:rPr>
          <w:sz w:val="20"/>
          <w:szCs w:val="20"/>
          <w:color w:val="auto"/>
        </w:rPr>
      </w:pPr>
      <w:r>
        <w:rPr>
          <w:rFonts w:ascii="Courier New" w:cs="Courier New" w:eastAsia="Courier New" w:hAnsi="Courier New"/>
          <w:sz w:val="14"/>
          <w:szCs w:val="14"/>
          <w:color w:val="auto"/>
        </w:rPr>
        <w:t>PART I</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339" w:firstLine="353"/>
        <w:spacing w:after="0" w:line="251" w:lineRule="auto"/>
        <w:tabs>
          <w:tab w:leader="none" w:pos="77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DEVELOPMENT OF THE BUSINESS. The Registrant was incorporated under the laws of the State of Minnesota in 1955. In the past year the Registrant has not changed its form of organization or mode of conducting business and has not acquired or disposed of any material amount of assets other than in the ordinary course of business.</w:t>
      </w:r>
    </w:p>
    <w:p>
      <w:pPr>
        <w:spacing w:after="0" w:line="164"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INDUSTRY SEGMENTS.  Because the business</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of the Registrant is conducted in only one industry segment, no breakdown of revenue, operating profit, or assets attributable to industry segments is presented.</w:t>
      </w:r>
    </w:p>
    <w:p>
      <w:pPr>
        <w:spacing w:after="0" w:line="163" w:lineRule="exact"/>
        <w:rPr>
          <w:sz w:val="20"/>
          <w:szCs w:val="20"/>
          <w:color w:val="auto"/>
        </w:rPr>
      </w:pPr>
    </w:p>
    <w:p>
      <w:pPr>
        <w:ind w:left="780" w:hanging="427"/>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NARRATIVE DESCRIPTION OF THE BUSINESS.</w:t>
      </w:r>
    </w:p>
    <w:p>
      <w:pPr>
        <w:spacing w:after="0" w:line="173" w:lineRule="exact"/>
        <w:rPr>
          <w:sz w:val="20"/>
          <w:szCs w:val="20"/>
          <w:color w:val="auto"/>
        </w:rPr>
      </w:pPr>
    </w:p>
    <w:p>
      <w:pPr>
        <w:ind w:right="3779" w:firstLine="353"/>
        <w:spacing w:after="0" w:line="252" w:lineRule="auto"/>
        <w:tabs>
          <w:tab w:leader="none" w:pos="77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AND MARKETS. The Registrant's business is conducted throughout the nine-state area of Minnesota, Wisconsin, Iowa, North Dakota, South Dakota, Montana, Nebraska, Michigan and Wyoming, through its four subsidiaries and four divisions described below:</w:t>
      </w:r>
    </w:p>
    <w:p>
      <w:pPr>
        <w:spacing w:after="0" w:line="162" w:lineRule="exact"/>
        <w:rPr>
          <w:rFonts w:ascii="Courier New" w:cs="Courier New" w:eastAsia="Courier New" w:hAnsi="Courier New"/>
          <w:sz w:val="14"/>
          <w:szCs w:val="14"/>
          <w:color w:val="auto"/>
        </w:rPr>
      </w:pPr>
    </w:p>
    <w:p>
      <w:pPr>
        <w:ind w:left="360" w:right="3519" w:firstLine="424"/>
        <w:spacing w:after="0" w:line="251" w:lineRule="auto"/>
        <w:tabs>
          <w:tab w:leader="none" w:pos="1221"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LYNDE COMPANY. This wholly owned subsidiary is a compounder and distributor of chemicals for swimming pool maintenance. Sales for Lynde to its range of commercial, industrial and municipal customers are handled by the Registrant's Sales Division (discussed below). Lynde's territory covers the nine-state area discussed above.</w:t>
      </w:r>
    </w:p>
    <w:p>
      <w:pPr>
        <w:spacing w:after="0" w:line="164" w:lineRule="exact"/>
        <w:rPr>
          <w:rFonts w:ascii="Courier New" w:cs="Courier New" w:eastAsia="Courier New" w:hAnsi="Courier New"/>
          <w:sz w:val="14"/>
          <w:szCs w:val="14"/>
          <w:color w:val="auto"/>
        </w:rPr>
      </w:pPr>
    </w:p>
    <w:p>
      <w:pPr>
        <w:ind w:left="360" w:right="3419" w:firstLine="424"/>
        <w:spacing w:after="0" w:line="252" w:lineRule="auto"/>
        <w:tabs>
          <w:tab w:leader="none" w:pos="1221"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FEED-RITE CONTROLS, INC. This wholly owned subsidiary specializes in providing water and waste-water treatment equipment and chemicals and in testing water samples in Minnesota, Wisconsin, Iowa, North Dakota, South Dakota and Nebraska.</w:t>
      </w:r>
    </w:p>
    <w:p>
      <w:pPr>
        <w:spacing w:after="0" w:line="162" w:lineRule="exact"/>
        <w:rPr>
          <w:rFonts w:ascii="Courier New" w:cs="Courier New" w:eastAsia="Courier New" w:hAnsi="Courier New"/>
          <w:sz w:val="14"/>
          <w:szCs w:val="14"/>
          <w:color w:val="auto"/>
        </w:rPr>
      </w:pPr>
    </w:p>
    <w:p>
      <w:pPr>
        <w:ind w:left="360" w:right="3779" w:firstLine="424"/>
        <w:spacing w:after="0" w:line="252" w:lineRule="auto"/>
        <w:tabs>
          <w:tab w:leader="none" w:pos="1221"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MON-DAK CHEMICAL, INC. This wholly owned subsidiary is a regional distributor of the Registrant's products and of laundry, dry cleaning, and janitorial supplies in Montana, Wyoming, and the Dakotas.</w:t>
      </w:r>
    </w:p>
    <w:p>
      <w:pPr>
        <w:spacing w:after="0" w:line="162" w:lineRule="exact"/>
        <w:rPr>
          <w:rFonts w:ascii="Courier New" w:cs="Courier New" w:eastAsia="Courier New" w:hAnsi="Courier New"/>
          <w:sz w:val="14"/>
          <w:szCs w:val="14"/>
          <w:color w:val="auto"/>
        </w:rPr>
      </w:pPr>
    </w:p>
    <w:p>
      <w:pPr>
        <w:ind w:left="360" w:right="3779" w:firstLine="424"/>
        <w:spacing w:after="0" w:line="252" w:lineRule="auto"/>
        <w:tabs>
          <w:tab w:leader="none" w:pos="1221"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DAKOTA CHEMICAL, INC. This wholly owned subsidiary also is a regional distributor of the Registrant's products, including water and waste-water treatment equipment and chemicals, in Iowa, Minnesota, Nebraska, and the Dakotas.</w:t>
      </w:r>
    </w:p>
    <w:p>
      <w:pPr>
        <w:spacing w:after="0" w:line="162" w:lineRule="exact"/>
        <w:rPr>
          <w:rFonts w:ascii="Courier New" w:cs="Courier New" w:eastAsia="Courier New" w:hAnsi="Courier New"/>
          <w:sz w:val="14"/>
          <w:szCs w:val="14"/>
          <w:color w:val="auto"/>
        </w:rPr>
      </w:pPr>
    </w:p>
    <w:p>
      <w:pPr>
        <w:ind w:left="360" w:right="3679" w:firstLine="424"/>
        <w:spacing w:after="0" w:line="252" w:lineRule="auto"/>
        <w:tabs>
          <w:tab w:leader="none" w:pos="1221"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HAWKINS TERMINAL DIVISION. This division receives, stores and distributes various chemicals in bulk, including liquid caustic soda, phosphoric acid and aqua ammonia; manufactures sodium hypochlorite (bleach); repackages liquid chlorine; and performs custom</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ind w:left="360" w:right="3419"/>
        <w:spacing w:after="0" w:line="251" w:lineRule="auto"/>
        <w:rPr>
          <w:sz w:val="20"/>
          <w:szCs w:val="20"/>
          <w:color w:val="auto"/>
        </w:rPr>
      </w:pPr>
      <w:r>
        <w:rPr>
          <w:rFonts w:ascii="Courier New" w:cs="Courier New" w:eastAsia="Courier New" w:hAnsi="Courier New"/>
          <w:sz w:val="14"/>
          <w:szCs w:val="14"/>
          <w:color w:val="auto"/>
        </w:rPr>
        <w:t>blending of certain chemicals for customers according to customer formulas. Approximately 80% of the business of the Hawkins Terminal Division is related to liquid caustic soda. Hawkins Terminal Division operates a liquid caustic soda barge terminal to receive shipments during the period the Mississippi River is open to barge traffic (approximately March 1 through December 1). During the remainder of the year, the Division relies on stockpiles, as well as supplies shipped in by railroad tank car. Pursuant to operating agreements it has with other chemical companies, the Registrant also receives, stores and ships liquid caustic soda and other chemicals at both the Hawkins Terminal 1 location and the Terminal 2 site which is located across the river and downstream from Terminal 1.</w:t>
      </w:r>
    </w:p>
    <w:p>
      <w:pPr>
        <w:spacing w:after="0" w:line="163" w:lineRule="exact"/>
        <w:rPr>
          <w:sz w:val="20"/>
          <w:szCs w:val="20"/>
          <w:color w:val="auto"/>
        </w:rPr>
      </w:pPr>
    </w:p>
    <w:p>
      <w:pPr>
        <w:ind w:left="360" w:right="3419" w:firstLine="431"/>
        <w:spacing w:after="0" w:line="251" w:lineRule="auto"/>
        <w:rPr>
          <w:sz w:val="20"/>
          <w:szCs w:val="20"/>
          <w:color w:val="auto"/>
        </w:rPr>
      </w:pPr>
      <w:r>
        <w:rPr>
          <w:rFonts w:ascii="Courier New" w:cs="Courier New" w:eastAsia="Courier New" w:hAnsi="Courier New"/>
          <w:sz w:val="14"/>
          <w:szCs w:val="14"/>
          <w:color w:val="auto"/>
        </w:rPr>
        <w:t>Since 1963, flooding of the Mississippi River has required the Hawkins Terminal Division to temporarily shift its operations out of its buildings twice. No substantial interruptions to sales resulted from the floods because railroad tank cars have been successfully used as an alternative means of supply. Although the use of tank cars has resulted in additional costs, results of operations have not been materially impacted. No assurance can be given that flooding will not reoccur or that there will not be substantial damage or interruption to the business of the Registrant's Hawkins Terminal Division in the future.</w:t>
      </w:r>
    </w:p>
    <w:p>
      <w:pPr>
        <w:spacing w:after="0" w:line="164" w:lineRule="exact"/>
        <w:rPr>
          <w:sz w:val="20"/>
          <w:szCs w:val="20"/>
          <w:color w:val="auto"/>
        </w:rPr>
      </w:pPr>
    </w:p>
    <w:p>
      <w:pPr>
        <w:ind w:left="360" w:right="3599" w:firstLine="424"/>
        <w:spacing w:after="0" w:line="252" w:lineRule="auto"/>
        <w:tabs>
          <w:tab w:leader="none" w:pos="1221"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ARROWHEAD CHEMICAL DIVISION. This division distributes industrial chemicals, water and waste-water treatment equipment and chemicals, and laundry, dry cleaning, and janitorial supplies in northern Minnesota, northern Wisconsin, and the upper peninsula of Michigan.</w:t>
      </w:r>
    </w:p>
    <w:p>
      <w:pPr>
        <w:spacing w:after="0" w:line="162" w:lineRule="exact"/>
        <w:rPr>
          <w:rFonts w:ascii="Courier New" w:cs="Courier New" w:eastAsia="Courier New" w:hAnsi="Courier New"/>
          <w:sz w:val="14"/>
          <w:szCs w:val="14"/>
          <w:color w:val="auto"/>
        </w:rPr>
      </w:pPr>
    </w:p>
    <w:p>
      <w:pPr>
        <w:ind w:left="360" w:right="3419" w:firstLine="424"/>
        <w:spacing w:after="0" w:line="251" w:lineRule="auto"/>
        <w:tabs>
          <w:tab w:leader="none" w:pos="1221"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INDUSTRIAL CHEMICAL AND EQUIPMENT DIVISION. This division was created in October 1993 when the Registrant acquired the assets of Industrial Chemical &amp; Equipment Co. It specializes in sales to the plating and electronic industries, and relies on a specially trained sales staff which works directly with customers on their plating and other processes. John H. Michel, the former President of Industrial Chemical &amp; Equipment Co. manages this division.</w:t>
      </w:r>
    </w:p>
    <w:p>
      <w:pPr>
        <w:spacing w:after="0" w:line="164" w:lineRule="exact"/>
        <w:rPr>
          <w:rFonts w:ascii="Courier New" w:cs="Courier New" w:eastAsia="Courier New" w:hAnsi="Courier New"/>
          <w:sz w:val="14"/>
          <w:szCs w:val="14"/>
          <w:color w:val="auto"/>
        </w:rPr>
      </w:pPr>
    </w:p>
    <w:p>
      <w:pPr>
        <w:ind w:left="360" w:right="3419" w:firstLine="424"/>
        <w:spacing w:after="0" w:line="251" w:lineRule="auto"/>
        <w:tabs>
          <w:tab w:leader="none" w:pos="1221"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DIVISION. In addition to handling sales for The Lynde Company and the Hawkins Terminal Division, the Sales Division is a sales distribution center for industrial chemicals, laboratory chemicals and laboratory supplies. Bulk industrial chemicals are generally repackaged and sold in smaller quantities to the Registrant's customers. Sales are concentrated primarily in western Wisconsin, Minnesota, northern Iowa and North and South Dakota. Among the principal chemicals handled by the Sales Division are water purification and pollution control chemicals (such as chlorine) and industrial chemicals (such as anhydrous ammonia, aluminum sulphate, hydrofluosilicic acid, soda ash, phosphates, muriatic acid, aqua ammonia, sulfuric acid and liquid caustic soda).</w:t>
      </w:r>
    </w:p>
    <w:p>
      <w:pPr>
        <w:spacing w:after="0" w:line="328" w:lineRule="exact"/>
        <w:rPr>
          <w:rFonts w:ascii="Courier New" w:cs="Courier New" w:eastAsia="Courier New" w:hAnsi="Courier New"/>
          <w:sz w:val="14"/>
          <w:szCs w:val="14"/>
          <w:color w:val="auto"/>
        </w:rPr>
      </w:pPr>
    </w:p>
    <w:p>
      <w:pPr>
        <w:ind w:left="860" w:hanging="507"/>
        <w:spacing w:after="0"/>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NEW PRODUCTS.  The Registrant began shipping its</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Cheese-Phos-Registered Trademark- product (discussed below) in late calendar 1995. Sales of this product in fiscal 1996 were not material to the Registrant's results of operations for the period.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right="3339" w:firstLine="353"/>
        <w:spacing w:after="0" w:line="251" w:lineRule="auto"/>
        <w:tabs>
          <w:tab w:leader="none" w:pos="9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RAW MATERIALS. The Registrant has approximately 450 suppliers, including many of the major chemical producers in the United States, of which approximately 20 account for a majority of the purchases made by the Registrant. The Registrant typically has written distributorship agreements or supply contracts with its suppliers that are renewed from time to time. Although there is no assurance that any contract or understanding with any supplier will not be terminated in the foreseeable future, most of the basic chemicals purchased by the Registrant can be obtained from alternative sources should existing relationships be terminated.</w:t>
      </w:r>
    </w:p>
    <w:p>
      <w:pPr>
        <w:spacing w:after="0" w:line="163" w:lineRule="exact"/>
        <w:rPr>
          <w:rFonts w:ascii="Courier New" w:cs="Courier New" w:eastAsia="Courier New" w:hAnsi="Courier New"/>
          <w:sz w:val="14"/>
          <w:szCs w:val="14"/>
          <w:color w:val="auto"/>
        </w:rPr>
      </w:pPr>
    </w:p>
    <w:p>
      <w:pPr>
        <w:ind w:left="860" w:hanging="507"/>
        <w:spacing w:after="0"/>
        <w:tabs>
          <w:tab w:leader="none" w:pos="8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PATENTS, TRADEMARKS, LICENSES, FRANCHISES, AND CONCESSIONS.  There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are no patents, trademarks, licenses, franchises or concessions that are currently material to the successful operation of the Registrant's business. The Registrant has, however, obtained a patent on a liquid form of sodium phosphate for use in the processed food industry, as described below; the patent was granted on October 17, 1995, and will expire on November 8, 2013.</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Process Cheese producers are increasingly moving away from dry forms of sodium ortho phosphates to liquid versions. The advantages of the liquid form include delivery by pumping, greater measurement accuracy and consistency in finished product, and the elimination of undissolved chemical, dust, and the disposal of empty chemical bags. The major drawback of the liquid sodium phosphates currently being used in the cheese processing industry, however, is that they must be stored at between 130 and 160 degrees Fahrenheit to prevent crystallization. Expensive heat storage and steam heated piping is necessary to maintain required temperatures. Back-up generators must also be installed as safeguards against product cooling and solidifying in case of a plant power outage.</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Registrant's patented Cheese-Phos-Registered Trademark- liquid sodium phosphate, which can be stored at room temperature, offers all the advantages of a liquid sodium phosphate product, but eliminates the need for high-heat delivery systems. Although it is not currently possible to project the effect of Cheese-Phos-Registered Trademark- on the Registrant's results of operations for future periods, this product could add materially to the Registrant's revenues and profits.</w:t>
      </w:r>
    </w:p>
    <w:p>
      <w:pPr>
        <w:spacing w:after="0" w:line="164" w:lineRule="exact"/>
        <w:rPr>
          <w:sz w:val="20"/>
          <w:szCs w:val="20"/>
          <w:color w:val="auto"/>
        </w:rPr>
      </w:pPr>
    </w:p>
    <w:p>
      <w:pPr>
        <w:ind w:right="3419" w:firstLine="353"/>
        <w:spacing w:after="0" w:line="252" w:lineRule="auto"/>
        <w:tabs>
          <w:tab w:leader="none" w:pos="77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SEASONAL ASPECTS. The sale of water treatment chemicals used in swimming pools and municipal water treatment facilities tends to reach a higher level during the summer months, which are part of the Registrant's third and fourth fiscal quarters.</w:t>
      </w:r>
    </w:p>
    <w:p>
      <w:pPr>
        <w:spacing w:after="0" w:line="162" w:lineRule="exact"/>
        <w:rPr>
          <w:rFonts w:ascii="Courier New" w:cs="Courier New" w:eastAsia="Courier New" w:hAnsi="Courier New"/>
          <w:sz w:val="14"/>
          <w:szCs w:val="14"/>
          <w:color w:val="auto"/>
        </w:rPr>
      </w:pPr>
    </w:p>
    <w:p>
      <w:pPr>
        <w:ind w:right="3519" w:firstLine="353"/>
        <w:spacing w:after="0" w:line="250" w:lineRule="auto"/>
        <w:tabs>
          <w:tab w:leader="none" w:pos="86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WORKING CAPITAL ITEMS. As a bulk distributor of chemicals, the Registrant is required to carry significant amounts of inventory to meet rapid delivery requirements of customers.</w:t>
      </w:r>
    </w:p>
    <w:p>
      <w:pPr>
        <w:spacing w:after="0" w:line="1" w:lineRule="exact"/>
        <w:rPr>
          <w:rFonts w:ascii="Courier New" w:cs="Courier New" w:eastAsia="Courier New" w:hAnsi="Courier New"/>
          <w:sz w:val="14"/>
          <w:szCs w:val="14"/>
          <w:color w:val="auto"/>
        </w:rPr>
      </w:pPr>
    </w:p>
    <w:p>
      <w:pPr>
        <w:ind w:right="40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Working capital requirements vary on a seasonal basis as a result of the seasonality of the water treatment chemical business.</w:t>
      </w:r>
    </w:p>
    <w:p>
      <w:pPr>
        <w:spacing w:after="0" w:line="159" w:lineRule="exact"/>
        <w:rPr>
          <w:rFonts w:ascii="Courier New" w:cs="Courier New" w:eastAsia="Courier New" w:hAnsi="Courier New"/>
          <w:sz w:val="14"/>
          <w:szCs w:val="14"/>
          <w:color w:val="auto"/>
        </w:rPr>
      </w:pPr>
    </w:p>
    <w:p>
      <w:pPr>
        <w:ind w:right="3339" w:firstLine="353"/>
        <w:spacing w:after="0" w:line="252" w:lineRule="auto"/>
        <w:tabs>
          <w:tab w:leader="none" w:pos="94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DEPENDENCE ON LIMITED NUMBER OF CUSTOMERS. No one customer represents more than approximately 4% of the Registrant's sales, but the loss of the four largest customers could have a material adverse effect on the Registrant's results of operations.</w:t>
      </w:r>
    </w:p>
    <w:p>
      <w:pPr>
        <w:spacing w:after="0" w:line="162" w:lineRule="exact"/>
        <w:rPr>
          <w:rFonts w:ascii="Courier New" w:cs="Courier New" w:eastAsia="Courier New" w:hAnsi="Courier New"/>
          <w:sz w:val="14"/>
          <w:szCs w:val="14"/>
          <w:color w:val="auto"/>
        </w:rPr>
      </w:pPr>
    </w:p>
    <w:p>
      <w:pPr>
        <w:ind w:right="4019" w:firstLine="353"/>
        <w:spacing w:after="0" w:line="255" w:lineRule="auto"/>
        <w:tabs>
          <w:tab w:leader="none" w:pos="10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BACKLOG. Backlog is not material to an understanding of the Registrant's business.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right="3599" w:firstLine="353"/>
        <w:spacing w:after="0" w:line="252" w:lineRule="auto"/>
        <w:tabs>
          <w:tab w:leader="none" w:pos="86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CONTRACTS. No material portion of Registrant's business is subject to renegotiation of profits or termination of contracts at the election of any state or federal governmental subdivision or agency.</w:t>
      </w:r>
    </w:p>
    <w:p>
      <w:pPr>
        <w:spacing w:after="0" w:line="162"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CONDITIONS. Registrant operates in a competitive industry and competes with producers, distributors and sales agents offering chemicals equivalent to all of the products handled by the Registrant. Many such producers and distributors have substantially more business and are substantially larger than the Registrant. No one competitor, however, is dominant in Registrant's market. Price and service are the principal methods of competition in the industry.</w:t>
      </w:r>
    </w:p>
    <w:p>
      <w:pPr>
        <w:spacing w:after="0" w:line="164" w:lineRule="exact"/>
        <w:rPr>
          <w:rFonts w:ascii="Courier New" w:cs="Courier New" w:eastAsia="Courier New" w:hAnsi="Courier New"/>
          <w:sz w:val="14"/>
          <w:szCs w:val="14"/>
          <w:color w:val="auto"/>
        </w:rPr>
      </w:pPr>
    </w:p>
    <w:p>
      <w:pPr>
        <w:ind w:right="3419" w:firstLine="353"/>
        <w:spacing w:after="0" w:line="251" w:lineRule="auto"/>
        <w:tabs>
          <w:tab w:leader="none" w:pos="86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Registrant does not have a formal research and development function; employees are assigned to research and development problems as the need arises. During the past fiscal year, expenditures for research and development were negligible and not material to Registrant's business.</w:t>
      </w:r>
    </w:p>
    <w:p>
      <w:pPr>
        <w:spacing w:after="0" w:line="164" w:lineRule="exact"/>
        <w:rPr>
          <w:rFonts w:ascii="Courier New" w:cs="Courier New" w:eastAsia="Courier New" w:hAnsi="Courier New"/>
          <w:sz w:val="14"/>
          <w:szCs w:val="14"/>
          <w:color w:val="auto"/>
        </w:rPr>
      </w:pPr>
    </w:p>
    <w:p>
      <w:pPr>
        <w:ind w:right="3339" w:firstLine="353"/>
        <w:spacing w:after="0" w:line="251" w:lineRule="auto"/>
        <w:tabs>
          <w:tab w:leader="none" w:pos="94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 The Registrant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 upon the capital expenditures, earnings or competitive position of the Registrant. Registrant does not currently anticipate making any material capital expenditures for environmental control facilities during fiscal year 1997.</w:t>
      </w:r>
    </w:p>
    <w:p>
      <w:pPr>
        <w:spacing w:after="0" w:line="163" w:lineRule="exact"/>
        <w:rPr>
          <w:rFonts w:ascii="Courier New" w:cs="Courier New" w:eastAsia="Courier New" w:hAnsi="Courier New"/>
          <w:sz w:val="14"/>
          <w:szCs w:val="14"/>
          <w:color w:val="auto"/>
        </w:rPr>
      </w:pPr>
    </w:p>
    <w:p>
      <w:pPr>
        <w:ind w:left="1040" w:hanging="687"/>
        <w:spacing w:after="0"/>
        <w:tabs>
          <w:tab w:leader="none" w:pos="10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The number of persons employed by the Registrant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subsidiaries as of September 29, 1996 was 145.</w:t>
      </w:r>
    </w:p>
    <w:p>
      <w:pPr>
        <w:spacing w:after="0" w:line="173" w:lineRule="exact"/>
        <w:rPr>
          <w:sz w:val="20"/>
          <w:szCs w:val="20"/>
          <w:color w:val="auto"/>
        </w:rPr>
      </w:pPr>
    </w:p>
    <w:p>
      <w:pPr>
        <w:ind w:right="3419" w:firstLine="353"/>
        <w:spacing w:after="0" w:line="251" w:lineRule="auto"/>
        <w:tabs>
          <w:tab w:leader="none" w:pos="77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FOREIGN AND DOMESTIC OPERATIONS AND EXPORT SALES. Because the Registrant deals in only one geographic area of the United States, no breakdown of revenue, profitability or assets attributable to different geographic areas is meaningful to an understanding of Registrant's business.</w:t>
      </w:r>
    </w:p>
    <w:p>
      <w:pPr>
        <w:spacing w:after="0" w:line="165"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Registrant's principal location consists of approximately seven acres of land in Minneapolis, Minnesota, with five buildings containing a total of 125,000 square feet of office and warehouse space. The Registrant's principal office, out of which the Sales Division operates, is located in one of these buildings, at 3100 East Hennepin Avenue. The other buildings are used by the Registrant and its Lynde and Feed-Rite Controls subsidiaries, and the Industrial Chemical &amp; Equipment division. The Registrant's warehouse facilities in Minneapolis have been retrofitted with sprinklers for fire protection; this process was completed in the second quarter of calendar 1996. The Registrant carries insurance covering the replacement of property damaged by fire or flood.</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Information about the Registrant's other principal facilities is presented below. These facilities, as well as those described above, are adequate and suitable for the purposes they serve. Unless noted, each facility is owned and is fully utilized by the Registrant or one of its subsidiaries.</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Subsidiary</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Approximate</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or Division</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Location</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Primary Use</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Feed-Rite Controls</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Fargo, ND(1)</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Office and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22,800</w:t>
            </w:r>
          </w:p>
        </w:tc>
      </w:tr>
      <w:tr>
        <w:trPr>
          <w:trHeight w:val="166"/>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spacing w:after="0"/>
              <w:rPr>
                <w:sz w:val="14"/>
                <w:szCs w:val="14"/>
                <w:color w:val="auto"/>
              </w:rPr>
            </w:pPr>
          </w:p>
        </w:tc>
      </w:tr>
      <w:tr>
        <w:trPr>
          <w:trHeight w:val="331"/>
        </w:trPr>
        <w:tc>
          <w:tcPr>
            <w:tcW w:w="182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Fond du Lac, WI(2)</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20,300</w:t>
            </w:r>
          </w:p>
        </w:tc>
      </w:tr>
      <w:tr>
        <w:trPr>
          <w:trHeight w:val="331"/>
        </w:trPr>
        <w:tc>
          <w:tcPr>
            <w:tcW w:w="182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Slater, IA</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8,000</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Mon-Dak Chemical</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Washburn, ND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Office and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14,000</w:t>
            </w:r>
          </w:p>
        </w:tc>
      </w:tr>
      <w:tr>
        <w:trPr>
          <w:trHeight w:val="166"/>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spacing w:after="0"/>
              <w:rPr>
                <w:sz w:val="14"/>
                <w:szCs w:val="14"/>
                <w:color w:val="auto"/>
              </w:rPr>
            </w:pPr>
          </w:p>
        </w:tc>
      </w:tr>
      <w:tr>
        <w:trPr>
          <w:trHeight w:val="331"/>
        </w:trPr>
        <w:tc>
          <w:tcPr>
            <w:tcW w:w="182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Billings, MT</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Office and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6,000</w:t>
            </w:r>
          </w:p>
        </w:tc>
      </w:tr>
      <w:tr>
        <w:trPr>
          <w:trHeight w:val="166"/>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spacing w:after="0"/>
              <w:rPr>
                <w:sz w:val="14"/>
                <w:szCs w:val="1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Dakota Chemical</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Aberdeen, SD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8,000</w:t>
            </w:r>
          </w:p>
        </w:tc>
      </w:tr>
      <w:tr>
        <w:trPr>
          <w:trHeight w:val="331"/>
        </w:trPr>
        <w:tc>
          <w:tcPr>
            <w:tcW w:w="182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Sioux Falls, SD(3)</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18,000</w:t>
            </w:r>
          </w:p>
        </w:tc>
      </w:tr>
      <w:tr>
        <w:trPr>
          <w:trHeight w:val="331"/>
        </w:trPr>
        <w:tc>
          <w:tcPr>
            <w:tcW w:w="182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Rapid City, SD</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3,600</w:t>
            </w:r>
          </w:p>
        </w:tc>
      </w:tr>
      <w:tr>
        <w:trPr>
          <w:trHeight w:val="497"/>
        </w:trPr>
        <w:tc>
          <w:tcPr>
            <w:tcW w:w="1820" w:type="dxa"/>
            <w:vAlign w:val="bottom"/>
          </w:tcPr>
          <w:p>
            <w:pPr>
              <w:spacing w:after="0"/>
              <w:rPr>
                <w:sz w:val="20"/>
                <w:szCs w:val="20"/>
                <w:color w:val="auto"/>
              </w:rPr>
            </w:pPr>
            <w:r>
              <w:rPr>
                <w:rFonts w:ascii="Courier New" w:cs="Courier New" w:eastAsia="Courier New" w:hAnsi="Courier New"/>
                <w:sz w:val="14"/>
                <w:szCs w:val="14"/>
                <w:color w:val="auto"/>
              </w:rPr>
              <w:t>Hawkins Terminal</w:t>
            </w:r>
          </w:p>
        </w:tc>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Division</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St. Paul, MN(4)</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Office, Ware-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32,000</w:t>
            </w:r>
          </w:p>
        </w:tc>
      </w:tr>
      <w:tr>
        <w:trPr>
          <w:trHeight w:val="166"/>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house and</w:t>
            </w:r>
          </w:p>
        </w:tc>
        <w:tc>
          <w:tcPr>
            <w:tcW w:w="142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Garage</w:t>
            </w:r>
          </w:p>
        </w:tc>
        <w:tc>
          <w:tcPr>
            <w:tcW w:w="1420" w:type="dxa"/>
            <w:vAlign w:val="bottom"/>
          </w:tcPr>
          <w:p>
            <w:pPr>
              <w:spacing w:after="0"/>
              <w:rPr>
                <w:sz w:val="14"/>
                <w:szCs w:val="1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Arrowhead Chemical</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Superior, WI</w:t>
            </w:r>
          </w:p>
        </w:tc>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Office and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17,000</w:t>
            </w:r>
          </w:p>
        </w:tc>
      </w:tr>
      <w:tr>
        <w:trPr>
          <w:trHeight w:val="166"/>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spacing w:after="0"/>
              <w:rPr>
                <w:sz w:val="14"/>
                <w:szCs w:val="14"/>
                <w:color w:val="auto"/>
              </w:rPr>
            </w:pPr>
          </w:p>
        </w:tc>
      </w:tr>
    </w:tbl>
    <w:p>
      <w:pPr>
        <w:spacing w:after="0" w:line="170"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679" w:firstLine="353"/>
        <w:spacing w:after="0" w:line="255"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facility is occupied by Feed-Rite Controls (17,800 square feet) and leased to a third party (5,000 square feet).</w:t>
      </w:r>
    </w:p>
    <w:p>
      <w:pPr>
        <w:spacing w:after="0" w:line="159" w:lineRule="exact"/>
        <w:rPr>
          <w:rFonts w:ascii="Courier New" w:cs="Courier New" w:eastAsia="Courier New" w:hAnsi="Courier New"/>
          <w:sz w:val="14"/>
          <w:szCs w:val="14"/>
          <w:color w:val="auto"/>
        </w:rPr>
      </w:pPr>
    </w:p>
    <w:p>
      <w:pPr>
        <w:ind w:right="3339" w:firstLine="353"/>
        <w:spacing w:after="0" w:line="252"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space in this building being used by Feed-Rite Controls, 10,000 square feet of space is being leased by the Registrant to third parties.</w:t>
      </w:r>
    </w:p>
    <w:p>
      <w:pPr>
        <w:spacing w:after="0" w:line="162" w:lineRule="exact"/>
        <w:rPr>
          <w:rFonts w:ascii="Courier New" w:cs="Courier New" w:eastAsia="Courier New" w:hAnsi="Courier New"/>
          <w:sz w:val="14"/>
          <w:szCs w:val="14"/>
          <w:color w:val="auto"/>
        </w:rPr>
      </w:pPr>
    </w:p>
    <w:p>
      <w:pPr>
        <w:ind w:right="3519" w:firstLine="353"/>
        <w:spacing w:after="0" w:line="255"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Sioux Falls facility is occupied by Dakota Chemical (12,000 square feet) and leased to a third party (6,000 square feet).</w:t>
      </w:r>
    </w:p>
    <w:p>
      <w:pPr>
        <w:spacing w:after="0" w:line="159" w:lineRule="exact"/>
        <w:rPr>
          <w:rFonts w:ascii="Courier New" w:cs="Courier New" w:eastAsia="Courier New" w:hAnsi="Courier New"/>
          <w:sz w:val="14"/>
          <w:szCs w:val="14"/>
          <w:color w:val="auto"/>
        </w:rPr>
      </w:pPr>
    </w:p>
    <w:p>
      <w:pPr>
        <w:ind w:right="3419" w:firstLine="353"/>
        <w:spacing w:after="0" w:line="251" w:lineRule="auto"/>
        <w:tabs>
          <w:tab w:leader="none" w:pos="689"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Hawkins Terminal Division operation, located at two sites on opposite sides of the Mississippi River, is made up of three buildings, nine outside storage tanks with a total capacity of approximately 8,900,000 gallons for the storage of liquid caustic soda, as well as numerous smaller tanks for storing and mixing chemicals. The land on which the Hawkins Terminal Division buildings and storage tanks are located is leased by the Registrant from the Port Authority of the City</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ind w:right="3339"/>
        <w:spacing w:after="0" w:line="251" w:lineRule="auto"/>
        <w:rPr>
          <w:sz w:val="20"/>
          <w:szCs w:val="20"/>
          <w:color w:val="auto"/>
        </w:rPr>
      </w:pPr>
      <w:r>
        <w:rPr>
          <w:rFonts w:ascii="Courier New" w:cs="Courier New" w:eastAsia="Courier New" w:hAnsi="Courier New"/>
          <w:sz w:val="14"/>
          <w:szCs w:val="14"/>
          <w:color w:val="auto"/>
        </w:rPr>
        <w:t>of St. Paul, Minnesota for a basic rent plus an amount based on the tonnage unloaded at both sites each year. The applicable leases run until December 31, 1998, at which time the Registrant has an option to renew the leases for an additional five-year period on the same terms and conditions. Thereafter, the Registrant has options for three additional successive five-year renewal periods (extending until 2018) for which the rent may be adjusted pursuant to the rental renegotiation provisions contained in the leases.</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On January 1, 1996, the Registrant sold a 52,000 square foot building in</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St. Paul, Minnesota, pursuant to a contract for deed. This office and warehouse facility was formerly used in connection with the operation of Tessman Seed, Inc., a wholly owned subsidiary of the Registrant. Substantially all of the assets of Tessman Seed were sold by the Registrant during fiscal 1995.</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On May 31, 1996, the Registrant acquired a 35,000 square foot building adjacent to its Minneapolis facilities. This facility will be used primarily as warehouse space and will be put into use during the first half of calendar 1997.</w:t>
      </w:r>
    </w:p>
    <w:p>
      <w:pPr>
        <w:spacing w:after="0" w:line="163"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The Registrant and its subsidiaries also own several trucks, tractors, trailers, and vans.</w:t>
      </w:r>
    </w:p>
    <w:p>
      <w:pPr>
        <w:spacing w:after="0" w:line="160"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859" w:firstLine="344"/>
        <w:spacing w:after="0" w:line="251" w:lineRule="auto"/>
        <w:rPr>
          <w:sz w:val="20"/>
          <w:szCs w:val="20"/>
          <w:color w:val="auto"/>
        </w:rPr>
      </w:pPr>
      <w:r>
        <w:rPr>
          <w:rFonts w:ascii="Courier New" w:cs="Courier New" w:eastAsia="Courier New" w:hAnsi="Courier New"/>
          <w:sz w:val="14"/>
          <w:szCs w:val="14"/>
          <w:color w:val="auto"/>
        </w:rPr>
        <w:t>As of the date of this filing, neither the Registrant nor any of its subsidiaries was involved in any pending legal proceeding to which the Registrant or its subsidiaries was a party or of which any property of the Registrant or its subsidiaries was the subject other than ordinary routine litigation incidental to their business, except as follows:</w:t>
      </w:r>
    </w:p>
    <w:p>
      <w:pPr>
        <w:spacing w:after="0" w:line="165" w:lineRule="exact"/>
        <w:rPr>
          <w:sz w:val="20"/>
          <w:szCs w:val="20"/>
          <w:color w:val="auto"/>
        </w:rPr>
      </w:pPr>
    </w:p>
    <w:p>
      <w:pPr>
        <w:ind w:left="360" w:right="3419"/>
        <w:spacing w:after="0" w:line="250" w:lineRule="auto"/>
        <w:rPr>
          <w:sz w:val="20"/>
          <w:szCs w:val="20"/>
          <w:color w:val="auto"/>
        </w:rPr>
      </w:pPr>
      <w:r>
        <w:rPr>
          <w:rFonts w:ascii="Courier New" w:cs="Courier New" w:eastAsia="Courier New" w:hAnsi="Courier New"/>
          <w:sz w:val="14"/>
          <w:szCs w:val="14"/>
          <w:color w:val="auto"/>
        </w:rPr>
        <w:t>LYNDE COMPANY WAREHOUSE FIRE. On March 1, 1995, the Company and its subsidiary The Lynde Company were named as defendants in an action entitled</w:t>
      </w:r>
    </w:p>
    <w:p>
      <w:pPr>
        <w:spacing w:after="0" w:line="1"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DONNA M. COOKSEY, ET AL. V. HAWKINS CHEMICAL, INC. AND THE LYNDE COMPANY. This proceeding is pending in state district court in Hennepin County, Minnesota. The plaintiffs are seeking damages for personal injury, other damages alleged to have been caused by the alleged release of hazardous substances as a result of a fire at an office/warehouse facility used by The Lynde Company and punitive damages. The plaintiffs are also seeking to have the lawsuit certified as a class action. The Company has denied liability and intends to vigorously defend itself and its subsidiary in this matter.</w:t>
      </w:r>
    </w:p>
    <w:p>
      <w:pPr>
        <w:spacing w:after="0" w:line="329" w:lineRule="exact"/>
        <w:rPr>
          <w:sz w:val="20"/>
          <w:szCs w:val="20"/>
          <w:color w:val="auto"/>
        </w:rPr>
      </w:pPr>
    </w:p>
    <w:p>
      <w:pPr>
        <w:ind w:left="360" w:right="3519"/>
        <w:spacing w:after="0" w:line="251" w:lineRule="auto"/>
        <w:rPr>
          <w:sz w:val="20"/>
          <w:szCs w:val="20"/>
          <w:color w:val="auto"/>
        </w:rPr>
      </w:pPr>
      <w:r>
        <w:rPr>
          <w:rFonts w:ascii="Courier New" w:cs="Courier New" w:eastAsia="Courier New" w:hAnsi="Courier New"/>
          <w:sz w:val="14"/>
          <w:szCs w:val="14"/>
          <w:color w:val="auto"/>
        </w:rPr>
        <w:t>Discovery has proceeded in this lawsuit and the plaintiffs have made a motion for certification as a class action. The Company's response to the class certification motion is due in January of 1997. No hearing on the plaintiffs' motion has been scheduled. It is not possible at this time to predict what effect liability imposed upon the Company, if any, will have on the results of operations or financial condition of the Company.</w:t>
      </w:r>
    </w:p>
    <w:p>
      <w:pPr>
        <w:spacing w:after="0" w:line="164"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The Company's primary and umbrella insurers have denied a tender of the defense of the COOKSEY lawsuit and have denied any obligation to indemnify the Company for damages claimed by third parties in connection with the fire. This denial is based on a "Total Pollution Exclusion" which purports to exclude coverage for bodily injury and other losses</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ind w:left="360" w:right="3419"/>
        <w:spacing w:after="0" w:line="251" w:lineRule="auto"/>
        <w:rPr>
          <w:sz w:val="20"/>
          <w:szCs w:val="20"/>
          <w:color w:val="auto"/>
        </w:rPr>
      </w:pPr>
      <w:r>
        <w:rPr>
          <w:rFonts w:ascii="Courier New" w:cs="Courier New" w:eastAsia="Courier New" w:hAnsi="Courier New"/>
          <w:sz w:val="14"/>
          <w:szCs w:val="14"/>
          <w:color w:val="auto"/>
        </w:rPr>
        <w:t>caused by a release of pollutants, even if such release is caused by a hostile, unintended fire. On July 7, 1995, the Company commenced suits against The North River Insurance Company and the Westchester Fire Insurance Company, the primary and umbrella insurers, respectively. These actions were filed in the United States District Court for the District of Minnesota. The suits sought declaratory relief consisting of a finding that the Company has coverage under both the primary and umbrella policies. The defendant insurers filed general denials of the allegations contained in the Company's complaint.</w:t>
      </w:r>
    </w:p>
    <w:p>
      <w:pPr>
        <w:spacing w:after="0" w:line="164" w:lineRule="exact"/>
        <w:rPr>
          <w:sz w:val="20"/>
          <w:szCs w:val="20"/>
          <w:color w:val="auto"/>
        </w:rPr>
      </w:pPr>
    </w:p>
    <w:p>
      <w:pPr>
        <w:ind w:left="360" w:right="3519"/>
        <w:spacing w:after="0" w:line="251" w:lineRule="auto"/>
        <w:rPr>
          <w:sz w:val="20"/>
          <w:szCs w:val="20"/>
          <w:color w:val="auto"/>
        </w:rPr>
      </w:pPr>
      <w:r>
        <w:rPr>
          <w:rFonts w:ascii="Courier New" w:cs="Courier New" w:eastAsia="Courier New" w:hAnsi="Courier New"/>
          <w:sz w:val="14"/>
          <w:szCs w:val="14"/>
          <w:color w:val="auto"/>
        </w:rPr>
        <w:t>The federal magistrate hearing the cases found in favor of the Company on the issue of indemnification with respect to both insurers (North River on June 27, 1996, and Westchester on July 15, 1996). The insurers subsequently moved for review of the magistrate's decision by the District Court, which affirmed the magistrate's decisions in their entirety on October 7, 1996. The insurers have indicated that they intend to appeal the District Court's decision to the Eighth Circuit Court of Appeals. It is not possible, therefore, to determine at this time what recovery, if any, may be obtained by the Company.</w:t>
      </w:r>
    </w:p>
    <w:p>
      <w:pPr>
        <w:spacing w:after="0" w:line="164" w:lineRule="exact"/>
        <w:rPr>
          <w:sz w:val="20"/>
          <w:szCs w:val="20"/>
          <w:color w:val="auto"/>
        </w:rPr>
      </w:pPr>
    </w:p>
    <w:p>
      <w:pPr>
        <w:ind w:left="360" w:right="3519"/>
        <w:spacing w:after="0" w:line="251" w:lineRule="auto"/>
        <w:rPr>
          <w:sz w:val="20"/>
          <w:szCs w:val="20"/>
          <w:color w:val="auto"/>
        </w:rPr>
      </w:pPr>
      <w:r>
        <w:rPr>
          <w:rFonts w:ascii="Courier New" w:cs="Courier New" w:eastAsia="Courier New" w:hAnsi="Courier New"/>
          <w:sz w:val="14"/>
          <w:szCs w:val="14"/>
          <w:color w:val="auto"/>
        </w:rPr>
        <w:t>Because the Company's insurers have denied tender of the defense of the COOKSEY lawsuit, the Company has incurred significant legal fees and expenses in fiscal 1996 and will continue to do so in future periods. The actual legal fees and expenses, and liability or settlement costs, if any, which will ultimately be borne by the Company as a result of the COOKSEY matter are highly dependent on a variety of technical legal issues as well as the ultimate result of the litigation regarding insurance coverage.</w:t>
      </w:r>
    </w:p>
    <w:p>
      <w:pPr>
        <w:spacing w:after="0" w:line="164"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During fiscal 1995, the Company recorded $750,000 to cover its currently expected settlement costs; as of September 29, 1996, the Registrant has paid $626,800 in settlement costs related to the COOKSEY lawsuit. The Registrant estimates, based on facts currently available to its Management, that this reserve will be sufficient to cover the Registrant's probable exposure for settlement costs in connection with the COOKSEY lawsuit. It is possible, however, that future developments may make additional reserves prudent and necessary in future periods.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Registrant became self-insured with respect to products liability claims in December 1985 with the establishment of a $1,000,000 trust fund, found as a separate line item on the balance sheet, to fund this self-insurance program. No claims covered by this program have been made to date. As of October 1, 1989, the Registrant again secured product liability insurance of $1,000,000, although the trust fund is currently in place as an umbrella over this insurance coverage.</w:t>
      </w:r>
    </w:p>
    <w:p>
      <w:pPr>
        <w:spacing w:after="0" w:line="200" w:lineRule="exact"/>
        <w:rPr>
          <w:sz w:val="20"/>
          <w:szCs w:val="20"/>
          <w:color w:val="auto"/>
        </w:rPr>
      </w:pPr>
    </w:p>
    <w:p>
      <w:pPr>
        <w:spacing w:after="0" w:line="296"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No matter was submitted to a vote of security holders during the fourth quarter.</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ind w:left="3360"/>
        <w:spacing w:after="0"/>
        <w:rPr>
          <w:sz w:val="20"/>
          <w:szCs w:val="20"/>
          <w:color w:val="auto"/>
        </w:rPr>
      </w:pPr>
      <w:r>
        <w:rPr>
          <w:rFonts w:ascii="Courier New" w:cs="Courier New" w:eastAsia="Courier New" w:hAnsi="Courier New"/>
          <w:sz w:val="14"/>
          <w:szCs w:val="14"/>
          <w:color w:val="auto"/>
        </w:rPr>
        <w:t>PART II</w:t>
      </w:r>
    </w:p>
    <w:p>
      <w:pPr>
        <w:spacing w:after="0" w:line="3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0"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See the Registrant's Annual Report for the year ended September 29, 1996, referenced on page 2 of this Form 10-K.</w:t>
      </w:r>
    </w:p>
    <w:p>
      <w:pPr>
        <w:spacing w:after="0" w:line="160"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See the Registrant's Annual Report for the year ended September 29, 1996, referenced on page 2 of this Form 10-K.</w:t>
      </w:r>
    </w:p>
    <w:p>
      <w:pPr>
        <w:spacing w:after="0" w:line="160"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See the Registrant's Annual Report for the year ended September 29, 1996, referenced on page 2 of this Form 10-K.</w:t>
      </w:r>
    </w:p>
    <w:p>
      <w:pPr>
        <w:spacing w:after="0" w:line="160"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See the Registrant's Annual Report for the year ended September 29, 1996, referenced on page 2 of this Form 10-K.</w:t>
      </w:r>
    </w:p>
    <w:p>
      <w:pPr>
        <w:spacing w:after="0" w:line="160"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No changes in accountants or disagreements between the Registrant and its accountants regarding accounting principles or financial statement disclosures have occurred during the Registrant's two most recent fiscal years or any subsequent interim period.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PART III</w:t>
      </w:r>
    </w:p>
    <w:p>
      <w:pPr>
        <w:spacing w:after="0" w:line="338"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See the Registrant's Proxy Statement for the 1997 Annual Meeting of Shareholders to be filed with the Commission by January 7, 1997, referenced on page 2 of this Form 10-K.</w:t>
      </w:r>
    </w:p>
    <w:p>
      <w:pPr>
        <w:spacing w:after="0" w:line="163"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See the Registrant's Proxy Statement for the 1997 Annual Meeting of Shareholders to be filed with the Commission by January 7, 1997, referenced on page 2 of this Form 10-K.</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See the Registrant's Proxy Statement for 1997 Annual Meeting of Shareholders to be filed with the Commission by January 7, 1997, referenced on page 2 of this Form 10-K.</w:t>
      </w:r>
    </w:p>
    <w:p>
      <w:pPr>
        <w:spacing w:after="0" w:line="163"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See the Registrant's Proxy Statement for the 1997 Annual Meeting of Shareholders to be filed with the Commission by January 7, 1997, referenced on page 2 of this Form 10-K.</w:t>
      </w:r>
    </w:p>
    <w:p>
      <w:pPr>
        <w:spacing w:after="0" w:line="32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360"/>
        <w:spacing w:after="0"/>
        <w:tabs>
          <w:tab w:leader="none" w:pos="120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3" w:lineRule="exact"/>
        <w:rPr>
          <w:sz w:val="20"/>
          <w:szCs w:val="20"/>
          <w:color w:val="auto"/>
        </w:rPr>
      </w:pPr>
    </w:p>
    <w:p>
      <w:pPr>
        <w:ind w:left="360" w:hanging="352"/>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FINANCIAL STATEMENT SCHEDULES, AND EXHIBITS.</w:t>
      </w:r>
    </w:p>
    <w:p>
      <w:pPr>
        <w:spacing w:after="0" w:line="172" w:lineRule="exact"/>
        <w:rPr>
          <w:rFonts w:ascii="Courier New" w:cs="Courier New" w:eastAsia="Courier New" w:hAnsi="Courier New"/>
          <w:sz w:val="14"/>
          <w:szCs w:val="14"/>
          <w:color w:val="auto"/>
        </w:rPr>
      </w:pPr>
    </w:p>
    <w:p>
      <w:pPr>
        <w:ind w:right="3339" w:firstLine="353"/>
        <w:spacing w:after="0" w:line="252" w:lineRule="auto"/>
        <w:tabs>
          <w:tab w:leader="none" w:pos="775"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consolidated financial statements of Hawkins Chemical, Inc. and subsidiaries, together with the Independent Auditors' Report, found under appropriate headings in the Registrant's 1996 Annual Report to Shareholders, are hereby incorporated by reference in this Annual Report on Form 10-K.</w:t>
      </w:r>
    </w:p>
    <w:p>
      <w:pPr>
        <w:spacing w:after="0" w:line="32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Consolidated Balance Sheets at September 29, 1996 and October 1, 1995</w:t>
      </w:r>
    </w:p>
    <w:p>
      <w:pPr>
        <w:spacing w:after="0" w:line="173" w:lineRule="exact"/>
        <w:rPr>
          <w:sz w:val="20"/>
          <w:szCs w:val="20"/>
          <w:color w:val="auto"/>
        </w:rPr>
      </w:pPr>
    </w:p>
    <w:p>
      <w:pPr>
        <w:ind w:left="360" w:right="3419"/>
        <w:spacing w:after="0" w:line="255" w:lineRule="auto"/>
        <w:rPr>
          <w:sz w:val="20"/>
          <w:szCs w:val="20"/>
          <w:color w:val="auto"/>
        </w:rPr>
      </w:pPr>
      <w:r>
        <w:rPr>
          <w:rFonts w:ascii="Courier New" w:cs="Courier New" w:eastAsia="Courier New" w:hAnsi="Courier New"/>
          <w:sz w:val="14"/>
          <w:szCs w:val="14"/>
          <w:color w:val="auto"/>
        </w:rPr>
        <w:t>Consolidated Statements of Income and Retained Earnings for the Years Ended September 29, 1996, October 1, 1995 and October 2, 1994.</w:t>
      </w:r>
    </w:p>
    <w:p>
      <w:pPr>
        <w:spacing w:after="0" w:line="160" w:lineRule="exact"/>
        <w:rPr>
          <w:sz w:val="20"/>
          <w:szCs w:val="20"/>
          <w:color w:val="auto"/>
        </w:rPr>
      </w:pPr>
    </w:p>
    <w:p>
      <w:pPr>
        <w:ind w:left="360" w:right="3779"/>
        <w:spacing w:after="0" w:line="255" w:lineRule="auto"/>
        <w:rPr>
          <w:sz w:val="20"/>
          <w:szCs w:val="20"/>
          <w:color w:val="auto"/>
        </w:rPr>
      </w:pPr>
      <w:r>
        <w:rPr>
          <w:rFonts w:ascii="Courier New" w:cs="Courier New" w:eastAsia="Courier New" w:hAnsi="Courier New"/>
          <w:sz w:val="14"/>
          <w:szCs w:val="14"/>
          <w:color w:val="auto"/>
        </w:rPr>
        <w:t>Consolidated Statements of Cash Flows for the Years Ended September 29, 1996, October 1, 1995 and October 2, 1994.</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ind w:right="3339" w:firstLine="353"/>
        <w:spacing w:after="0" w:line="251" w:lineRule="auto"/>
        <w:tabs>
          <w:tab w:leader="none" w:pos="77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additional financial data listed below is included as a schedule to this Annual Report on Form 10-K and should be read in conjunction with the consolidated financial statements presented in Part II, Item 8. Schedules not included with this additional financial data have been omitted because they are not required or the required information is included in the financial statements or the notes.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Schedule for the Years Ended September 29, 1996, October 1, 1995 and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October 2, 1994:</w:t>
      </w:r>
    </w:p>
    <w:p>
      <w:pPr>
        <w:spacing w:after="0" w:line="173" w:lineRule="exact"/>
        <w:rPr>
          <w:sz w:val="20"/>
          <w:szCs w:val="20"/>
          <w:color w:val="auto"/>
        </w:rPr>
      </w:pPr>
    </w:p>
    <w:p>
      <w:pPr>
        <w:ind w:left="2080" w:right="5319" w:hanging="1727"/>
        <w:spacing w:after="0" w:line="756" w:lineRule="auto"/>
        <w:tabs>
          <w:tab w:leader="none" w:pos="18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and Qualifying Accounts -11-</w:t>
      </w:r>
    </w:p>
    <w:p>
      <w:pPr>
        <w:sectPr>
          <w:pgSz w:w="11900" w:h="16838" w:orient="portrait"/>
          <w:cols w:equalWidth="0" w:num="1">
            <w:col w:w="10239"/>
          </w:cols>
          <w:pgMar w:left="220" w:top="616" w:right="1440" w:bottom="1440" w:gutter="0" w:footer="0" w:header="0"/>
        </w:sectPr>
      </w:pPr>
    </w:p>
    <w:bookmarkStart w:id="11" w:name="page12"/>
    <w:bookmarkEnd w:id="11"/>
    <w:p>
      <w:pPr>
        <w:ind w:right="3339"/>
        <w:spacing w:after="0" w:line="252" w:lineRule="auto"/>
        <w:rPr>
          <w:sz w:val="20"/>
          <w:szCs w:val="20"/>
          <w:color w:val="auto"/>
        </w:rPr>
      </w:pPr>
      <w:r>
        <w:rPr>
          <w:rFonts w:ascii="Courier New" w:cs="Courier New" w:eastAsia="Courier New" w:hAnsi="Courier New"/>
          <w:sz w:val="14"/>
          <w:szCs w:val="14"/>
          <w:color w:val="auto"/>
        </w:rPr>
        <w:t>Condensed financial information of the Registrant is not presented because no restrictions exist on the transfer of funds or assets between the Registrant and its subsidiaries.</w:t>
      </w:r>
    </w:p>
    <w:p>
      <w:pPr>
        <w:spacing w:after="0" w:line="163" w:lineRule="exact"/>
        <w:rPr>
          <w:sz w:val="20"/>
          <w:szCs w:val="20"/>
          <w:color w:val="auto"/>
        </w:rPr>
      </w:pPr>
    </w:p>
    <w:p>
      <w:pPr>
        <w:ind w:left="780" w:hanging="427"/>
        <w:spacing w:after="0"/>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EXHIBITS.</w:t>
      </w:r>
    </w:p>
    <w:p>
      <w:pPr>
        <w:spacing w:after="0" w:line="173"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The following exhibits are included with this Annual Report on Form 10-K (or incorporated by reference) as required by Item 601 of Regulation S-K.</w:t>
      </w:r>
    </w:p>
    <w:p>
      <w:pPr>
        <w:spacing w:after="0" w:line="326" w:lineRule="exact"/>
        <w:rPr>
          <w:sz w:val="20"/>
          <w:szCs w:val="20"/>
          <w:color w:val="auto"/>
        </w:rPr>
      </w:pPr>
    </w:p>
    <w:p>
      <w:pPr>
        <w:ind w:left="360" w:right="3519" w:hanging="343"/>
        <w:spacing w:after="0" w:line="252" w:lineRule="auto"/>
        <w:rPr>
          <w:sz w:val="20"/>
          <w:szCs w:val="20"/>
          <w:color w:val="auto"/>
        </w:rPr>
      </w:pPr>
      <w:r>
        <w:rPr>
          <w:rFonts w:ascii="Courier New" w:cs="Courier New" w:eastAsia="Courier New" w:hAnsi="Courier New"/>
          <w:sz w:val="14"/>
          <w:szCs w:val="14"/>
          <w:color w:val="auto"/>
        </w:rPr>
        <w:t>3.1 Amended and Second Restated Articles of Incorporation as amended through February 28, 1989 (Incorporated by reference to Exhibit 3D to the Registrant's Quarterly Report on Form 10-Q for the quarter ended March 31, 1989).</w:t>
      </w:r>
    </w:p>
    <w:p>
      <w:pPr>
        <w:spacing w:after="0" w:line="162" w:lineRule="exact"/>
        <w:rPr>
          <w:sz w:val="20"/>
          <w:szCs w:val="20"/>
          <w:color w:val="auto"/>
        </w:rPr>
      </w:pPr>
    </w:p>
    <w:p>
      <w:pPr>
        <w:jc w:val="both"/>
        <w:ind w:left="360" w:right="3419" w:hanging="343"/>
        <w:spacing w:after="0" w:line="252" w:lineRule="auto"/>
        <w:rPr>
          <w:sz w:val="20"/>
          <w:szCs w:val="20"/>
          <w:color w:val="auto"/>
        </w:rPr>
      </w:pPr>
      <w:r>
        <w:rPr>
          <w:rFonts w:ascii="Courier New" w:cs="Courier New" w:eastAsia="Courier New" w:hAnsi="Courier New"/>
          <w:sz w:val="14"/>
          <w:szCs w:val="14"/>
          <w:color w:val="auto"/>
        </w:rPr>
        <w:t>3.2 Second Amended and Superseding By-Laws as amended through February 15, 1995 (incorporated by reference to Exhibit 3.2 to the Registrant's Annual Report on Form 10-K for the year ended October 1, 1995).</w:t>
      </w:r>
    </w:p>
    <w:p>
      <w:pPr>
        <w:spacing w:after="0" w:line="163" w:lineRule="exact"/>
        <w:rPr>
          <w:sz w:val="20"/>
          <w:szCs w:val="20"/>
          <w:color w:val="auto"/>
        </w:rPr>
      </w:pPr>
    </w:p>
    <w:p>
      <w:pPr>
        <w:ind w:left="360" w:hanging="352"/>
        <w:spacing w:after="0"/>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Exhibits 3.1 and 3.2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Portions of Annual Report to Security Holders for period ended September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29, 1996.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 Subsidiaries of Registrant.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Independent Auditors' Consent and Report on Schedule.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Financial Data Schedule</w:t>
      </w:r>
    </w:p>
    <w:p>
      <w:pPr>
        <w:spacing w:after="0" w:line="173" w:lineRule="exact"/>
        <w:rPr>
          <w:sz w:val="20"/>
          <w:szCs w:val="20"/>
          <w:color w:val="auto"/>
        </w:rPr>
      </w:pPr>
    </w:p>
    <w:p>
      <w:pPr>
        <w:ind w:left="260" w:hanging="252"/>
        <w:spacing w:after="0"/>
        <w:tabs>
          <w:tab w:leader="none" w:pos="2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Denotes previously unfiled documents.</w:t>
      </w:r>
    </w:p>
    <w:p>
      <w:pPr>
        <w:spacing w:after="0" w:line="172" w:lineRule="exact"/>
        <w:rPr>
          <w:rFonts w:ascii="Courier New" w:cs="Courier New" w:eastAsia="Courier New" w:hAnsi="Courier New"/>
          <w:sz w:val="14"/>
          <w:szCs w:val="14"/>
          <w:color w:val="auto"/>
        </w:rPr>
      </w:pPr>
    </w:p>
    <w:p>
      <w:pPr>
        <w:ind w:left="360" w:right="8159" w:hanging="344"/>
        <w:spacing w:after="0" w:line="50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REPORTS ON FORM 8-K. None.</w:t>
      </w:r>
    </w:p>
    <w:p>
      <w:pPr>
        <w:spacing w:after="0" w:line="16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 w:name="page13"/>
    <w:bookmarkEnd w:id="12"/>
    <w:p>
      <w:pPr>
        <w:ind w:left="32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HAWKINS CHEMICAL, INC.</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Dean L. Hahn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Dean L. Hahn, Chairman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the Board of Directors</w:t>
      </w:r>
    </w:p>
    <w:p>
      <w:pPr>
        <w:spacing w:after="0" w:line="173" w:lineRule="exact"/>
        <w:rPr>
          <w:sz w:val="20"/>
          <w:szCs w:val="20"/>
          <w:color w:val="auto"/>
        </w:rPr>
      </w:pPr>
    </w:p>
    <w:p>
      <w:pPr>
        <w:sectPr>
          <w:pgSz w:w="11900" w:h="16838" w:orient="portrait"/>
          <w:cols w:equalWidth="0" w:num="4">
            <w:col w:w="520" w:space="180"/>
            <w:col w:w="1940" w:space="720"/>
            <w:col w:w="180" w:space="80"/>
            <w:col w:w="6619"/>
          </w:cols>
          <w:pgMar w:left="220" w:top="616" w:right="1440" w:bottom="1440" w:gutter="0" w:footer="0" w:header="0"/>
          <w:type w:val="continuous"/>
        </w:sectPr>
      </w:pPr>
    </w:p>
    <w:p>
      <w:pPr>
        <w:ind w:right="3599" w:firstLine="344"/>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also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Dean L. Hahn</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Dean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L. Hahn, Chief Executive</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Howard J. Hawkins</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Howard J. Hawkins, Chairman</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Emeritus,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Donald L. Shipp</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Donald L. Shipp, President,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Howard M. Hawkins</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Howard M. Hawkins, Treasurer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Chief Financial and Accounting</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Carl J. Ahlgren</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Carl</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J. Ahlgren,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Norman P. Anderson</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Norman P. Anderson,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John S. McKeon</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John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 McKeon,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John R. Hawkins</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John</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R. Hawkins,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 Albert Diez Hanser</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 Albert Diez Hanser,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Duane M. Jergenson</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Dated:</w:t>
            </w:r>
          </w:p>
        </w:tc>
        <w:tc>
          <w:tcPr>
            <w:tcW w:w="1540" w:type="dxa"/>
            <w:vAlign w:val="bottom"/>
          </w:tcPr>
          <w:p>
            <w:pPr>
              <w:ind w:left="80"/>
              <w:spacing w:after="0"/>
              <w:rPr>
                <w:sz w:val="20"/>
                <w:szCs w:val="20"/>
                <w:color w:val="auto"/>
              </w:rPr>
            </w:pPr>
            <w:r>
              <w:rPr>
                <w:rFonts w:ascii="Courier New" w:cs="Courier New" w:eastAsia="Courier New" w:hAnsi="Courier New"/>
                <w:sz w:val="14"/>
                <w:szCs w:val="14"/>
                <w:color w:val="auto"/>
              </w:rPr>
              <w:t>December 29, 1996</w:t>
            </w: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Duane M. Jergenson, Director</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63"/>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15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13" w:name="page14"/>
    <w:bookmarkEnd w:id="13"/>
    <w:p>
      <w:pPr>
        <w:jc w:val="center"/>
        <w:ind w:right="2899"/>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HAWKINS CHEMICAL, INC. AND SUBSIDIARIES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VALUATION</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QUALIFYING ACCOUNTS</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THE YEARS ENDED SEPTEMBER 29,</w:t>
            </w:r>
          </w:p>
        </w:tc>
        <w:tc>
          <w:tcPr>
            <w:tcW w:w="38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1996, OCTOBER 1, 1995 AND OCTOBER 2, 1994</w:t>
            </w:r>
          </w:p>
        </w:tc>
      </w:tr>
      <w:tr>
        <w:trPr>
          <w:trHeight w:val="331"/>
        </w:trPr>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ADDITIONS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16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BALANCE AT</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CHARGED TO CHARGED TO</w:t>
            </w:r>
          </w:p>
        </w:tc>
        <w:tc>
          <w:tcPr>
            <w:tcW w:w="9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BALANCE AT</w:t>
            </w:r>
          </w:p>
        </w:tc>
      </w:tr>
      <w:tr>
        <w:trPr>
          <w:trHeight w:val="166"/>
        </w:trPr>
        <w:tc>
          <w:tcPr>
            <w:tcW w:w="1420" w:type="dxa"/>
            <w:vAlign w:val="bottom"/>
          </w:tcPr>
          <w:p>
            <w:pPr>
              <w:spacing w:after="0"/>
              <w:rPr>
                <w:sz w:val="14"/>
                <w:szCs w:val="14"/>
                <w:color w:val="auto"/>
              </w:rPr>
            </w:pPr>
          </w:p>
        </w:tc>
        <w:tc>
          <w:tcPr>
            <w:tcW w:w="16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BEGINNING OF</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COSTS AND</w:t>
            </w:r>
          </w:p>
        </w:tc>
        <w:tc>
          <w:tcPr>
            <w:tcW w:w="1080" w:type="dxa"/>
            <w:vAlign w:val="bottom"/>
          </w:tcPr>
          <w:p>
            <w:pPr>
              <w:ind w:left="200"/>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DEDUCTIONS</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9"/>
              </w:rPr>
              <w:t>END OF</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6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YEAR</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EXPENSES</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ACCOUNTS</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WRITE-OFFS</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right="8259" w:hanging="86"/>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Reserve deducted from asset to which it applies - allowance for doubtful accounts: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September 29, 1996</w:t>
            </w: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$347,871</w:t>
            </w:r>
          </w:p>
        </w:tc>
        <w:tc>
          <w:tcPr>
            <w:tcW w:w="1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$ 68,046</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$71,915</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$344,002</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940" w:type="dxa"/>
            <w:vAlign w:val="bottom"/>
          </w:tcPr>
          <w:p>
            <w:pPr>
              <w:ind w:left="100"/>
              <w:spacing w:after="0"/>
              <w:rPr>
                <w:sz w:val="20"/>
                <w:szCs w:val="20"/>
                <w:color w:val="auto"/>
              </w:rPr>
            </w:pPr>
            <w:r>
              <w:rPr>
                <w:rFonts w:ascii="Courier New" w:cs="Courier New" w:eastAsia="Courier New" w:hAnsi="Courier New"/>
                <w:sz w:val="14"/>
                <w:szCs w:val="14"/>
                <w:color w:val="auto"/>
              </w:rPr>
              <w:t>October 1, 1995</w:t>
            </w:r>
          </w:p>
        </w:tc>
        <w:tc>
          <w:tcPr>
            <w:tcW w:w="2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$115,661</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$200,499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62,879</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$31,168</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$347,871</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October 2, 1994</w:t>
            </w: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$ 92,269</w:t>
            </w:r>
          </w:p>
        </w:tc>
        <w:tc>
          <w:tcPr>
            <w:tcW w:w="10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$ 71,610</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$48,218</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$115,661</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497"/>
        </w:trPr>
        <w:tc>
          <w:tcPr>
            <w:tcW w:w="1940" w:type="dxa"/>
            <w:vAlign w:val="bottom"/>
          </w:tcPr>
          <w:p>
            <w:pPr>
              <w:spacing w:after="0"/>
              <w:rPr>
                <w:sz w:val="20"/>
                <w:szCs w:val="20"/>
                <w:color w:val="auto"/>
              </w:rPr>
            </w:pPr>
            <w:r>
              <w:rPr>
                <w:rFonts w:ascii="Courier New" w:cs="Courier New" w:eastAsia="Courier New" w:hAnsi="Courier New"/>
                <w:sz w:val="14"/>
                <w:szCs w:val="14"/>
                <w:color w:val="auto"/>
              </w:rPr>
              <w:t>Reserve deducted from</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940" w:type="dxa"/>
            <w:vAlign w:val="bottom"/>
          </w:tcPr>
          <w:p>
            <w:pPr>
              <w:ind w:left="100"/>
              <w:spacing w:after="0"/>
              <w:rPr>
                <w:sz w:val="20"/>
                <w:szCs w:val="20"/>
                <w:color w:val="auto"/>
              </w:rPr>
            </w:pPr>
            <w:r>
              <w:rPr>
                <w:rFonts w:ascii="Courier New" w:cs="Courier New" w:eastAsia="Courier New" w:hAnsi="Courier New"/>
                <w:sz w:val="14"/>
                <w:szCs w:val="14"/>
                <w:color w:val="auto"/>
              </w:rPr>
              <w:t>asset to which it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40" w:type="dxa"/>
            <w:vAlign w:val="bottom"/>
          </w:tcPr>
          <w:p>
            <w:pPr>
              <w:ind w:left="100"/>
              <w:spacing w:after="0"/>
              <w:rPr>
                <w:sz w:val="20"/>
                <w:szCs w:val="20"/>
                <w:color w:val="auto"/>
              </w:rPr>
            </w:pPr>
            <w:r>
              <w:rPr>
                <w:rFonts w:ascii="Courier New" w:cs="Courier New" w:eastAsia="Courier New" w:hAnsi="Courier New"/>
                <w:sz w:val="14"/>
                <w:szCs w:val="14"/>
                <w:color w:val="auto"/>
              </w:rPr>
              <w:t>applies - allowance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40" w:type="dxa"/>
            <w:vAlign w:val="bottom"/>
          </w:tcPr>
          <w:p>
            <w:pPr>
              <w:ind w:left="100"/>
              <w:spacing w:after="0"/>
              <w:rPr>
                <w:sz w:val="20"/>
                <w:szCs w:val="20"/>
                <w:color w:val="auto"/>
              </w:rPr>
            </w:pPr>
            <w:r>
              <w:rPr>
                <w:rFonts w:ascii="Courier New" w:cs="Courier New" w:eastAsia="Courier New" w:hAnsi="Courier New"/>
                <w:sz w:val="14"/>
                <w:szCs w:val="14"/>
                <w:color w:val="auto"/>
              </w:rPr>
              <w:t>for inventory market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40" w:type="dxa"/>
            <w:vAlign w:val="bottom"/>
          </w:tcPr>
          <w:p>
            <w:pPr>
              <w:ind w:left="100"/>
              <w:spacing w:after="0"/>
              <w:rPr>
                <w:sz w:val="20"/>
                <w:szCs w:val="20"/>
                <w:color w:val="auto"/>
              </w:rPr>
            </w:pPr>
            <w:r>
              <w:rPr>
                <w:rFonts w:ascii="Courier New" w:cs="Courier New" w:eastAsia="Courier New" w:hAnsi="Courier New"/>
                <w:sz w:val="14"/>
                <w:szCs w:val="14"/>
                <w:color w:val="auto"/>
              </w:rPr>
              <w:t>valuation:</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September 29, 1996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October 1, 1995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October 2, 1994</w:t>
            </w:r>
          </w:p>
        </w:tc>
        <w:tc>
          <w:tcPr>
            <w:tcW w:w="2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$1,470,000</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 ---</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$1,470,000</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  ---</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4880" w:type="dxa"/>
            <w:vAlign w:val="bottom"/>
            <w:gridSpan w:val="9"/>
          </w:tcPr>
          <w:p>
            <w:pPr>
              <w:ind w:left="140"/>
              <w:spacing w:after="0"/>
              <w:rPr>
                <w:sz w:val="20"/>
                <w:szCs w:val="20"/>
                <w:color w:val="auto"/>
              </w:rPr>
            </w:pPr>
            <w:r>
              <w:rPr>
                <w:rFonts w:ascii="Courier New" w:cs="Courier New" w:eastAsia="Courier New" w:hAnsi="Courier New"/>
                <w:sz w:val="14"/>
                <w:szCs w:val="14"/>
                <w:color w:val="auto"/>
              </w:rPr>
              <w:t>-------------------------------------------------------</w:t>
            </w:r>
          </w:p>
        </w:tc>
      </w:tr>
      <w:tr>
        <w:trPr>
          <w:trHeight w:val="663"/>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4" w:name="page15"/>
    <w:bookmarkEnd w:id="14"/>
    <w:p>
      <w:pPr>
        <w:ind w:left="294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120" w:space="100"/>
            <w:col w:w="9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Amended and Second Restated Articles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as amended through February 28, 1989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 reference to Exhibit 3D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Quarterly Report on Form 10-Q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ended March 31, 1989).</w:t>
      </w:r>
    </w:p>
    <w:p>
      <w:pPr>
        <w:spacing w:after="0" w:line="173" w:lineRule="exact"/>
        <w:rPr>
          <w:sz w:val="20"/>
          <w:szCs w:val="20"/>
          <w:color w:val="auto"/>
        </w:rPr>
      </w:pPr>
    </w:p>
    <w:p>
      <w:pPr>
        <w:sectPr>
          <w:pgSz w:w="11900" w:h="16838" w:orient="portrait"/>
          <w:cols w:equalWidth="0" w:num="2">
            <w:col w:w="500" w:space="720"/>
            <w:col w:w="9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Second Amended and Superseding By-Laws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February 15, 1995 (incorporated by reference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Exhibit 3.2 to the Registrant's Annual Report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for the year ended October 1, 1995)</w:t>
      </w:r>
    </w:p>
    <w:p>
      <w:pPr>
        <w:spacing w:after="0" w:line="173" w:lineRule="exact"/>
        <w:rPr>
          <w:sz w:val="20"/>
          <w:szCs w:val="20"/>
          <w:color w:val="auto"/>
        </w:rPr>
      </w:pPr>
    </w:p>
    <w:p>
      <w:pPr>
        <w:sectPr>
          <w:pgSz w:w="11900" w:h="16838" w:orient="portrait"/>
          <w:cols w:equalWidth="0" w:num="2">
            <w:col w:w="500" w:space="720"/>
            <w:col w:w="9019"/>
          </w:cols>
          <w:pgMar w:left="220" w:top="616" w:right="1440" w:bottom="1440" w:gutter="0" w:footer="0" w:header="0"/>
          <w:type w:val="continuous"/>
        </w:sectPr>
      </w:pPr>
    </w:p>
    <w:p>
      <w:pPr>
        <w:ind w:left="1220" w:hanging="1212"/>
        <w:spacing w:after="0"/>
        <w:tabs>
          <w:tab w:leader="none" w:pos="12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Exhibits 3.1 and 3.2 above.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Portions of</w:t>
            </w:r>
          </w:p>
        </w:tc>
        <w:tc>
          <w:tcPr>
            <w:tcW w:w="3540" w:type="dxa"/>
            <w:vAlign w:val="bottom"/>
          </w:tcPr>
          <w:p>
            <w:pPr>
              <w:spacing w:after="0"/>
              <w:rPr>
                <w:sz w:val="20"/>
                <w:szCs w:val="20"/>
                <w:color w:val="auto"/>
              </w:rPr>
            </w:pPr>
            <w:r>
              <w:rPr>
                <w:rFonts w:ascii="Courier New" w:cs="Courier New" w:eastAsia="Courier New" w:hAnsi="Courier New"/>
                <w:sz w:val="14"/>
                <w:szCs w:val="14"/>
                <w:color w:val="auto"/>
              </w:rPr>
              <w:t>Annual Report to Security Holders for</w:t>
            </w:r>
          </w:p>
        </w:tc>
      </w:tr>
      <w:tr>
        <w:trPr>
          <w:trHeight w:val="166"/>
        </w:trPr>
        <w:tc>
          <w:tcPr>
            <w:tcW w:w="74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period ended</w:t>
            </w:r>
          </w:p>
        </w:tc>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September 29, 1996</w:t>
            </w:r>
          </w:p>
        </w:tc>
      </w:tr>
      <w:tr>
        <w:trPr>
          <w:trHeight w:val="331"/>
        </w:trPr>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21*</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Subsidiaries</w:t>
            </w:r>
          </w:p>
        </w:tc>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of Registrant.</w:t>
            </w:r>
          </w:p>
        </w:tc>
      </w:tr>
      <w:tr>
        <w:trPr>
          <w:trHeight w:val="331"/>
        </w:trPr>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23*</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Independent</w:t>
            </w:r>
          </w:p>
        </w:tc>
        <w:tc>
          <w:tcPr>
            <w:tcW w:w="3540" w:type="dxa"/>
            <w:vAlign w:val="bottom"/>
          </w:tcPr>
          <w:p>
            <w:pPr>
              <w:spacing w:after="0"/>
              <w:rPr>
                <w:sz w:val="20"/>
                <w:szCs w:val="20"/>
                <w:color w:val="auto"/>
              </w:rPr>
            </w:pPr>
            <w:r>
              <w:rPr>
                <w:rFonts w:ascii="Courier New" w:cs="Courier New" w:eastAsia="Courier New" w:hAnsi="Courier New"/>
                <w:sz w:val="14"/>
                <w:szCs w:val="14"/>
                <w:color w:val="auto"/>
              </w:rPr>
              <w:t>Auditors' Consent and Report on Schedule.</w:t>
            </w:r>
          </w:p>
        </w:tc>
      </w:tr>
      <w:tr>
        <w:trPr>
          <w:trHeight w:val="331"/>
        </w:trPr>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27*</w:t>
            </w:r>
          </w:p>
        </w:tc>
        <w:tc>
          <w:tcPr>
            <w:tcW w:w="50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Financial Data Schedule.</w:t>
            </w:r>
          </w:p>
        </w:tc>
      </w:tr>
    </w:tbl>
    <w:p>
      <w:pPr>
        <w:spacing w:after="0" w:line="335" w:lineRule="exact"/>
        <w:rPr>
          <w:sz w:val="20"/>
          <w:szCs w:val="20"/>
          <w:color w:val="auto"/>
        </w:rPr>
      </w:pPr>
    </w:p>
    <w:p>
      <w:pPr>
        <w:ind w:left="260" w:hanging="252"/>
        <w:spacing w:after="0"/>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Denotes previously unfiled documents.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3660" w:type="dxa"/>
            <w:vAlign w:val="bottom"/>
          </w:tcPr>
          <w:p>
            <w:pPr>
              <w:ind w:left="160"/>
              <w:spacing w:after="0"/>
              <w:rPr>
                <w:sz w:val="20"/>
                <w:szCs w:val="20"/>
                <w:color w:val="auto"/>
              </w:rPr>
            </w:pPr>
            <w:r>
              <w:rPr>
                <w:rFonts w:ascii="Courier New" w:cs="Courier New" w:eastAsia="Courier New" w:hAnsi="Courier New"/>
                <w:sz w:val="14"/>
                <w:szCs w:val="14"/>
                <w:color w:val="auto"/>
              </w:rPr>
              <w:t>CONSOLIDATED FINANCIAL INFORMATION</w:t>
            </w:r>
          </w:p>
        </w:tc>
        <w:tc>
          <w:tcPr>
            <w:tcW w:w="640" w:type="dxa"/>
            <w:vAlign w:val="bottom"/>
          </w:tcPr>
          <w:p>
            <w:pPr>
              <w:spacing w:after="0"/>
              <w:rPr>
                <w:sz w:val="14"/>
                <w:szCs w:val="14"/>
                <w:color w:val="auto"/>
              </w:rPr>
            </w:pPr>
          </w:p>
        </w:tc>
      </w:tr>
      <w:tr>
        <w:trPr>
          <w:trHeight w:val="331"/>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Consolidated Statements</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of Income and Retained Earnings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Consolidated Statements</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of Cash Flows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331"/>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14-16</w:t>
            </w:r>
          </w:p>
        </w:tc>
      </w:tr>
      <w:tr>
        <w:trPr>
          <w:trHeight w:val="331"/>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Independent Auditors' Report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Management's Discussion</w:t>
            </w:r>
          </w:p>
        </w:tc>
        <w:tc>
          <w:tcPr>
            <w:tcW w:w="3660" w:type="dxa"/>
            <w:vAlign w:val="bottom"/>
          </w:tcPr>
          <w:p>
            <w:pPr>
              <w:spacing w:after="0"/>
              <w:rPr>
                <w:sz w:val="20"/>
                <w:szCs w:val="20"/>
                <w:color w:val="auto"/>
              </w:rPr>
            </w:pPr>
            <w:r>
              <w:rPr>
                <w:rFonts w:ascii="Courier New" w:cs="Courier New" w:eastAsia="Courier New" w:hAnsi="Courier New"/>
                <w:sz w:val="14"/>
                <w:szCs w:val="14"/>
                <w:color w:val="auto"/>
              </w:rPr>
              <w:t>and Analysis of</w:t>
            </w:r>
          </w:p>
        </w:tc>
        <w:tc>
          <w:tcPr>
            <w:tcW w:w="640" w:type="dxa"/>
            <w:vAlign w:val="bottom"/>
          </w:tcPr>
          <w:p>
            <w:pPr>
              <w:spacing w:after="0"/>
              <w:rPr>
                <w:sz w:val="24"/>
                <w:szCs w:val="24"/>
                <w:color w:val="auto"/>
              </w:rPr>
            </w:pP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Results of Operations and Financial Condition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18-21</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Selected Financial Data</w:t>
            </w:r>
          </w:p>
        </w:tc>
        <w:tc>
          <w:tcPr>
            <w:tcW w:w="36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Securities Market Makers</w:t>
            </w:r>
          </w:p>
        </w:tc>
        <w:tc>
          <w:tcPr>
            <w:tcW w:w="36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Quarterly Financial Data</w:t>
            </w:r>
          </w:p>
        </w:tc>
        <w:tc>
          <w:tcPr>
            <w:tcW w:w="36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100 Shares Growth</w:t>
            </w:r>
          </w:p>
        </w:tc>
        <w:tc>
          <w:tcPr>
            <w:tcW w:w="36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Officers and Board of Directors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Shareholder Information</w:t>
            </w:r>
          </w:p>
        </w:tc>
        <w:tc>
          <w:tcPr>
            <w:tcW w:w="36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497"/>
        </w:trPr>
        <w:tc>
          <w:tcPr>
            <w:tcW w:w="2080" w:type="dxa"/>
            <w:vAlign w:val="bottom"/>
          </w:tcPr>
          <w:p>
            <w:pPr>
              <w:ind w:left="1820"/>
              <w:spacing w:after="0"/>
              <w:rPr>
                <w:sz w:val="20"/>
                <w:szCs w:val="20"/>
                <w:color w:val="auto"/>
              </w:rPr>
            </w:pPr>
            <w:r>
              <w:rPr>
                <w:rFonts w:ascii="Courier New" w:cs="Courier New" w:eastAsia="Courier New" w:hAnsi="Courier New"/>
                <w:sz w:val="14"/>
                <w:szCs w:val="14"/>
                <w:color w:val="auto"/>
              </w:rPr>
              <w:t>10</w:t>
            </w:r>
          </w:p>
        </w:tc>
        <w:tc>
          <w:tcPr>
            <w:tcW w:w="3660" w:type="dxa"/>
            <w:vAlign w:val="bottom"/>
          </w:tcPr>
          <w:p>
            <w:pPr>
              <w:ind w:left="80"/>
              <w:spacing w:after="0"/>
              <w:rPr>
                <w:sz w:val="20"/>
                <w:szCs w:val="20"/>
                <w:color w:val="auto"/>
              </w:rPr>
            </w:pPr>
            <w:r>
              <w:rPr>
                <w:rFonts w:ascii="Courier New" w:cs="Courier New" w:eastAsia="Courier New" w:hAnsi="Courier New"/>
                <w:sz w:val="14"/>
                <w:szCs w:val="14"/>
                <w:color w:val="auto"/>
              </w:rPr>
              <w:t>HAWKINS CHEMICAL, INC. AND SUBSIDIARIES</w:t>
            </w:r>
          </w:p>
        </w:tc>
        <w:tc>
          <w:tcPr>
            <w:tcW w:w="640" w:type="dxa"/>
            <w:vAlign w:val="bottom"/>
          </w:tcPr>
          <w:p>
            <w:pPr>
              <w:spacing w:after="0"/>
              <w:rPr>
                <w:sz w:val="24"/>
                <w:szCs w:val="24"/>
                <w:color w:val="auto"/>
              </w:rPr>
            </w:pPr>
          </w:p>
        </w:tc>
      </w:tr>
    </w:tbl>
    <w:p>
      <w:pPr>
        <w:sectPr>
          <w:pgSz w:w="11900" w:h="16838" w:orient="portrait"/>
          <w:cols w:equalWidth="0" w:num="1">
            <w:col w:w="10239"/>
          </w:cols>
          <w:pgMar w:left="220" w:top="473" w:right="1440" w:bottom="1440" w:gutter="0" w:footer="0" w:header="0"/>
        </w:sectPr>
      </w:pPr>
    </w:p>
    <w:bookmarkStart w:id="16" w:name="page17"/>
    <w:bookmarkEnd w:id="16"/>
    <w:p>
      <w:pPr>
        <w:ind w:left="2600"/>
        <w:spacing w:after="0"/>
        <w:rPr>
          <w:sz w:val="20"/>
          <w:szCs w:val="20"/>
          <w:color w:val="auto"/>
        </w:rPr>
      </w:pPr>
      <w:r>
        <w:rPr>
          <w:rFonts w:ascii="Courier New" w:cs="Courier New" w:eastAsia="Courier New" w:hAnsi="Courier New"/>
          <w:sz w:val="14"/>
          <w:szCs w:val="14"/>
          <w:color w:val="auto"/>
        </w:rPr>
        <w:t>CONSOLIDATED BALANCE SHEETS</w:t>
      </w:r>
    </w:p>
    <w:p>
      <w:pPr>
        <w:spacing w:after="0" w:line="173" w:lineRule="exact"/>
        <w:rPr>
          <w:sz w:val="20"/>
          <w:szCs w:val="20"/>
          <w:color w:val="auto"/>
        </w:rPr>
      </w:pPr>
    </w:p>
    <w:p>
      <w:pPr>
        <w:jc w:val="right"/>
        <w:ind w:right="1179"/>
        <w:spacing w:after="0"/>
        <w:tabs>
          <w:tab w:leader="none" w:pos="1000" w:val="left"/>
        </w:tabs>
        <w:rPr>
          <w:sz w:val="20"/>
          <w:szCs w:val="20"/>
          <w:color w:val="auto"/>
        </w:rPr>
      </w:pPr>
      <w:r>
        <w:rPr>
          <w:rFonts w:ascii="Courier New" w:cs="Courier New" w:eastAsia="Courier New" w:hAnsi="Courier New"/>
          <w:sz w:val="14"/>
          <w:szCs w:val="14"/>
          <w:color w:val="auto"/>
        </w:rPr>
        <w:t>SEPTEMBER 29,</w:t>
      </w:r>
      <w:r>
        <w:rPr>
          <w:sz w:val="20"/>
          <w:szCs w:val="20"/>
          <w:color w:val="auto"/>
        </w:rPr>
        <w:tab/>
      </w:r>
      <w:r>
        <w:rPr>
          <w:rFonts w:ascii="Courier New" w:cs="Courier New" w:eastAsia="Courier New" w:hAnsi="Courier New"/>
          <w:sz w:val="14"/>
          <w:szCs w:val="14"/>
          <w:color w:val="auto"/>
        </w:rPr>
        <w:t>October 1,</w:t>
      </w:r>
    </w:p>
    <w:p>
      <w:pPr>
        <w:spacing w:after="0" w:line="7" w:lineRule="exact"/>
        <w:rPr>
          <w:sz w:val="20"/>
          <w:szCs w:val="20"/>
          <w:color w:val="auto"/>
        </w:rPr>
      </w:pPr>
    </w:p>
    <w:p>
      <w:pPr>
        <w:jc w:val="both"/>
        <w:ind w:left="7420"/>
        <w:spacing w:after="0"/>
        <w:tabs>
          <w:tab w:leader="none" w:pos="868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$ 8,932,125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$ 9,906,107</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Investments (fair value approximates cost)</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10,504,603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7,968,761</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Trade receivables - less allowance for doubtful</w:t>
            </w: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accounts:  1996, $344,002; 1995, $347,871</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9,740,285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10,512,260</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Notes receivable</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170,988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208,943</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8,584,034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8,663,959</w:t>
            </w:r>
          </w:p>
        </w:tc>
      </w:tr>
      <w:tr>
        <w:trPr>
          <w:trHeight w:val="166"/>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924,457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1,647,660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Total Current</w:t>
            </w:r>
          </w:p>
        </w:tc>
        <w:tc>
          <w:tcPr>
            <w:tcW w:w="342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3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38,856,492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38,907,690</w:t>
            </w:r>
          </w:p>
        </w:tc>
      </w:tr>
      <w:tr>
        <w:trPr>
          <w:trHeight w:val="331"/>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Land</w:t>
            </w:r>
          </w:p>
        </w:tc>
        <w:tc>
          <w:tcPr>
            <w:tcW w:w="3420" w:type="dxa"/>
            <w:vAlign w:val="bottom"/>
          </w:tcPr>
          <w:p>
            <w:pPr>
              <w:spacing w:after="0"/>
              <w:rPr>
                <w:sz w:val="14"/>
                <w:szCs w:val="14"/>
                <w:color w:val="auto"/>
              </w:rPr>
            </w:pPr>
          </w:p>
        </w:tc>
        <w:tc>
          <w:tcPr>
            <w:tcW w:w="3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673,733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639,368</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Buildings and</w:t>
            </w:r>
          </w:p>
        </w:tc>
        <w:tc>
          <w:tcPr>
            <w:tcW w:w="3420" w:type="dxa"/>
            <w:vAlign w:val="bottom"/>
          </w:tcPr>
          <w:p>
            <w:pPr>
              <w:ind w:left="60"/>
              <w:spacing w:after="0"/>
              <w:rPr>
                <w:sz w:val="20"/>
                <w:szCs w:val="20"/>
                <w:color w:val="auto"/>
              </w:rPr>
            </w:pPr>
            <w:r>
              <w:rPr>
                <w:rFonts w:ascii="Courier New" w:cs="Courier New" w:eastAsia="Courier New" w:hAnsi="Courier New"/>
                <w:sz w:val="14"/>
                <w:szCs w:val="14"/>
                <w:color w:val="auto"/>
              </w:rPr>
              <w:t>improvements</w:t>
            </w:r>
          </w:p>
        </w:tc>
        <w:tc>
          <w:tcPr>
            <w:tcW w:w="3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13,242,152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11,551,741</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Machinery and</w:t>
            </w:r>
          </w:p>
        </w:tc>
        <w:tc>
          <w:tcPr>
            <w:tcW w:w="3420" w:type="dxa"/>
            <w:vAlign w:val="bottom"/>
          </w:tcPr>
          <w:p>
            <w:pPr>
              <w:ind w:left="60"/>
              <w:spacing w:after="0"/>
              <w:rPr>
                <w:sz w:val="20"/>
                <w:szCs w:val="20"/>
                <w:color w:val="auto"/>
              </w:rPr>
            </w:pPr>
            <w:r>
              <w:rPr>
                <w:rFonts w:ascii="Courier New" w:cs="Courier New" w:eastAsia="Courier New" w:hAnsi="Courier New"/>
                <w:sz w:val="14"/>
                <w:szCs w:val="14"/>
                <w:color w:val="auto"/>
              </w:rPr>
              <w:t>equipment</w:t>
            </w:r>
          </w:p>
        </w:tc>
        <w:tc>
          <w:tcPr>
            <w:tcW w:w="3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4,392,562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3,995,496</w:t>
            </w:r>
          </w:p>
        </w:tc>
      </w:tr>
      <w:tr>
        <w:trPr>
          <w:trHeight w:val="166"/>
        </w:trPr>
        <w:tc>
          <w:tcPr>
            <w:tcW w:w="4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Transportation equipment</w:t>
            </w:r>
          </w:p>
        </w:tc>
        <w:tc>
          <w:tcPr>
            <w:tcW w:w="3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4,803,768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4,395,306</w:t>
            </w:r>
          </w:p>
        </w:tc>
      </w:tr>
      <w:tr>
        <w:trPr>
          <w:trHeight w:val="166"/>
        </w:trPr>
        <w:tc>
          <w:tcPr>
            <w:tcW w:w="48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 furniture and equipment</w:t>
            </w:r>
          </w:p>
        </w:tc>
        <w:tc>
          <w:tcPr>
            <w:tcW w:w="3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1,471,737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1,399,789</w:t>
            </w:r>
          </w:p>
        </w:tc>
      </w:tr>
    </w:tbl>
    <w:p>
      <w:pPr>
        <w:spacing w:after="0" w:line="4"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24,583,95221,981,700</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3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11,396,274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10,542,805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Property, Plant and Equipment, net</w:t>
            </w:r>
          </w:p>
        </w:tc>
        <w:tc>
          <w:tcPr>
            <w:tcW w:w="2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13,187,678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11,438,895</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Intangible assets - less accumulated</w:t>
            </w: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amortization: 1996, $307,602; 1995, $242,805</w:t>
            </w:r>
          </w:p>
        </w:tc>
        <w:tc>
          <w:tcPr>
            <w:tcW w:w="2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817,559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882,356</w:t>
            </w:r>
          </w:p>
        </w:tc>
      </w:tr>
      <w:tr>
        <w:trPr>
          <w:trHeight w:val="166"/>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Insurance trust</w:t>
            </w:r>
          </w:p>
        </w:tc>
        <w:tc>
          <w:tcPr>
            <w:tcW w:w="2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1,670,132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1,598,219</w:t>
            </w:r>
          </w:p>
        </w:tc>
      </w:tr>
      <w:tr>
        <w:trPr>
          <w:trHeight w:val="166"/>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Notes receivable - noncurrent</w:t>
            </w:r>
          </w:p>
        </w:tc>
        <w:tc>
          <w:tcPr>
            <w:tcW w:w="2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1,797,707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715,045</w:t>
            </w:r>
          </w:p>
        </w:tc>
      </w:tr>
      <w:tr>
        <w:trPr>
          <w:trHeight w:val="166"/>
        </w:trPr>
        <w:tc>
          <w:tcPr>
            <w:tcW w:w="548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157,788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148,609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6880" w:val="left"/>
          <w:tab w:leader="none" w:pos="8180" w:val="left"/>
        </w:tabs>
        <w:rPr>
          <w:sz w:val="20"/>
          <w:szCs w:val="20"/>
          <w:color w:val="auto"/>
        </w:rPr>
      </w:pPr>
      <w:r>
        <w:rPr>
          <w:rFonts w:ascii="Courier New" w:cs="Courier New" w:eastAsia="Courier New" w:hAnsi="Courier New"/>
          <w:sz w:val="14"/>
          <w:szCs w:val="14"/>
          <w:color w:val="auto"/>
        </w:rPr>
        <w:t>Total Other Assets</w:t>
      </w:r>
      <w:r>
        <w:rPr>
          <w:sz w:val="20"/>
          <w:szCs w:val="20"/>
          <w:color w:val="auto"/>
        </w:rPr>
        <w:tab/>
      </w:r>
      <w:r>
        <w:rPr>
          <w:rFonts w:ascii="Courier New" w:cs="Courier New" w:eastAsia="Courier New" w:hAnsi="Courier New"/>
          <w:sz w:val="14"/>
          <w:szCs w:val="14"/>
          <w:color w:val="auto"/>
        </w:rPr>
        <w:t>4,443,186</w:t>
      </w:r>
      <w:r>
        <w:rPr>
          <w:sz w:val="20"/>
          <w:szCs w:val="20"/>
          <w:color w:val="auto"/>
        </w:rPr>
        <w:tab/>
      </w:r>
      <w:r>
        <w:rPr>
          <w:rFonts w:ascii="Courier New" w:cs="Courier New" w:eastAsia="Courier New" w:hAnsi="Courier New"/>
          <w:sz w:val="14"/>
          <w:szCs w:val="14"/>
          <w:color w:val="auto"/>
        </w:rPr>
        <w:t>3,344,229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700" w:val="left"/>
          <w:tab w:leader="none" w:pos="800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$56,487,356</w:t>
      </w:r>
      <w:r>
        <w:rPr>
          <w:sz w:val="20"/>
          <w:szCs w:val="20"/>
          <w:color w:val="auto"/>
        </w:rPr>
        <w:tab/>
      </w:r>
      <w:r>
        <w:rPr>
          <w:rFonts w:ascii="Courier New" w:cs="Courier New" w:eastAsia="Courier New" w:hAnsi="Courier New"/>
          <w:sz w:val="14"/>
          <w:szCs w:val="14"/>
          <w:color w:val="auto"/>
        </w:rPr>
        <w:t>$53,690,814</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 trade</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6,709,434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8,691,204</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Current portion of long-term debt</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56,008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52,344</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Dividends payable</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884,135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736,804</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Accrued payroll and employee benefits</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2,617,670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2,117,478</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Container deposits</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1,684,362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1,633,359</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Other accruals</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521,362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1,334,742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12,472,971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14,565,931</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572,453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628,461</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426,800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377,800</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(NOTES 6, 7 AND 8)</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Common stock - authorized: 15,000,000 shares of $.05 par value;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issued: 1996 - 11,051,690 shares; 1995 - 10,525,772 shares</w:t>
            </w: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552,585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526,289</w:t>
            </w: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38,679,630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34,235,623</w:t>
            </w:r>
          </w:p>
        </w:tc>
      </w:tr>
      <w:tr>
        <w:trPr>
          <w:trHeight w:val="331"/>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3,782,917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3,356,710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6800" w:val="left"/>
          <w:tab w:leader="none" w:pos="808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43,015,132</w:t>
      </w:r>
      <w:r>
        <w:rPr>
          <w:sz w:val="20"/>
          <w:szCs w:val="20"/>
          <w:color w:val="auto"/>
        </w:rPr>
        <w:tab/>
      </w:r>
      <w:r>
        <w:rPr>
          <w:rFonts w:ascii="Courier New" w:cs="Courier New" w:eastAsia="Courier New" w:hAnsi="Courier New"/>
          <w:sz w:val="14"/>
          <w:szCs w:val="14"/>
          <w:color w:val="auto"/>
        </w:rPr>
        <w:t>38,118,622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700" w:val="left"/>
          <w:tab w:leader="none" w:pos="800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$56,487,356</w:t>
      </w:r>
      <w:r>
        <w:rPr>
          <w:sz w:val="20"/>
          <w:szCs w:val="20"/>
          <w:color w:val="auto"/>
        </w:rPr>
        <w:tab/>
      </w:r>
      <w:r>
        <w:rPr>
          <w:rFonts w:ascii="Courier New" w:cs="Courier New" w:eastAsia="Courier New" w:hAnsi="Courier New"/>
          <w:sz w:val="14"/>
          <w:szCs w:val="14"/>
          <w:color w:val="auto"/>
        </w:rPr>
        <w:t>$53,690,814</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2240"/>
        <w:spacing w:after="0"/>
        <w:tabs>
          <w:tab w:leader="none" w:pos="2580" w:val="left"/>
        </w:tabs>
        <w:rPr>
          <w:sz w:val="20"/>
          <w:szCs w:val="20"/>
          <w:color w:val="auto"/>
        </w:rPr>
      </w:pPr>
      <w:r>
        <w:rPr>
          <w:rFonts w:ascii="Courier New" w:cs="Courier New" w:eastAsia="Courier New" w:hAnsi="Courier New"/>
          <w:sz w:val="14"/>
          <w:szCs w:val="14"/>
          <w:color w:val="auto"/>
        </w:rPr>
        <w:t>11</w:t>
        <w:tab/>
        <w:t>HAWKINS CHEMICAL, INC. AND SUBSIDIARIES</w:t>
      </w:r>
    </w:p>
    <w:p>
      <w:pPr>
        <w:sectPr>
          <w:pgSz w:w="11900" w:h="16838" w:orient="portrait"/>
          <w:cols w:equalWidth="0" w:num="1">
            <w:col w:w="10239"/>
          </w:cols>
          <w:pgMar w:left="220" w:top="782" w:right="1440" w:bottom="1440" w:gutter="0" w:footer="0" w:header="0"/>
        </w:sectPr>
      </w:pPr>
    </w:p>
    <w:bookmarkStart w:id="17" w:name="page18"/>
    <w:bookmarkEnd w:id="17"/>
    <w:p>
      <w:pPr>
        <w:ind w:left="1740"/>
        <w:spacing w:after="0"/>
        <w:rPr>
          <w:sz w:val="20"/>
          <w:szCs w:val="20"/>
          <w:color w:val="auto"/>
        </w:rPr>
      </w:pPr>
      <w:r>
        <w:rPr>
          <w:rFonts w:ascii="Courier New" w:cs="Courier New" w:eastAsia="Courier New" w:hAnsi="Courier New"/>
          <w:sz w:val="14"/>
          <w:szCs w:val="14"/>
          <w:color w:val="auto"/>
        </w:rPr>
        <w:t>CONSOLIDATED STATEMENTS OF INCOME AND RETAINED EARNINGS</w:t>
      </w:r>
    </w:p>
    <w:p>
      <w:pPr>
        <w:spacing w:after="0" w:line="200" w:lineRule="exact"/>
        <w:rPr>
          <w:sz w:val="20"/>
          <w:szCs w:val="20"/>
          <w:color w:val="auto"/>
        </w:rPr>
      </w:pPr>
    </w:p>
    <w:p>
      <w:pPr>
        <w:spacing w:after="0" w:line="304" w:lineRule="exact"/>
        <w:rPr>
          <w:sz w:val="20"/>
          <w:szCs w:val="20"/>
          <w:color w:val="auto"/>
        </w:rPr>
      </w:pPr>
    </w:p>
    <w:p>
      <w:pPr>
        <w:ind w:left="6720"/>
        <w:spacing w:after="0"/>
        <w:tabs>
          <w:tab w:leader="none" w:pos="8080" w:val="left"/>
          <w:tab w:leader="none" w:pos="9380" w:val="left"/>
        </w:tabs>
        <w:rPr>
          <w:sz w:val="20"/>
          <w:szCs w:val="20"/>
          <w:color w:val="auto"/>
        </w:rPr>
      </w:pPr>
      <w:r>
        <w:rPr>
          <w:rFonts w:ascii="Courier New" w:cs="Courier New" w:eastAsia="Courier New" w:hAnsi="Courier New"/>
          <w:sz w:val="14"/>
          <w:szCs w:val="14"/>
          <w:color w:val="auto"/>
        </w:rPr>
        <w:t>SEPTEMBER 29,</w:t>
      </w:r>
      <w:r>
        <w:rPr>
          <w:sz w:val="20"/>
          <w:szCs w:val="20"/>
          <w:color w:val="auto"/>
        </w:rPr>
        <w:tab/>
      </w:r>
      <w:r>
        <w:rPr>
          <w:rFonts w:ascii="Courier New" w:cs="Courier New" w:eastAsia="Courier New" w:hAnsi="Courier New"/>
          <w:sz w:val="14"/>
          <w:szCs w:val="14"/>
          <w:color w:val="auto"/>
        </w:rPr>
        <w:t>October 1,</w:t>
      </w:r>
      <w:r>
        <w:rPr>
          <w:sz w:val="20"/>
          <w:szCs w:val="20"/>
          <w:color w:val="auto"/>
        </w:rPr>
        <w:tab/>
      </w:r>
      <w:r>
        <w:rPr>
          <w:rFonts w:ascii="Courier New" w:cs="Courier New" w:eastAsia="Courier New" w:hAnsi="Courier New"/>
          <w:sz w:val="14"/>
          <w:szCs w:val="14"/>
          <w:color w:val="auto"/>
        </w:rPr>
        <w:t>October 2,</w:t>
      </w:r>
    </w:p>
    <w:p>
      <w:pPr>
        <w:spacing w:after="0" w:line="7" w:lineRule="exact"/>
        <w:rPr>
          <w:sz w:val="20"/>
          <w:szCs w:val="20"/>
          <w:color w:val="auto"/>
        </w:rPr>
      </w:pPr>
    </w:p>
    <w:p>
      <w:pPr>
        <w:ind w:left="7160"/>
        <w:spacing w:after="0"/>
        <w:tabs>
          <w:tab w:leader="none" w:pos="8420" w:val="left"/>
          <w:tab w:leader="none" w:pos="972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9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$80,886,062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$83,332,624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$71,423,471</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9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62,789,554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65,555,938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55,284,721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39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18,096,508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17,776,686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16,138,750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2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8,853,319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8,580,805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8,259,281</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Unusual and</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nonrecurring</w:t>
            </w:r>
          </w:p>
        </w:tc>
        <w:tc>
          <w:tcPr>
            <w:tcW w:w="260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750,000</w:t>
            </w:r>
          </w:p>
        </w:tc>
        <w:tc>
          <w:tcPr>
            <w:tcW w:w="1460" w:type="dxa"/>
            <w:vAlign w:val="bottom"/>
          </w:tcPr>
          <w:p>
            <w:pPr>
              <w:spacing w:after="0"/>
              <w:rPr>
                <w:sz w:val="14"/>
                <w:szCs w:val="14"/>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Income from</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2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9,243,189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8,445,881</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7,879,469</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(deductions)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3740" w:type="dxa"/>
            <w:vAlign w:val="bottom"/>
          </w:tcPr>
          <w:p>
            <w:pPr>
              <w:ind w:left="2760"/>
              <w:spacing w:after="0"/>
              <w:rPr>
                <w:sz w:val="20"/>
                <w:szCs w:val="20"/>
                <w:color w:val="auto"/>
              </w:rPr>
            </w:pPr>
            <w:r>
              <w:rPr>
                <w:rFonts w:ascii="Courier New" w:cs="Courier New" w:eastAsia="Courier New" w:hAnsi="Courier New"/>
                <w:sz w:val="14"/>
                <w:szCs w:val="14"/>
                <w:color w:val="auto"/>
              </w:rPr>
              <w:t>995,012</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930,580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575,731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3740" w:type="dxa"/>
            <w:vAlign w:val="bottom"/>
          </w:tcPr>
          <w:p>
            <w:pPr>
              <w:ind w:left="2760"/>
              <w:spacing w:after="0"/>
              <w:rPr>
                <w:sz w:val="20"/>
                <w:szCs w:val="20"/>
                <w:color w:val="auto"/>
              </w:rPr>
            </w:pPr>
            <w:r>
              <w:rPr>
                <w:rFonts w:ascii="Courier New" w:cs="Courier New" w:eastAsia="Courier New" w:hAnsi="Courier New"/>
                <w:sz w:val="14"/>
                <w:szCs w:val="14"/>
                <w:color w:val="auto"/>
              </w:rPr>
              <w:t>(53,170)</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(55,341)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(67,135)</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Miscellaneous</w:t>
            </w:r>
          </w:p>
        </w:tc>
        <w:tc>
          <w:tcPr>
            <w:tcW w:w="3740" w:type="dxa"/>
            <w:vAlign w:val="bottom"/>
          </w:tcPr>
          <w:p>
            <w:pPr>
              <w:ind w:left="2760"/>
              <w:spacing w:after="0"/>
              <w:rPr>
                <w:sz w:val="20"/>
                <w:szCs w:val="20"/>
                <w:color w:val="auto"/>
              </w:rPr>
            </w:pPr>
            <w:r>
              <w:rPr>
                <w:rFonts w:ascii="Courier New" w:cs="Courier New" w:eastAsia="Courier New" w:hAnsi="Courier New"/>
                <w:sz w:val="14"/>
                <w:szCs w:val="14"/>
                <w:color w:val="auto"/>
              </w:rPr>
              <w:t>262,020</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167,243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other income, net</w:t>
            </w:r>
          </w:p>
        </w:tc>
        <w:tc>
          <w:tcPr>
            <w:tcW w:w="3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1,203,862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1,042,482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528,141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INCOME FROM</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CONTINUING</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OPERATIONS BEFORE INCOME TAXES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10,447,051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9,488,363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8,407,610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gridSpan w:val="4"/>
          </w:tcPr>
          <w:p>
            <w:pPr>
              <w:spacing w:after="0"/>
              <w:rPr>
                <w:sz w:val="20"/>
                <w:szCs w:val="20"/>
                <w:color w:val="auto"/>
              </w:rPr>
            </w:pPr>
            <w:r>
              <w:rPr>
                <w:rFonts w:ascii="Courier New" w:cs="Courier New" w:eastAsia="Courier New" w:hAnsi="Courier New"/>
                <w:sz w:val="14"/>
                <w:szCs w:val="14"/>
                <w:color w:val="auto"/>
              </w:rPr>
              <w:t>Provision for income taxes from continuing operations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3,970,641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3,764,400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3,363,200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INCOME FROM</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CONTINUING</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6,476,410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5,723,963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5,044,410</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from operations of Tessman Seed, Inc.(less applicable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taxes (benefits) of ($46,500)</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and $18,200, respectively)</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(69,905)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27,323</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Loss on</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disposal of</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assets of Tessman</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Seed, Inc. (less applicable</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tax benefit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of $214,200)</w:t>
            </w:r>
          </w:p>
        </w:tc>
        <w:tc>
          <w:tcPr>
            <w:tcW w:w="3580" w:type="dxa"/>
            <w:vAlign w:val="bottom"/>
          </w:tcPr>
          <w:p>
            <w:pPr>
              <w:spacing w:after="0"/>
              <w:rPr>
                <w:sz w:val="14"/>
                <w:szCs w:val="14"/>
                <w:color w:val="auto"/>
              </w:rPr>
            </w:pP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(321,266)</w:t>
            </w: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Income (loss) from discontinued operations</w:t>
            </w:r>
          </w:p>
        </w:tc>
        <w:tc>
          <w:tcPr>
            <w:tcW w:w="3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(391,171)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27,323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6,476,410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5,332,792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5,071,733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Retained earnings, beginning</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3,356,710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7,424,930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6,593,703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dividend</w:t>
            </w:r>
          </w:p>
        </w:tc>
        <w:tc>
          <w:tcPr>
            <w:tcW w:w="4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(4,470,303)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(7,413,464)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(3,073,505)</w:t>
            </w:r>
          </w:p>
        </w:tc>
      </w:tr>
      <w:tr>
        <w:trPr>
          <w:trHeight w:val="166"/>
        </w:trPr>
        <w:tc>
          <w:tcPr>
            <w:tcW w:w="5700" w:type="dxa"/>
            <w:vAlign w:val="bottom"/>
            <w:gridSpan w:val="4"/>
          </w:tcPr>
          <w:p>
            <w:pPr>
              <w:spacing w:after="0"/>
              <w:rPr>
                <w:sz w:val="20"/>
                <w:szCs w:val="20"/>
                <w:color w:val="auto"/>
              </w:rPr>
            </w:pPr>
            <w:r>
              <w:rPr>
                <w:rFonts w:ascii="Courier New" w:cs="Courier New" w:eastAsia="Courier New" w:hAnsi="Courier New"/>
                <w:sz w:val="14"/>
                <w:szCs w:val="14"/>
                <w:color w:val="auto"/>
              </w:rPr>
              <w:t>Cash dividend (1996 - $.16 per share;</w:t>
            </w: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1995</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 $.20 per share;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 $.12 per share)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(1,729,200)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(2,174,448)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(1,278,164)</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Income tax savings from</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dividends paid on ESOP shares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149,300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186,900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700" w:val="left"/>
          <w:tab w:leader="none" w:pos="8000" w:val="left"/>
          <w:tab w:leader="none" w:pos="9300" w:val="left"/>
        </w:tabs>
        <w:rPr>
          <w:sz w:val="20"/>
          <w:szCs w:val="20"/>
          <w:color w:val="auto"/>
        </w:rPr>
      </w:pPr>
      <w:r>
        <w:rPr>
          <w:rFonts w:ascii="Courier New" w:cs="Courier New" w:eastAsia="Courier New" w:hAnsi="Courier New"/>
          <w:sz w:val="14"/>
          <w:szCs w:val="14"/>
          <w:color w:val="auto"/>
        </w:rPr>
        <w:t>RETAINED EARNINGS, END OF YEAR</w:t>
      </w:r>
      <w:r>
        <w:rPr>
          <w:sz w:val="20"/>
          <w:szCs w:val="20"/>
          <w:color w:val="auto"/>
        </w:rPr>
        <w:tab/>
      </w:r>
      <w:r>
        <w:rPr>
          <w:rFonts w:ascii="Courier New" w:cs="Courier New" w:eastAsia="Courier New" w:hAnsi="Courier New"/>
          <w:sz w:val="14"/>
          <w:szCs w:val="14"/>
          <w:color w:val="auto"/>
        </w:rPr>
        <w:t>$ 3,782,917</w:t>
      </w:r>
      <w:r>
        <w:rPr>
          <w:sz w:val="20"/>
          <w:szCs w:val="20"/>
          <w:color w:val="auto"/>
        </w:rPr>
        <w:tab/>
      </w:r>
      <w:r>
        <w:rPr>
          <w:rFonts w:ascii="Courier New" w:cs="Courier New" w:eastAsia="Courier New" w:hAnsi="Courier New"/>
          <w:sz w:val="14"/>
          <w:szCs w:val="14"/>
          <w:color w:val="auto"/>
        </w:rPr>
        <w:t>$ 3,356,710</w:t>
      </w:r>
      <w:r>
        <w:rPr>
          <w:sz w:val="20"/>
          <w:szCs w:val="20"/>
          <w:color w:val="auto"/>
        </w:rPr>
        <w:tab/>
      </w:r>
      <w:r>
        <w:rPr>
          <w:rFonts w:ascii="Courier New" w:cs="Courier New" w:eastAsia="Courier New" w:hAnsi="Courier New"/>
          <w:sz w:val="14"/>
          <w:szCs w:val="14"/>
          <w:color w:val="auto"/>
        </w:rPr>
        <w:t>$ 7,424,930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800" w:val="left"/>
          <w:tab w:leader="none" w:pos="8080" w:val="left"/>
          <w:tab w:leader="none" w:pos="9380" w:val="left"/>
        </w:tabs>
        <w:rPr>
          <w:sz w:val="20"/>
          <w:szCs w:val="20"/>
          <w:color w:val="auto"/>
        </w:rPr>
      </w:pPr>
      <w:r>
        <w:rPr>
          <w:rFonts w:ascii="Courier New" w:cs="Courier New" w:eastAsia="Courier New" w:hAnsi="Courier New"/>
          <w:sz w:val="14"/>
          <w:szCs w:val="14"/>
          <w:color w:val="auto"/>
        </w:rPr>
        <w:t>Weighted Average Number of Shares Outstanding</w:t>
      </w:r>
      <w:r>
        <w:rPr>
          <w:sz w:val="20"/>
          <w:szCs w:val="20"/>
          <w:color w:val="auto"/>
        </w:rPr>
        <w:tab/>
      </w:r>
      <w:r>
        <w:rPr>
          <w:rFonts w:ascii="Courier New" w:cs="Courier New" w:eastAsia="Courier New" w:hAnsi="Courier New"/>
          <w:sz w:val="14"/>
          <w:szCs w:val="14"/>
          <w:color w:val="auto"/>
        </w:rPr>
        <w:t>11,051,690</w:t>
      </w:r>
      <w:r>
        <w:rPr>
          <w:sz w:val="20"/>
          <w:szCs w:val="20"/>
          <w:color w:val="auto"/>
        </w:rPr>
        <w:tab/>
      </w:r>
      <w:r>
        <w:rPr>
          <w:rFonts w:ascii="Courier New" w:cs="Courier New" w:eastAsia="Courier New" w:hAnsi="Courier New"/>
          <w:sz w:val="14"/>
          <w:szCs w:val="14"/>
          <w:color w:val="auto"/>
        </w:rPr>
        <w:t>11,051,690</w:t>
      </w:r>
      <w:r>
        <w:rPr>
          <w:sz w:val="20"/>
          <w:szCs w:val="20"/>
          <w:color w:val="auto"/>
        </w:rPr>
        <w:tab/>
      </w:r>
      <w:r>
        <w:rPr>
          <w:rFonts w:ascii="Courier New" w:cs="Courier New" w:eastAsia="Courier New" w:hAnsi="Courier New"/>
          <w:sz w:val="14"/>
          <w:szCs w:val="14"/>
          <w:color w:val="auto"/>
        </w:rPr>
        <w:t>11,051,690</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3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$.59</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$.52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360" w:type="dxa"/>
            <w:vAlign w:val="bottom"/>
          </w:tcPr>
          <w:p>
            <w:pPr>
              <w:spacing w:after="0"/>
              <w:rPr>
                <w:sz w:val="14"/>
                <w:szCs w:val="14"/>
                <w:color w:val="auto"/>
              </w:rPr>
            </w:pP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(.04)</w:t>
            </w:r>
          </w:p>
        </w:tc>
        <w:tc>
          <w:tcPr>
            <w:tcW w:w="780" w:type="dxa"/>
            <w:vAlign w:val="bottom"/>
          </w:tcPr>
          <w:p>
            <w:pPr>
              <w:spacing w:after="0"/>
              <w:rPr>
                <w:sz w:val="14"/>
                <w:szCs w:val="14"/>
                <w:color w:val="auto"/>
              </w:rPr>
            </w:pP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3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$.59</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$.48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1300"/>
        <w:spacing w:after="0"/>
        <w:tabs>
          <w:tab w:leader="none" w:pos="1620" w:val="left"/>
        </w:tabs>
        <w:rPr>
          <w:sz w:val="20"/>
          <w:szCs w:val="20"/>
          <w:color w:val="auto"/>
        </w:rPr>
      </w:pPr>
      <w:r>
        <w:rPr>
          <w:rFonts w:ascii="Courier New" w:cs="Courier New" w:eastAsia="Courier New" w:hAnsi="Courier New"/>
          <w:sz w:val="14"/>
          <w:szCs w:val="14"/>
          <w:color w:val="auto"/>
        </w:rPr>
        <w:t>12</w:t>
        <w:tab/>
        <w:t>HAWKINS CHEMICAL, INC. AND SUBSIDIARIES</w:t>
      </w:r>
    </w:p>
    <w:p>
      <w:pPr>
        <w:sectPr>
          <w:pgSz w:w="11900" w:h="16838" w:orient="portrait"/>
          <w:cols w:equalWidth="0" w:num="1">
            <w:col w:w="10680"/>
          </w:cols>
          <w:pgMar w:left="220" w:top="451" w:right="999" w:bottom="1440" w:gutter="0" w:footer="0" w:header="0"/>
        </w:sectPr>
      </w:pPr>
    </w:p>
    <w:bookmarkStart w:id="18" w:name="page19"/>
    <w:bookmarkEnd w:id="18"/>
    <w:p>
      <w:pPr>
        <w:ind w:left="148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p>
      <w:pPr>
        <w:jc w:val="right"/>
        <w:ind w:right="340"/>
        <w:spacing w:after="0"/>
        <w:tabs>
          <w:tab w:leader="none" w:pos="2460" w:val="left"/>
          <w:tab w:leader="none" w:pos="1180" w:val="left"/>
        </w:tabs>
        <w:rPr>
          <w:sz w:val="20"/>
          <w:szCs w:val="20"/>
          <w:color w:val="auto"/>
        </w:rPr>
      </w:pPr>
      <w:r>
        <w:rPr>
          <w:rFonts w:ascii="Courier New" w:cs="Courier New" w:eastAsia="Courier New" w:hAnsi="Courier New"/>
          <w:sz w:val="14"/>
          <w:szCs w:val="14"/>
          <w:color w:val="auto"/>
        </w:rPr>
        <w:t>SEPTEMBER 29,</w:t>
      </w:r>
      <w:r>
        <w:rPr>
          <w:sz w:val="20"/>
          <w:szCs w:val="20"/>
          <w:color w:val="auto"/>
        </w:rPr>
        <w:tab/>
      </w:r>
      <w:r>
        <w:rPr>
          <w:rFonts w:ascii="Courier New" w:cs="Courier New" w:eastAsia="Courier New" w:hAnsi="Courier New"/>
          <w:sz w:val="14"/>
          <w:szCs w:val="14"/>
          <w:color w:val="auto"/>
        </w:rPr>
        <w:t>October 1,</w:t>
      </w:r>
      <w:r>
        <w:rPr>
          <w:sz w:val="20"/>
          <w:szCs w:val="20"/>
          <w:color w:val="auto"/>
        </w:rPr>
        <w:tab/>
      </w:r>
      <w:r>
        <w:rPr>
          <w:rFonts w:ascii="Courier New" w:cs="Courier New" w:eastAsia="Courier New" w:hAnsi="Courier New"/>
          <w:sz w:val="14"/>
          <w:szCs w:val="14"/>
          <w:color w:val="auto"/>
        </w:rPr>
        <w:t>October 2,</w:t>
      </w:r>
    </w:p>
    <w:p>
      <w:pPr>
        <w:spacing w:after="0" w:line="7" w:lineRule="exact"/>
        <w:rPr>
          <w:sz w:val="20"/>
          <w:szCs w:val="20"/>
          <w:color w:val="auto"/>
        </w:rPr>
      </w:pPr>
    </w:p>
    <w:p>
      <w:pPr>
        <w:jc w:val="both"/>
        <w:ind w:left="7420"/>
        <w:spacing w:after="0"/>
        <w:tabs>
          <w:tab w:leader="none" w:pos="8680" w:val="left"/>
          <w:tab w:leader="none" w:pos="998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$6,476,410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$5,332,792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$5,071,733</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Loss on disposal of assets of Tessman Seed, Inc.</w:t>
            </w:r>
          </w:p>
        </w:tc>
        <w:tc>
          <w:tcPr>
            <w:tcW w:w="1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321,266</w:t>
            </w:r>
          </w:p>
        </w:tc>
        <w:tc>
          <w:tcPr>
            <w:tcW w:w="1120" w:type="dxa"/>
            <w:vAlign w:val="bottom"/>
          </w:tcPr>
          <w:p>
            <w:pPr>
              <w:spacing w:after="0"/>
              <w:rPr>
                <w:sz w:val="14"/>
                <w:szCs w:val="14"/>
                <w:color w:val="auto"/>
              </w:rPr>
            </w:pP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Loss (gain) on discontinued operations of Tessman Seed, Inc.</w:t>
            </w:r>
          </w:p>
        </w:tc>
        <w:tc>
          <w:tcPr>
            <w:tcW w:w="1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69,905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(27,323)</w:t>
            </w: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Unusual and nonrecurring charge</w:t>
            </w:r>
          </w:p>
        </w:tc>
        <w:tc>
          <w:tcPr>
            <w:tcW w:w="1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415,000</w:t>
            </w:r>
          </w:p>
        </w:tc>
        <w:tc>
          <w:tcPr>
            <w:tcW w:w="1120" w:type="dxa"/>
            <w:vAlign w:val="bottom"/>
          </w:tcPr>
          <w:p>
            <w:pPr>
              <w:spacing w:after="0"/>
              <w:rPr>
                <w:sz w:val="14"/>
                <w:szCs w:val="14"/>
                <w:color w:val="auto"/>
              </w:rPr>
            </w:pPr>
          </w:p>
        </w:tc>
      </w:tr>
      <w:tr>
        <w:trPr>
          <w:trHeight w:val="166"/>
        </w:trPr>
        <w:tc>
          <w:tcPr>
            <w:tcW w:w="6120" w:type="dxa"/>
            <w:vAlign w:val="bottom"/>
          </w:tcPr>
          <w:p>
            <w:pPr>
              <w:ind w:left="260"/>
              <w:spacing w:after="0"/>
              <w:rPr>
                <w:sz w:val="20"/>
                <w:szCs w:val="20"/>
                <w:color w:val="auto"/>
              </w:rPr>
            </w:pPr>
            <w:r>
              <w:rPr>
                <w:rFonts w:ascii="Courier New" w:cs="Courier New" w:eastAsia="Courier New" w:hAnsi="Courier New"/>
                <w:sz w:val="14"/>
                <w:szCs w:val="14"/>
                <w:color w:val="auto"/>
              </w:rPr>
              <w:t>Reconciliation to cash flows:</w:t>
            </w: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1,412,431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1,303,981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1,194,054</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Amortization</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64,797</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64,797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64,797</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Change in LIFO inventory reserve</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(469,622)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852,658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2,125,188</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Change in inventory market value reserve</w:t>
            </w: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(1,470,000)</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230,511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603,312</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Earnings on insurance trust and other assets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(81,093)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(82,036)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(80,755)</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Gain (loss) from property disposals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(160,212)</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(4,821)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20,294</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accounts providing/(requiring) cash:</w:t>
            </w: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12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771,975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(1,002,452)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(809,851)</w:t>
            </w:r>
          </w:p>
        </w:tc>
      </w:tr>
      <w:tr>
        <w:trPr>
          <w:trHeight w:val="166"/>
        </w:trPr>
        <w:tc>
          <w:tcPr>
            <w:tcW w:w="612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549,547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(1,672,026)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(2,476,256)</w:t>
            </w:r>
          </w:p>
        </w:tc>
      </w:tr>
      <w:tr>
        <w:trPr>
          <w:trHeight w:val="166"/>
        </w:trPr>
        <w:tc>
          <w:tcPr>
            <w:tcW w:w="612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(1,981,770)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2,944,584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1,108,147</w:t>
            </w:r>
          </w:p>
        </w:tc>
      </w:tr>
      <w:tr>
        <w:trPr>
          <w:trHeight w:val="166"/>
        </w:trPr>
        <w:tc>
          <w:tcPr>
            <w:tcW w:w="6120" w:type="dxa"/>
            <w:vAlign w:val="bottom"/>
          </w:tcPr>
          <w:p>
            <w:pPr>
              <w:ind w:left="520"/>
              <w:spacing w:after="0"/>
              <w:rPr>
                <w:sz w:val="20"/>
                <w:szCs w:val="20"/>
                <w:color w:val="auto"/>
              </w:rPr>
            </w:pPr>
            <w:r>
              <w:rPr>
                <w:rFonts w:ascii="Courier New" w:cs="Courier New" w:eastAsia="Courier New" w:hAnsi="Courier New"/>
                <w:sz w:val="14"/>
                <w:szCs w:val="14"/>
                <w:color w:val="auto"/>
              </w:rPr>
              <w:t>Accrued liabilities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(262,185)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280,617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217,820</w:t>
            </w:r>
          </w:p>
        </w:tc>
      </w:tr>
      <w:tr>
        <w:trPr>
          <w:trHeight w:val="166"/>
        </w:trPr>
        <w:tc>
          <w:tcPr>
            <w:tcW w:w="612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690,994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(49,627)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(367,043)</w:t>
            </w:r>
          </w:p>
        </w:tc>
      </w:tr>
      <w:tr>
        <w:trPr>
          <w:trHeight w:val="166"/>
        </w:trPr>
        <w:tc>
          <w:tcPr>
            <w:tcW w:w="6120" w:type="dxa"/>
            <w:vAlign w:val="bottom"/>
          </w:tcPr>
          <w:p>
            <w:pPr>
              <w:ind w:left="520"/>
              <w:spacing w:after="0"/>
              <w:rPr>
                <w:sz w:val="20"/>
                <w:szCs w:val="20"/>
                <w:color w:val="auto"/>
              </w:rPr>
            </w:pPr>
            <w:r>
              <w:rPr>
                <w:rFonts w:ascii="Courier New" w:cs="Courier New" w:eastAsia="Courier New" w:hAnsi="Courier New"/>
                <w:sz w:val="14"/>
                <w:szCs w:val="14"/>
                <w:color w:val="auto"/>
              </w:rPr>
              <w:t>Change in net assets of discontinued operations</w:t>
            </w:r>
          </w:p>
        </w:tc>
        <w:tc>
          <w:tcPr>
            <w:tcW w:w="1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66,166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646,184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7,241,783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8,812,004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5,820,301</w:t>
            </w:r>
          </w:p>
        </w:tc>
      </w:tr>
    </w:tbl>
    <w:p>
      <w:pPr>
        <w:spacing w:after="0" w:line="4"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Additions to property, plant, and equipment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(4,299,071)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(3,650,719)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(1,762,952)</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Purchase of investments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(3,183,787)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(2,282,044)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(3,657,533)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Sale of investments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647,945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890,026</w:t>
            </w:r>
          </w:p>
        </w:tc>
        <w:tc>
          <w:tcPr>
            <w:tcW w:w="112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Acquisition of Industrial Chemical</w:t>
            </w: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(1,772,706)</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Proceeds from property disposals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198,069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494,670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39,481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Cash received on sale of assets and business of Tessman Seed, Inc.</w:t>
            </w:r>
          </w:p>
        </w:tc>
        <w:tc>
          <w:tcPr>
            <w:tcW w:w="156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220,726</w:t>
            </w:r>
          </w:p>
        </w:tc>
        <w:tc>
          <w:tcPr>
            <w:tcW w:w="112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Payments received on notes receivable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55,293</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(6,581,551)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(4,327,341)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(7,153,710)</w:t>
            </w:r>
          </w:p>
        </w:tc>
      </w:tr>
    </w:tbl>
    <w:p>
      <w:pPr>
        <w:spacing w:after="0" w:line="4"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repayment</w:t>
            </w:r>
          </w:p>
        </w:tc>
        <w:tc>
          <w:tcPr>
            <w:tcW w:w="2840" w:type="dxa"/>
            <w:vAlign w:val="bottom"/>
          </w:tcPr>
          <w:p>
            <w:pPr>
              <w:spacing w:after="0"/>
              <w:rPr>
                <w:sz w:val="14"/>
                <w:szCs w:val="14"/>
                <w:color w:val="auto"/>
              </w:rPr>
            </w:pPr>
          </w:p>
        </w:tc>
        <w:tc>
          <w:tcPr>
            <w:tcW w:w="3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(52,344)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(48,919)</w:t>
            </w:r>
          </w:p>
        </w:tc>
        <w:tc>
          <w:tcPr>
            <w:tcW w:w="112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dividends</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paid</w:t>
            </w:r>
          </w:p>
        </w:tc>
        <w:tc>
          <w:tcPr>
            <w:tcW w:w="3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(1,581,870)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(1,437,644)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(1,278,164)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(1,634,214)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(1,486,563)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(1,278,164)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7"/>
          </w:tcPr>
          <w:p>
            <w:pPr>
              <w:spacing w:after="0"/>
              <w:rPr>
                <w:sz w:val="20"/>
                <w:szCs w:val="20"/>
                <w:color w:val="auto"/>
              </w:rPr>
            </w:pPr>
            <w:r>
              <w:rPr>
                <w:rFonts w:ascii="Courier New" w:cs="Courier New" w:eastAsia="Courier New" w:hAnsi="Courier New"/>
                <w:sz w:val="14"/>
                <w:szCs w:val="14"/>
                <w:color w:val="auto"/>
              </w:rPr>
              <w:t>Net (Decrease) Increase in Cash and</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(973,982)</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2,998,100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(2,611,573)</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9,906,107</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6,908,007</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9,519,580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END OF</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$8,932,125</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$9,906,107</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$6,908,007</w:t>
            </w:r>
          </w:p>
        </w:tc>
      </w:tr>
    </w:tbl>
    <w:p>
      <w:pPr>
        <w:spacing w:after="0" w:line="4"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DISCLOSURES OF CASH FLOW INFORMATION</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Note receivable on sale of Tessman Seed, Inc.</w:t>
            </w:r>
          </w:p>
        </w:tc>
        <w:tc>
          <w:tcPr>
            <w:tcW w:w="24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$1,044,714</w:t>
            </w:r>
          </w:p>
        </w:tc>
        <w:tc>
          <w:tcPr>
            <w:tcW w:w="1080" w:type="dxa"/>
            <w:vAlign w:val="bottom"/>
          </w:tcPr>
          <w:p>
            <w:pPr>
              <w:spacing w:after="0"/>
              <w:rPr>
                <w:sz w:val="14"/>
                <w:szCs w:val="1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4860" w:type="dxa"/>
            <w:vAlign w:val="bottom"/>
          </w:tcPr>
          <w:p>
            <w:pPr>
              <w:ind w:left="80"/>
              <w:spacing w:after="0"/>
              <w:rPr>
                <w:sz w:val="20"/>
                <w:szCs w:val="20"/>
                <w:color w:val="auto"/>
              </w:rPr>
            </w:pPr>
            <w:r>
              <w:rPr>
                <w:rFonts w:ascii="Courier New" w:cs="Courier New" w:eastAsia="Courier New" w:hAnsi="Courier New"/>
                <w:sz w:val="14"/>
                <w:szCs w:val="14"/>
                <w:color w:val="auto"/>
              </w:rPr>
              <w:t>receivable on sale of land and building</w:t>
            </w:r>
          </w:p>
        </w:tc>
        <w:tc>
          <w:tcPr>
            <w:tcW w:w="2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$1,100,000</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4860" w:type="dxa"/>
            <w:vAlign w:val="bottom"/>
          </w:tcPr>
          <w:p>
            <w:pPr>
              <w:ind w:left="80"/>
              <w:spacing w:after="0"/>
              <w:rPr>
                <w:sz w:val="20"/>
                <w:szCs w:val="20"/>
                <w:color w:val="auto"/>
              </w:rPr>
            </w:pPr>
            <w:r>
              <w:rPr>
                <w:rFonts w:ascii="Courier New" w:cs="Courier New" w:eastAsia="Courier New" w:hAnsi="Courier New"/>
                <w:sz w:val="14"/>
                <w:szCs w:val="14"/>
                <w:color w:val="auto"/>
              </w:rPr>
              <w:t>paid during the year for:</w:t>
            </w: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$56,834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$58,389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$16,054</w:t>
            </w:r>
          </w:p>
        </w:tc>
      </w:tr>
      <w:tr>
        <w:trPr>
          <w:trHeight w:val="331"/>
        </w:trPr>
        <w:tc>
          <w:tcPr>
            <w:tcW w:w="36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$3,942,596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$2,717,611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$3,461,361</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00"/>
        <w:spacing w:after="0"/>
        <w:tabs>
          <w:tab w:leader="none" w:pos="3520" w:val="left"/>
        </w:tabs>
        <w:rPr>
          <w:sz w:val="20"/>
          <w:szCs w:val="20"/>
          <w:color w:val="auto"/>
        </w:rPr>
      </w:pPr>
      <w:r>
        <w:rPr>
          <w:rFonts w:ascii="Courier New" w:cs="Courier New" w:eastAsia="Courier New" w:hAnsi="Courier New"/>
          <w:sz w:val="14"/>
          <w:szCs w:val="14"/>
          <w:color w:val="auto"/>
        </w:rPr>
        <w:t>13</w:t>
        <w:tab/>
        <w:t>HAWKINS CHEMICAL, INC. AND SUBSIDIARIES</w:t>
      </w:r>
    </w:p>
    <w:p>
      <w:pPr>
        <w:sectPr>
          <w:pgSz w:w="11900" w:h="16838" w:orient="portrait"/>
          <w:cols w:equalWidth="0" w:num="1">
            <w:col w:w="10680"/>
          </w:cols>
          <w:pgMar w:left="220" w:top="451" w:right="999" w:bottom="1440" w:gutter="0" w:footer="0" w:header="0"/>
        </w:sectPr>
      </w:pPr>
    </w:p>
    <w:bookmarkStart w:id="19" w:name="page20"/>
    <w:bookmarkEnd w:id="19"/>
    <w:p>
      <w:pPr>
        <w:spacing w:after="0" w:line="4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NATURE OF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SIGNIFICANT ACCOUNTING POLICIES</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NATURE OF BUSINESS - Hawkins Chemical, Inc. and its subsidiaries are engaged in the wholesale trade of chemicals and chemical feeding and control equipment and the formulating and blending of specialty chemicals.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BASIS OF CONSOLIDATION - The financial statements include the consolidated accounts of Hawkins Chemical, Inc. and its wholly owned subsidiaries (the Company). All significant inter-company transactions and balances have been eliminated. The Company's fiscal year is a 52/53-week year ending on the Sunday closest to September 30.</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CASH EQUIVALENTS - For the purpose of these statements, cash equivalents include all liquid debt instruments (primarily cash funds and certificates of deposits) purchased with an original maturity of three months or less. Cash equivalents are carried at fair value, which approximates cost.</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INVESTMENTS - Investments classified as available-for-sale consist of insurance contracts and marketable securities (primarily municipal bonds and annuity contracts) carried at fair value which approximates cost.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October 3, 1994, the Company adopted Statement of Financial Accounting Standards SFAS No. 115, "Accounting for Certain Investments in Debt and Equity Securities." This statement requires all investments classified as available-for-sale in equity securities that have readily determinable fair values and all investments in debt securities to be accounted for and reported at fair value. Prior to 1995, the Company accounted for investments at lower of cost or market which approximated fair value. The adoption of SFAS No. 115 resulted in no cumulative effect on operations, and the prior years' consolidated financial statements were not restated.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INVENTORIES - Inventories, consisting primarily of finished goods, are valued at the lower of cost or net realizable value, with cost being determined using the last-in, first-out (LIFO) method for Hawkins Chemical, Inc. and most subsidiaries. The majority of the inventories for two subsidiaries are valued using the first-in, first-out (FIFO) cost method (see Note 3).</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PROPERTY, PLANT AND EQUIPMENT - Property is stated at cost and depreciated over the lives of the assets using both straight-line and declining-balance methods. Estimated lives are: 10 to 50 years for buildings and improvements; 3 to 15 years for machinery and equipment; 3 to 10 years for transportation equipment; and 3 to 10 years for office furniture and equipment.</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INTANGIBLES - The excess of cost of investments in subsidiaries over equity in net assets of $245,145 is being amortized over forty years. Additionally, goodwill associated with the purchase of Industrial Chemical &amp; Equipment in the amount of $880,016 is being amortized over 15 years.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INSURANCE TRUST - From October 1, 1985 through September 30, 1989, the Company was self-insured for the risk of losses from product liability. The Company deposited amounts in a self-insurance trust account to fund any losses (none have been incurred since 1985). Since October 1989, the Company has had insurance coverage for product liability for up to $1,000,000 in claims made annually.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INCOME TAXES - The Company adopted Financial Accounting Standards SFAS No. 109, "Accounting for Income Taxes," effective the beginning of fiscal 1994.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statements and the tax basis of assets and liabilities using enacted tax rates in effect for the years in which the differences are expected to reverse.</w:t>
      </w:r>
    </w:p>
    <w:p>
      <w:pPr>
        <w:spacing w:after="0" w:line="164"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REVENUE RECOGNITION - The Company recognizes revenues upon shipment of the product.</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EARNINGS PER SHARE - The earnings per share computation is based on the weighted average number of common shares outstanding during the year. The average number of common shares, earnings per share and cash dividends per share for the years ended October 1, 1995 and October 2, 1994 have been restated to reflect the 1996 stock dividend (see Note 4).</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CONCENTRATION OF CREDIT RISK - Financial instruments which potentially subject the Company to a concentration of credit risk principally consist of cash, short-term investments and trade receivables. The Company sells its principal products to a large number of customers in many different industries. To reduce credit risk, the Company routinely assesses the financial strength of its customers. The Company invests its excess cash balances in certificates of deposit at a single financial institution. At September 29, 1996, the Company had certificates of deposits in excess of federally insured limits of approximately $5,864,000.</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RISK AND UNCERTAINTIES - There are no concentrations of business transacted with a particular customer or supplier nor concentrations of revenue from a particular service or geographic area that would severely impact the Company in</w:t>
      </w:r>
    </w:p>
    <w:p>
      <w:pPr>
        <w:sectPr>
          <w:pgSz w:w="11900" w:h="16887" w:orient="portrait"/>
          <w:cols w:equalWidth="0" w:num="1">
            <w:col w:w="10239"/>
          </w:cols>
          <w:pgMar w:left="220" w:top="947"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the near term.</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ACCOUNTING PRONOUNCEMENTS - In October 1995, the Financial Accounting Standards Board issued SFAS No. 123, "Accounting for Stock-Based Compensation," which requires adoption of the disclosure provisions and/or the adoption of the recognition and measurement provisions for nonemployee transactions no later than December 15, 1995. The Company does not believe the adoption of SFAS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123 will have a material impact on the financial statements.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1996, the American Institute of Certified Public Accountants issued Statement of Position 96-1, "Environmental Remediation Liabilities." The statement is effective for fiscal years beginning after December 15, 1996. While the Company is currently defending certain legal and administrative proceedings in connection with landfill sites in which products distributed by the Company were ultimately disposed of by other parties (see Note 8), management does not believe this statement will have a significant impact on the financial statements.</w:t>
      </w:r>
    </w:p>
    <w:p>
      <w:pPr>
        <w:spacing w:after="0" w:line="200" w:lineRule="exact"/>
        <w:rPr>
          <w:sz w:val="20"/>
          <w:szCs w:val="20"/>
          <w:color w:val="auto"/>
        </w:rPr>
      </w:pPr>
    </w:p>
    <w:p>
      <w:pPr>
        <w:spacing w:after="0" w:line="295"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14 HAWKINS CHEMICAL, INC. AND SUBSIDIARIES</w:t>
      </w:r>
    </w:p>
    <w:p>
      <w:pPr>
        <w:sectPr>
          <w:pgSz w:w="11900" w:h="16838" w:orient="portrait"/>
          <w:cols w:equalWidth="0" w:num="1">
            <w:col w:w="10239"/>
          </w:cols>
          <w:pgMar w:left="220" w:top="141" w:right="1440" w:bottom="1440" w:gutter="0" w:footer="0" w:header="0"/>
        </w:sectPr>
      </w:pPr>
    </w:p>
    <w:bookmarkStart w:id="21" w:name="page22"/>
    <w:bookmarkEnd w:id="21"/>
    <w:p>
      <w:pPr>
        <w:spacing w:after="0" w:line="41"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 PENSION, PROFIT-SHARING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EMPLOYEE STOCKOWNERSHIP PLANS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defined contribution pension plan covering substantially all of its non-union employees. Pension expense for the years ended September 29, 1996, October 1, 1995 and October 2, 1994 was $425,398, $363,498 and $331,990, respectively. The Company's cost for the pension plan is determined as 7% of each employee's covered compensation. Amounts charged to pension expense and contributed to union multi-employer pension plans (not included in the above amounts) were not material. It is the Company's policy to fund all pension costs accrued.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an employee stock ownership plan and a profit-sharing plan covering substantially all of its non-union employees. Contributions are made at the discretion of the Board of Directors subject to a maximum amount allowed under the Internal Revenue Code. Contributions for the years ended September 29, 1996, October 1, 1995 and October 2, 1994 were $824,955, $793,244 and $740,379, respectively. The Company does not currently offer any post-retirement benefits or deferred stock compensation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 INVENTORIES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consist of the following:</w:t>
      </w:r>
    </w:p>
    <w:p>
      <w:pPr>
        <w:spacing w:after="0" w:line="173"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9/29/96</w:t>
      </w:r>
      <w:r>
        <w:rPr>
          <w:sz w:val="20"/>
          <w:szCs w:val="20"/>
          <w:color w:val="auto"/>
        </w:rPr>
        <w:tab/>
      </w:r>
      <w:r>
        <w:rPr>
          <w:rFonts w:ascii="Courier New" w:cs="Courier New" w:eastAsia="Courier New" w:hAnsi="Courier New"/>
          <w:sz w:val="14"/>
          <w:szCs w:val="14"/>
          <w:color w:val="auto"/>
        </w:rPr>
        <w:t>10/1/95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Finished goods (FIFO Basis)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9,957,665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10,507,212</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LIFO reserve</w:t>
            </w:r>
          </w:p>
        </w:tc>
        <w:tc>
          <w:tcPr>
            <w:tcW w:w="3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(1,373,631)</w:t>
            </w:r>
          </w:p>
        </w:tc>
        <w:tc>
          <w:tcPr>
            <w:tcW w:w="20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(1,843,253)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Net inventory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8,584,034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8,663,959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Inventories valued under the LIFO method were approximately $7,652,000 and $7,736,000, respectively. The balance of the inventory was valued under the FIFO method.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1996, the LIFO reserve decreased by $469,622. As a result, the ending LIFO cost was less than the ending cost determined using the first-in, first-out (FIFO) method by $1,373,631. The decrease in the LIFO reserve was caused by a significant decrease in the cost of a single, large-volume component of inventory. One of the Company's subsidiaries liquidated LIFO inventory layers that were at lower costs than current costs. The impact of the liquidation on cost of sales was approximately $25,000.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 COMMON STOCK</w:t>
      </w:r>
    </w:p>
    <w:p>
      <w:pPr>
        <w:spacing w:after="0" w:line="7" w:lineRule="exact"/>
        <w:rPr>
          <w:sz w:val="20"/>
          <w:szCs w:val="20"/>
          <w:color w:val="auto"/>
        </w:rPr>
      </w:pPr>
    </w:p>
    <w:p>
      <w:pPr>
        <w:ind w:left="3200"/>
        <w:spacing w:after="0"/>
        <w:tabs>
          <w:tab w:leader="none" w:pos="498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Add'l Paid-in</w:t>
      </w:r>
    </w:p>
    <w:p>
      <w:pPr>
        <w:spacing w:after="0" w:line="7" w:lineRule="exact"/>
        <w:rPr>
          <w:sz w:val="20"/>
          <w:szCs w:val="20"/>
          <w:color w:val="auto"/>
        </w:rPr>
      </w:pPr>
    </w:p>
    <w:p>
      <w:pPr>
        <w:ind w:left="2860"/>
        <w:spacing w:after="0"/>
        <w:tabs>
          <w:tab w:leader="none" w:pos="4120" w:val="left"/>
          <w:tab w:leader="none" w:pos="524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Capital</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October 3, 1993</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9,113,862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455,693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$23,819,250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5% stock</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dividend</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455,334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3,050,738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Balance, October 2, 1994</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9,569,196</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478,460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26,869,988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10% stock dividend</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956,576</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7,365,635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October 1, 1995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10,525,772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526,289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34,235,623</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5% stock</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dividend</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525,918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26,296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4,444,007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September 29,1996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11,051,690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552,585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$38,679,630</w:t>
            </w:r>
          </w:p>
        </w:tc>
      </w:tr>
    </w:tbl>
    <w:p>
      <w:pPr>
        <w:spacing w:after="0" w:line="4"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stock dividends in 1996, 1995 and 1994 were accounted for by transferring the fair value of the issued stock from retained earnings to the categories of permanent capitalization as common stock (par value) and additional paid-in capital.</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 INCOME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provisions for income taxes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Federal - current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$3,011,755</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$2,972,203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$2,040,755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States - current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799,010</w:t>
            </w:r>
          </w:p>
        </w:tc>
        <w:tc>
          <w:tcPr>
            <w:tcW w:w="13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820,997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719,133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159,876</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603,312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 (benefit) provision</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$3,970,641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$3,764,400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$3,363,200</w:t>
            </w:r>
          </w:p>
        </w:tc>
      </w:tr>
    </w:tbl>
    <w:p>
      <w:pPr>
        <w:spacing w:after="0" w:line="4"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Federal - current</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$(190,300)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$13,300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States - current</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(70,400)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(benefit) provision</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$(260,700)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 reconciliation of the provision for income taxes, based on income from continuing operations, to the applicable federal statutory income tax rate is as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jc w:val="right"/>
              <w:ind w:right="3508"/>
              <w:spacing w:after="0"/>
              <w:rPr>
                <w:sz w:val="20"/>
                <w:szCs w:val="20"/>
                <w:color w:val="auto"/>
              </w:rPr>
            </w:pPr>
            <w:r>
              <w:rPr>
                <w:rFonts w:ascii="Courier New" w:cs="Courier New" w:eastAsia="Courier New" w:hAnsi="Courier New"/>
                <w:sz w:val="14"/>
                <w:szCs w:val="14"/>
                <w:color w:val="auto"/>
              </w:rPr>
              <w:t>follows:</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gridSpan w:val="3"/>
          </w:tcPr>
          <w:p>
            <w:pPr>
              <w:spacing w:after="0"/>
              <w:rPr>
                <w:sz w:val="20"/>
                <w:szCs w:val="20"/>
                <w:color w:val="auto"/>
              </w:rPr>
            </w:pPr>
            <w:r>
              <w:rPr>
                <w:rFonts w:ascii="Courier New" w:cs="Courier New" w:eastAsia="Courier New" w:hAnsi="Courier New"/>
                <w:sz w:val="14"/>
                <w:szCs w:val="14"/>
                <w:color w:val="auto"/>
              </w:rPr>
              <w:t>Statutory federal income tax (35%)$3,656,468</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$3,320,927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$2,942,663</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Effect of graduated</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rate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(104,471)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(94,884)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(84,076)</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State income taxes,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net of</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ectPr>
          <w:pgSz w:w="11900" w:h="16880" w:orient="portrait"/>
          <w:cols w:equalWidth="0" w:num="1">
            <w:col w:w="10239"/>
          </w:cols>
          <w:pgMar w:left="220" w:top="616" w:right="1440"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federal deduction</w:t>
            </w:r>
          </w:p>
        </w:tc>
        <w:tc>
          <w:tcPr>
            <w:tcW w:w="1800" w:type="dxa"/>
            <w:vAlign w:val="bottom"/>
          </w:tcPr>
          <w:p>
            <w:pPr>
              <w:ind w:left="820"/>
              <w:spacing w:after="0"/>
              <w:rPr>
                <w:sz w:val="20"/>
                <w:szCs w:val="20"/>
                <w:color w:val="auto"/>
              </w:rPr>
            </w:pPr>
            <w:r>
              <w:rPr>
                <w:rFonts w:ascii="Courier New" w:cs="Courier New" w:eastAsia="Courier New" w:hAnsi="Courier New"/>
                <w:sz w:val="14"/>
                <w:szCs w:val="14"/>
                <w:color w:val="auto"/>
              </w:rPr>
              <w:t>549,531</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520,955</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380,829</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Tax-exempt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800" w:type="dxa"/>
            <w:vAlign w:val="bottom"/>
          </w:tcPr>
          <w:p>
            <w:pPr>
              <w:ind w:left="820"/>
              <w:spacing w:after="0"/>
              <w:rPr>
                <w:sz w:val="20"/>
                <w:szCs w:val="20"/>
                <w:color w:val="auto"/>
              </w:rPr>
            </w:pPr>
            <w:r>
              <w:rPr>
                <w:rFonts w:ascii="Courier New" w:cs="Courier New" w:eastAsia="Courier New" w:hAnsi="Courier New"/>
                <w:sz w:val="14"/>
                <w:szCs w:val="14"/>
                <w:color w:val="auto"/>
              </w:rPr>
              <w:t>(97,325)</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(90,925)</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w w:val="98"/>
              </w:rPr>
              <w:t>(28,610)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460" w:type="dxa"/>
            <w:vAlign w:val="bottom"/>
          </w:tcPr>
          <w:p>
            <w:pPr>
              <w:spacing w:after="0"/>
              <w:rPr>
                <w:sz w:val="14"/>
                <w:szCs w:val="14"/>
                <w:color w:val="auto"/>
              </w:rPr>
            </w:pPr>
          </w:p>
        </w:tc>
        <w:tc>
          <w:tcPr>
            <w:tcW w:w="1800" w:type="dxa"/>
            <w:vAlign w:val="bottom"/>
          </w:tcPr>
          <w:p>
            <w:pPr>
              <w:ind w:left="820"/>
              <w:spacing w:after="0"/>
              <w:rPr>
                <w:sz w:val="20"/>
                <w:szCs w:val="20"/>
                <w:color w:val="auto"/>
              </w:rPr>
            </w:pPr>
            <w:r>
              <w:rPr>
                <w:rFonts w:ascii="Courier New" w:cs="Courier New" w:eastAsia="Courier New" w:hAnsi="Courier New"/>
                <w:sz w:val="14"/>
                <w:szCs w:val="14"/>
                <w:color w:val="auto"/>
              </w:rPr>
              <w:t>(33,562)</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108,327</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152,394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2920" w:val="left"/>
          <w:tab w:leader="none" w:pos="4200" w:val="left"/>
          <w:tab w:leader="none" w:pos="55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$3,970,641</w:t>
      </w:r>
      <w:r>
        <w:rPr>
          <w:sz w:val="20"/>
          <w:szCs w:val="20"/>
          <w:color w:val="auto"/>
        </w:rPr>
        <w:tab/>
      </w:r>
      <w:r>
        <w:rPr>
          <w:rFonts w:ascii="Courier New" w:cs="Courier New" w:eastAsia="Courier New" w:hAnsi="Courier New"/>
          <w:sz w:val="14"/>
          <w:szCs w:val="14"/>
          <w:color w:val="auto"/>
        </w:rPr>
        <w:t>$3,764,400</w:t>
      </w:r>
      <w:r>
        <w:rPr>
          <w:sz w:val="20"/>
          <w:szCs w:val="20"/>
          <w:color w:val="auto"/>
        </w:rPr>
        <w:tab/>
      </w:r>
      <w:r>
        <w:rPr>
          <w:rFonts w:ascii="Courier New" w:cs="Courier New" w:eastAsia="Courier New" w:hAnsi="Courier New"/>
          <w:sz w:val="14"/>
          <w:szCs w:val="14"/>
          <w:color w:val="auto"/>
        </w:rPr>
        <w:t>$3,363,200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tax effects of items comprising the Company's net deferred tax asset (liability) are as follows:</w:t>
      </w:r>
    </w:p>
    <w:p>
      <w:pPr>
        <w:spacing w:after="0" w:line="160" w:lineRule="exact"/>
        <w:rPr>
          <w:sz w:val="20"/>
          <w:szCs w:val="20"/>
          <w:color w:val="auto"/>
        </w:rPr>
      </w:pPr>
    </w:p>
    <w:p>
      <w:pPr>
        <w:ind w:left="3460"/>
        <w:spacing w:after="0"/>
        <w:tabs>
          <w:tab w:leader="none" w:pos="472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deferred taxes: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Accruals and reserves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$ 160,255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323,624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Inventory capitalization</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274,369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257,326</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Bad debt reserves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127,578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137,103</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21,798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47,458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66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254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584,000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765,511</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66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Noncurrent deferred taxes: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66"/>
        </w:trPr>
        <w:tc>
          <w:tcPr>
            <w:tcW w:w="10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Property basis differences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(426,800)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(377,800)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prepaid expenses and other on the consolidated balance sheets.</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15 HAWKINS CHEMICAL, INC. AND SUBSIDIARIES</w:t>
      </w:r>
    </w:p>
    <w:p>
      <w:pPr>
        <w:sectPr>
          <w:pgSz w:w="11900" w:h="16838" w:orient="portrait"/>
          <w:cols w:equalWidth="0" w:num="1">
            <w:col w:w="10239"/>
          </w:cols>
          <w:pgMar w:left="220" w:top="141" w:right="1440" w:bottom="1440" w:gutter="0" w:footer="0" w:header="0"/>
        </w:sectPr>
      </w:pPr>
    </w:p>
    <w:bookmarkStart w:id="23" w:name="page24"/>
    <w:bookmarkEnd w:id="23"/>
    <w:p>
      <w:pPr>
        <w:spacing w:after="0" w:line="4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 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at September 29, 1996 and October 1, 1995 is summarized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payable, due in</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annual installments to 2002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$ 628,461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680,805</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current portion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56,008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52,344</w:t>
            </w:r>
          </w:p>
        </w:tc>
      </w:tr>
    </w:tbl>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5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$ 572,453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628,461</w:t>
            </w:r>
          </w:p>
        </w:tc>
      </w:tr>
    </w:tbl>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Long-term debt maturities for the five fiscal years subsequent to 1996 are: 1997 - $56,008, 1998 - $59,928, 1999 - $89,123, 2000 - $95,362, 2001 - $102,037, and thereafter $226,003.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 LEASES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various operating leases for land and buildings on which some of its operations are located. Total rental expense for the years ended September 29, 1996, October 1, 1995 and October 2, 1994 was $60,955, $41,042 and $87,196, respectively. Future minimum lease payments due under operating leases with an initial term of one year or more at September 29, 1996 were: 1997 - $34,385; 1998 - $34,385; 1999 - $8,596.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 CONTINGENCIES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subject to various federal, state and local provisions regarding discharge of materials into the environment or otherwise relating to the protection of the environment. The Company is currently defending certain legal and administrative proceedings in connection with landfill sites in which products distributed by the Company were ultimately disposed of by other parties. While the outcome of such matters is particularly difficult to predict, management does not expect that these matters will have a material adverse effect on the consolidated financial condition of the Company or results of operations.</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1995, the Company had a fire in the office/warehouse of The Lynde Company, a wholly owned subsidiary. The building, inventory, financial records and office equipment destroyed in the fire were fully insured. Included in prepaids and other assets at October 1, 1995 the Company had $572,351 recorded for reimbursements due from the insurance company related to the items destroyed. Subsequent to October 1, 1995 this amount has been received from the insurance company. The Company's operations were not materially impacted by the event as operations were able to be relocated to other facilities.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unusual and nonrecurring charge of $750,000 was recorded in 1995 to cover estimated settlement costs to be incurred by the Company in connection with a lawsuit filed against the Company as a result of the fire. As of September 29, 1996, the Company had paid $626,800 in settlement and legal costs related to the fire. At September 29, 1996, management estimates that the Company will incur additional costs related to the lawsuit. The remaining reserve represents management's best estimate of those additional costs. Based on two favorable lower court rulings, management believes that all or a portion of the settlement costs incurred to date related to the Lynde fire may be recoverable from their insurers. The Company's insurers have indicated that they intend to appeal the lower courts' decisions to the Eighth Circuit Court of Appeals. It is not possible, therefore, to determine at this time what recovery, if any, may be obtained by the Company and no amount has been recorded at September 29, 1996.</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 DISCONTINUED OPERATIONS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Effective March 1, 1995, the Company sold the inventory, equipment and operations of Tessman Seed, Inc., which sold a wide range of horticulture and pest control products. As a result of the sale, the Company recorded a loss on the disposal of $321,166, net of a tax benefit of $214,200, to write down Tessman's assets to the amount realized.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results of Tessman Seed, Inc., for the years ended October 1, 1995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 1994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300" w:type="dxa"/>
            <w:vAlign w:val="bottom"/>
          </w:tcPr>
          <w:p>
            <w:pPr>
              <w:spacing w:after="0"/>
              <w:rPr>
                <w:sz w:val="14"/>
                <w:szCs w:val="14"/>
                <w:color w:val="auto"/>
              </w:rPr>
            </w:pP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$931,105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$4,580,703</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1,047,510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4,535,180</w:t>
            </w:r>
          </w:p>
        </w:tc>
      </w:tr>
    </w:tbl>
    <w:p>
      <w:pPr>
        <w:spacing w:after="0" w:line="17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At October 1, 1995, there were no assets or liabilities related to Tessman Seed remaining.</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inventory, equipment and operations of Tessman were sold for $1,144,714. At closing Hawkins received $100,000 and a note receivable for the balance (see Note 10).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 NOTES RECEIVABLE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September 29, 1996 and October 1, 1995, the net balances outstanding on the note receivable from the sale of Tessman Seed was $883,988 and $923,988, respectively. On March 1, 1996, the balance of the note receivable was refinanced at the request of the borrower. The note receivable is currently due in ten equal installments of $146,466 with interest at 8%.</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1996, the Company sold the building that was formerly rented to the Company's discontinued subsidiary (see Note 9). The Company realized a gain of $142,028 on the sale. The Company received a $1,100,000 note receivable and cash of $108,188 at the time of the sale. The note receivable is secured by the building and is due in monthly installments of $9,201 including interest at 8% through January 1, 2004, when the remaining balance of $849,985 is due. At</w:t>
      </w:r>
    </w:p>
    <w:p>
      <w:pPr>
        <w:sectPr>
          <w:pgSz w:w="11900" w:h="16885" w:orient="portrait"/>
          <w:cols w:equalWidth="0" w:num="1">
            <w:col w:w="10239"/>
          </w:cols>
          <w:pgMar w:left="220" w:top="616"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September 29, 1996, the balance outstanding was $1,084,706.</w:t>
      </w:r>
    </w:p>
    <w:p>
      <w:pPr>
        <w:spacing w:after="0" w:line="338" w:lineRule="exact"/>
        <w:rPr>
          <w:sz w:val="20"/>
          <w:szCs w:val="20"/>
          <w:color w:val="auto"/>
        </w:rPr>
      </w:pPr>
    </w:p>
    <w:p>
      <w:pPr>
        <w:jc w:val="right"/>
        <w:ind w:right="4719"/>
        <w:spacing w:after="0"/>
        <w:rPr>
          <w:sz w:val="20"/>
          <w:szCs w:val="20"/>
          <w:color w:val="auto"/>
        </w:rPr>
      </w:pPr>
      <w:r>
        <w:rPr>
          <w:rFonts w:ascii="Courier New" w:cs="Courier New" w:eastAsia="Courier New" w:hAnsi="Courier New"/>
          <w:sz w:val="14"/>
          <w:szCs w:val="14"/>
          <w:color w:val="auto"/>
        </w:rPr>
        <w:t>16 HAWKINS CHEMICAL, INC. AND SUBSIDIARIES</w:t>
      </w:r>
    </w:p>
    <w:p>
      <w:pPr>
        <w:sectPr>
          <w:pgSz w:w="11900" w:h="16838" w:orient="portrait"/>
          <w:cols w:equalWidth="0" w:num="1">
            <w:col w:w="10239"/>
          </w:cols>
          <w:pgMar w:left="220" w:top="141" w:right="1440" w:bottom="1440" w:gutter="0" w:footer="0" w:header="0"/>
        </w:sectPr>
      </w:pPr>
    </w:p>
    <w:bookmarkStart w:id="25" w:name="page26"/>
    <w:bookmarkEnd w:id="25"/>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Hawkins Chemical, Inc.:</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Hawkins Chemical, Inc. and its subsidiaries (the Company) as of September 29, 1996 and October 1, 1995 and the related consolidated statements of income and retained earnings and of cash flows for each of the three years in the period ended September 29, 1996.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Hawkins Chemical, Inc. and its subsidiaries at September 29, 1996 and October 1, 1995 and the results of their operations and their cash flows for each of the three years in the period ended September 29, 1996 in conformity with generally accepted accounting principles.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 1996</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17 HAWKINS CHEMICAL, INC. AND SUBSIDIARIES</w:t>
      </w:r>
    </w:p>
    <w:p>
      <w:pPr>
        <w:sectPr>
          <w:pgSz w:w="11900" w:h="16838" w:orient="portrait"/>
          <w:cols w:equalWidth="0" w:num="1">
            <w:col w:w="10239"/>
          </w:cols>
          <w:pgMar w:left="220" w:top="616" w:right="1440" w:bottom="1440" w:gutter="0" w:footer="0" w:header="0"/>
        </w:sectPr>
      </w:pPr>
    </w:p>
    <w:bookmarkStart w:id="26" w:name="page27"/>
    <w:bookmarkEnd w:id="26"/>
    <w:p>
      <w:pPr>
        <w:jc w:val="center"/>
        <w:ind w:right="2819"/>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THE INFORMATION CONTAINED IN THIS ANNUAL REPORT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ANNUAL REPORT AND THE COMPANY'S OTHER FILINGS WITH THE SECURITIES AND EXCHANGE COMMISSION. THE ACTUAL RESULTS THAT THE COMPANY ACHIEVES MAY DIFFER MATERIALLY FROM ANY FORWARD-LOOKING STATEMENTS DUE TO SUCH RISKS AND UNCERTAINTIES. THE COMPANY UNDERTAKES NO OBLIGATION TO REVISE ANY FORWARD-LOOKING STATEMENT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SUMMARY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sales in fiscal 1996 decreased 2.9% to $80,886,062 from $83,332,624 in fiscal 1995 (exclusive of Tessman Seed, Inc., which was sold on March 1, 1995 and treated as discontinued operations). Net income in fiscal 1996 increased 21.4% to $6,476,410 from $5,332,792 in fiscal 1995. Net earnings per share in fiscal 1996 were $.59 compared to $.48 per share in fiscal 1995 (1995 includes a loss of $.04 per share from the sale of Tessman Seed). Return on shareholders' equity was 16.0% for 1996, compared to 14.6% for 1995. The book value per share at September 29, 1996 was $3.89 compared to $3.45 one year ago.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general economic environment in our markets has improved slightly with the overall improvement in the economy. While this improvement had a favorable impact on earnings, management will continue to focus efforts on programs aimed at improving profitability and controlling costs.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year ended September 29, 1996, sales decreased $2,446,562, a 2.9% decrease from 1995, due mainly to management's decision to discontinue sales to mass merchandisers by The Lynde Company subsidiary, as that business involved high volumes and high inventory levels with a low and decreasing profit margin. Also contributing to the sales decrease was a slight decrease in the selling price of a single, large-volume product and extremely cold weather conditions during the second quarter of this fiscal year, which caused some customers to have limited operations or to close down temporarily, thereby decreasing their volumes. The above decreases were partially offset by volume increases in most of the Company's divisions and subsidiaries.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year ended October 1, 1995, sales increased $11,909,153, a 17% increase from 1994, due to increased volumes in all of the Company's divisions and subsidiaries and to an increase in the selling price of the same single, large-volume product mentioned above, which is normally subject to price fluctuations. Also contributing to the sales increase was the warmer weather, which increased the demand in the Company's subsidiaries supplying the water treatment industry. Because of the diversity of products and product lines of Hawkins Chemical, Inc. and its divisions and subsidiaries, any future decreases in sales due to adverse weather conditions should not have a material impact on consolidated operating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Gross margin, as a percentage of sales, was 22.4% in 1996, 21.3% in 1995 and 22.6% in 1994. The 1996 increase was due mainly to discontinuing the lower margin sales to mass merchandisers previously mentioned and, to a lesser extent, better profit margins on a few product lines. The 1995 decrease from 1994 was mainly attributable to the increased cost of the single, large-vol-</w:t>
      </w:r>
    </w:p>
    <w:p>
      <w:pPr>
        <w:spacing w:after="0" w:line="330" w:lineRule="exact"/>
        <w:rPr>
          <w:sz w:val="20"/>
          <w:szCs w:val="20"/>
          <w:color w:val="auto"/>
        </w:rPr>
      </w:pPr>
    </w:p>
    <w:p>
      <w:pPr>
        <w:ind w:left="1820"/>
        <w:spacing w:after="0"/>
        <w:tabs>
          <w:tab w:leader="none" w:pos="2140" w:val="left"/>
        </w:tabs>
        <w:rPr>
          <w:sz w:val="20"/>
          <w:szCs w:val="20"/>
          <w:color w:val="auto"/>
        </w:rPr>
      </w:pPr>
      <w:r>
        <w:rPr>
          <w:rFonts w:ascii="Courier New" w:cs="Courier New" w:eastAsia="Courier New" w:hAnsi="Courier New"/>
          <w:sz w:val="14"/>
          <w:szCs w:val="14"/>
          <w:color w:val="auto"/>
        </w:rPr>
        <w:t>18</w:t>
        <w:tab/>
        <w:t>HAWKINS CHEMICAL, INC. AND SUBSIDIARIES</w:t>
      </w:r>
    </w:p>
    <w:p>
      <w:pPr>
        <w:sectPr>
          <w:pgSz w:w="11900" w:h="16838" w:orient="portrait"/>
          <w:cols w:equalWidth="0" w:num="1">
            <w:col w:w="10239"/>
          </w:cols>
          <w:pgMar w:left="220" w:top="782" w:right="1440" w:bottom="1440" w:gutter="0" w:footer="0" w:header="0"/>
        </w:sectPr>
      </w:pPr>
    </w:p>
    <w:bookmarkStart w:id="27" w:name="page28"/>
    <w:bookmarkEnd w:id="27"/>
    <w:p>
      <w:pPr>
        <w:ind w:left="216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ume product mentioned above. The price of the single, large-volume product is not expected to change dramatically in the foreseeable future and margins, therefore, are expected to remain relatively stable. The Company has also generally been able to, and expects to continue to, adjust its selling prices as the cost of materials and other expenses change, thereby maintaining relatively stable gross margins.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caustic soda operations are located on the Mississippi River, enabling the Company to receive caustic soda through barge transportation. When the river has flooded in the past, the Company has been able to receive caustic soda by tank cars. Although the use of tank cars has resulted in additional costs, results of operations have not been materially impacted. Based on this experience, the Company does not expect future flooding to have a material impact on the Company's financial condition or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Selling, general, and administrative expenses increased 3.2% and 3.9% in 1996 and 1995, respectively. The 1996 and 1995 increases over the previous year were due mainly to increased costs of operation and approximates the inflation rate.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UNUSUAL AND NONRECURRING CHARGE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unusual and nonrecurring charge of $750,000 was recorded in 1995 to cover settlement costs which may be incurred by the Company in connection with its defense of a lawsuit filed against the Company. The lawsuit alleges that the plaintiffs sustained damages resulting from a fire at an office/warehouse facility used by The Lynde Company, a wholly owned subsidiary of the Company. As of September 29, 1996, the Company had paid $626,800 in settlement and legal costs relating to the fire. Management expects to incur additional legal and settlement costs in future periods in connection with this suit. The remaining reserve represents management's best estimate of those additional costs. Management believes that all or a portion of the costs associated with this suit may be recoverable from the Company's insurers. It is possible, however, that future developments may make additional reserves prudent and necessary in future periods.</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primary and umbrella insurers have denied coverage of any liability which might arise in connection with this lawsuit and have rejected the tender of the defense of the lawsuit. The Company has commenced lawsuits against its insurers, seeking a finding that the Company's liability exposure and defense costs are covered by the applicable policies. During the summer of 1996, the federal magistrate hearing the cases found in favor of the Company on the issue of indemnification with respect to both insurers. The insurers subsequently moved for review of the magistrate's decision by the Federal District Court, which affirmed the magistrate's decisions in their entirety on October 7, 1996. The insurers have indicated that they intend to appeal the District Court's decision to the Eighth Circuit Court of Appeals. It is not possible, therefore, to determine at this time what recovery, if any, may be obtained by the Company.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income was up 7% in 1996 as compared to 1995 due to more cash available for investment. Interest income was up 62% in 1995 as compared to 1994 due to more cash available for investment and a higher rate of return on cash investments. Interest expense decreased in 1996 and 1995 as compared to the previous year. Most of the interest expense is the result of the Company issuing a note payable to the seller in connection with the acquisition of the assets of Industrial Chemical &amp; Equipment Company. Other miscellaneous income (deductions) increased in 1996 as compared to 1995 due to the gain on the sale of a building that the Company no longer needed. The 1995 increase over 1994 was due to the loss on an investment and a decrease in rental income.</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is currently defending certain legal and administrative proceedings in connection with three landfill sites in which products distributed by the Company and certain excess materials were allegedly disposed of by the Company. While the outcome of</w:t>
      </w:r>
    </w:p>
    <w:p>
      <w:pPr>
        <w:spacing w:after="0" w:line="328" w:lineRule="exact"/>
        <w:rPr>
          <w:sz w:val="20"/>
          <w:szCs w:val="20"/>
          <w:color w:val="auto"/>
        </w:rPr>
      </w:pPr>
    </w:p>
    <w:p>
      <w:pPr>
        <w:ind w:left="1820"/>
        <w:spacing w:after="0"/>
        <w:tabs>
          <w:tab w:leader="none" w:pos="2140" w:val="left"/>
        </w:tabs>
        <w:rPr>
          <w:sz w:val="20"/>
          <w:szCs w:val="20"/>
          <w:color w:val="auto"/>
        </w:rPr>
      </w:pPr>
      <w:r>
        <w:rPr>
          <w:rFonts w:ascii="Courier New" w:cs="Courier New" w:eastAsia="Courier New" w:hAnsi="Courier New"/>
          <w:sz w:val="14"/>
          <w:szCs w:val="14"/>
          <w:color w:val="auto"/>
        </w:rPr>
        <w:t>19</w:t>
        <w:tab/>
        <w:t>HAWKINS CHEMICAL, INC. AND SUBSIDIARIES</w:t>
      </w:r>
    </w:p>
    <w:p>
      <w:pPr>
        <w:sectPr>
          <w:pgSz w:w="11900" w:h="16838" w:orient="portrait"/>
          <w:cols w:equalWidth="0" w:num="1">
            <w:col w:w="10239"/>
          </w:cols>
          <w:pgMar w:left="220" w:top="616" w:right="1440" w:bottom="1440" w:gutter="0" w:footer="0" w:header="0"/>
        </w:sectPr>
      </w:pPr>
    </w:p>
    <w:bookmarkStart w:id="28" w:name="page29"/>
    <w:bookmarkEnd w:id="28"/>
    <w:p>
      <w:pPr>
        <w:ind w:left="216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such matters is particularly difficult to predict, recent developments lead management to reasonably believe that the Company will not incur additional liability with respect to the landfill sites beyond settlement payments made in previous periods.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effective income tax rate was 38.0% for the year ended September 29, 1996, 39.7% for the year ended October 1, 1995 and 40% for the year ended October 2, 1994. The decreases are due mainly to an increase in tax-free income on investments in municipal bonds.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Inflation has not had a significant impact on the Company, as selling prices have generally been adjusted as the cost of materials and other expenses have changed. On occasion, however, slight fluctuations in the cost of the single, large-volume product described above have not been reflected in the selling price of that product.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Effective March 1, 1995, the Company sold the inventory, equipment and operations of Tessman Seed. As a result of the sale transaction, the Company recorded a loss on the disposal in the second quarter of 1995 of $321,266, net of a tax benefit totaling $214,200, to writedown Tessman's assets to the amount realized. Revenues for Tessman were $931,105 and $4,980,703 for fiscal 1995 and 1994, respectively.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provided by operations in fiscal 1996 was $7,241,783 compared with</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$8,812,004 in fiscal 1995 and $5,820,301 in 1994. The decrease in fiscal 1996, as compared to 1995, was due primarily to decreases in accounts payable related to differences in timing of cash payments related to year-end purchases, which was partially offset by an increase in cash collections related to trade receivables.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increase in cash provided by operations in fiscal 1995 over 1994 was due primarily to increases in accounts payable and net income, which were partially offset by increases in accounts receivable and net inventory. For a more detailed discussion of the increase in net income, see the Results of Operations section of this discussion and analysis. Accounts receivable decreased in 1996 as compared to 1995 due to a decrease in sales dollars.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Cash and cash investments increased by $1,561,860 to $19,436,728 at the end of fiscal 1996. The Company is investing excess cash primarily in conservative investments. Cash equivalents consist of bank certificates of deposit and investments consist of investment contracts with high-rated, stable insurance companies and marketable securities consisting of municipal bonds carried at fair value which approximates cost. Cash equivalents and cash investments are highly liquid and are available upon demand with a minor penalty.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March 1, 1995, the inventory, equipment and operations of the Company's</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Tessman Seed subsidiary was sold for $1,144,714.</w:t>
        <w:tab/>
        <w:t>At closing Hawkins received</w:t>
      </w: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$100,000 and a note receivable for the balance.</w:t>
        <w:tab/>
        <w:t>The note receivable is due over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next ten years plus interest at 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 in fiscal years 1996, 1995 and 1994 were $4,299,071,</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$3,650,719 and $1,762,952, respectively. Building improvements and additions accounted for $2.9 million and transportation equipment accounted for $.8 million of the total capital expenditures in fiscal 1996. The building additions included a new 1.5 million gallon storage tank at the Company's Mississippi River terminal operations and installing sprinkling systems in the warehouses at the Minneapolis location.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7"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Management does not anticipate the need for stock or debt issuances in the short or long term, as cash, investments, and cash flows from operations have been more</w:t>
      </w:r>
    </w:p>
    <w:p>
      <w:pPr>
        <w:spacing w:after="0" w:line="200" w:lineRule="exact"/>
        <w:rPr>
          <w:sz w:val="20"/>
          <w:szCs w:val="20"/>
          <w:color w:val="auto"/>
        </w:rPr>
      </w:pPr>
    </w:p>
    <w:p>
      <w:pPr>
        <w:spacing w:after="0" w:line="289" w:lineRule="exact"/>
        <w:rPr>
          <w:sz w:val="20"/>
          <w:szCs w:val="20"/>
          <w:color w:val="auto"/>
        </w:rPr>
      </w:pPr>
    </w:p>
    <w:p>
      <w:pPr>
        <w:ind w:left="1820"/>
        <w:spacing w:after="0"/>
        <w:tabs>
          <w:tab w:leader="none" w:pos="2140" w:val="left"/>
        </w:tabs>
        <w:rPr>
          <w:sz w:val="20"/>
          <w:szCs w:val="20"/>
          <w:color w:val="auto"/>
        </w:rPr>
      </w:pPr>
      <w:r>
        <w:rPr>
          <w:rFonts w:ascii="Courier New" w:cs="Courier New" w:eastAsia="Courier New" w:hAnsi="Courier New"/>
          <w:sz w:val="14"/>
          <w:szCs w:val="14"/>
          <w:color w:val="auto"/>
        </w:rPr>
        <w:t>20</w:t>
        <w:tab/>
        <w:t>HAWKINS CHEMICAL, INC. AND SUBSIDIARIES</w:t>
      </w:r>
    </w:p>
    <w:p>
      <w:pPr>
        <w:sectPr>
          <w:pgSz w:w="11900" w:h="16838" w:orient="portrait"/>
          <w:cols w:equalWidth="0" w:num="1">
            <w:col w:w="10239"/>
          </w:cols>
          <w:pgMar w:left="220" w:top="451" w:right="1440" w:bottom="1440" w:gutter="0" w:footer="0" w:header="0"/>
        </w:sectPr>
      </w:pPr>
    </w:p>
    <w:bookmarkStart w:id="29" w:name="page30"/>
    <w:bookmarkEnd w:id="29"/>
    <w:p>
      <w:pPr>
        <w:ind w:left="216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than adequate to fund working capital, capital investment and dividend needs. If the need for additional financing arises, however, management will consider issuance of debt or equity if such financing can be obtained on favorable terms. Although management continually looks for companies to acquire and for ways to modernize its warehouse facilities and equipment, no material commitments for acquisitions or capital expenditures currently exist.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than as discussed above, management is not aware of any matters or trends that have materially affected the results of operations for fiscal 1996 that are not expected to have either short or long-term implications, nor is it aware of any trends or other matters that have not materially affected results in fiscal 1996 but are expected to have a material effect on future periods.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PRONOUNCEMENTS</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Effective October 3, 1994, the Company adopted SFAS No. 115, "Accounting for Certain Investments in Debt and Equity Securities." This statement requires all investments classified as available-for-sale in equity securities that have readily determinable fair values and all investments in debt securities to be accounted for and reported at fair value. The adoption of SFAS No. 115 resulted in no cumulative effect on results of operations, and the prior years' consolidated financial statements were not restated.</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"Accounting for Stock-Based Compensation," which requires adoption of the disclosure provisions and/or the adoption of the recognition and measurement provisions for nonemployee transactions no later than December 15, 1995. The Company currently does not expect the adoption of SFAS No. 123 to have a material impact on the financial statements.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1996, the American Institute of Certified Public Accountants issued Statement of Position 96-1, "Environmental Remediation Liabilities." The statement is effective for fiscal years beginning after December 15, 1996. While the Company is currently defending certain legal and administrative proceedings in connection with landfill sites in which products distributed by the Company were ultimately disposed of by other parties (see Note 8), management does not believe this statement will have a significant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21 HAWKINS CHEMICAL, INC. AND SUBSIDIARIES</w:t>
      </w:r>
    </w:p>
    <w:p>
      <w:pPr>
        <w:sectPr>
          <w:pgSz w:w="11900" w:h="16838" w:orient="portrait"/>
          <w:cols w:equalWidth="0" w:num="1">
            <w:col w:w="10239"/>
          </w:cols>
          <w:pgMar w:left="220" w:top="616" w:right="1440" w:bottom="1440" w:gutter="0" w:footer="0" w:header="0"/>
        </w:sectPr>
      </w:pPr>
    </w:p>
    <w:bookmarkStart w:id="30" w:name="page31"/>
    <w:bookmarkEnd w:id="30"/>
    <w:p>
      <w:pPr>
        <w:ind w:left="5100"/>
        <w:spacing w:after="0"/>
        <w:rPr>
          <w:sz w:val="20"/>
          <w:szCs w:val="20"/>
          <w:color w:val="auto"/>
        </w:rPr>
      </w:pP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Year Ended September</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Sales from continuing operations</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80,886,062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83,332,624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71,423,471</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60,913,575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57,675,805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6,476,410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5,723,963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5,044,410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4,793,064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4,056,931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from continuing operations</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declared per common share</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56,487,356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53,690,814</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45,974,984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38,962,586</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34,684,997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572,453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628,461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680,805</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60" w:right="4720"/>
        <w:spacing w:after="0" w:line="251" w:lineRule="auto"/>
        <w:rPr>
          <w:sz w:val="20"/>
          <w:szCs w:val="20"/>
          <w:color w:val="auto"/>
        </w:rPr>
      </w:pPr>
      <w:r>
        <w:rPr>
          <w:rFonts w:ascii="Courier New" w:cs="Courier New" w:eastAsia="Courier New" w:hAnsi="Courier New"/>
          <w:sz w:val="14"/>
          <w:szCs w:val="14"/>
          <w:color w:val="auto"/>
        </w:rPr>
        <w:t>SECURITIES MARKET MAKERS - Cantor, Fitzgerald and Co., New York, NY; Dain Bosworth, Inc., Minneapolis, MN; Diversified Capital Markets,Columbus, OH; Herzog, Heine, Geduld, Inc., New York, NY; John G. Kinnard and Company, Inc., Minneapolis, MN; Piper Jaffray, Inc., Minneapolis, MN; S.J. Wolfe and Co., Dayton, OH; Troster Singer Corp., Jersey City, NJ</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OPERATIONS BY QUARTER</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tabs>
          <w:tab w:leader="none" w:pos="5500" w:val="left"/>
          <w:tab w:leader="none" w:pos="7140" w:val="left"/>
          <w:tab w:leader="none" w:pos="8600" w:val="left"/>
          <w:tab w:leader="none" w:pos="10240" w:val="left"/>
        </w:tabs>
        <w:rPr>
          <w:sz w:val="20"/>
          <w:szCs w:val="20"/>
          <w:color w:val="auto"/>
        </w:rPr>
      </w:pPr>
      <w:r>
        <w:rPr>
          <w:rFonts w:ascii="Courier New" w:cs="Courier New" w:eastAsia="Courier New" w:hAnsi="Courier New"/>
          <w:sz w:val="14"/>
          <w:szCs w:val="14"/>
          <w:color w:val="auto"/>
        </w:rPr>
        <w:t>First Quarter</w:t>
      </w:r>
      <w:r>
        <w:rPr>
          <w:sz w:val="20"/>
          <w:szCs w:val="20"/>
          <w:color w:val="auto"/>
        </w:rPr>
        <w:tab/>
      </w:r>
      <w:r>
        <w:rPr>
          <w:rFonts w:ascii="Courier New" w:cs="Courier New" w:eastAsia="Courier New" w:hAnsi="Courier New"/>
          <w:sz w:val="14"/>
          <w:szCs w:val="14"/>
          <w:color w:val="auto"/>
        </w:rPr>
        <w:t>Second Quarter</w:t>
      </w:r>
      <w:r>
        <w:rPr>
          <w:sz w:val="20"/>
          <w:szCs w:val="20"/>
          <w:color w:val="auto"/>
        </w:rPr>
        <w:tab/>
      </w:r>
      <w:r>
        <w:rPr>
          <w:rFonts w:ascii="Courier New" w:cs="Courier New" w:eastAsia="Courier New" w:hAnsi="Courier New"/>
          <w:sz w:val="14"/>
          <w:szCs w:val="14"/>
          <w:color w:val="auto"/>
        </w:rPr>
        <w:t>Third Quarter</w:t>
      </w:r>
      <w:r>
        <w:rPr>
          <w:sz w:val="20"/>
          <w:szCs w:val="20"/>
          <w:color w:val="auto"/>
        </w:rPr>
        <w:tab/>
      </w:r>
      <w:r>
        <w:rPr>
          <w:rFonts w:ascii="Courier New" w:cs="Courier New" w:eastAsia="Courier New" w:hAnsi="Courier New"/>
          <w:sz w:val="14"/>
          <w:szCs w:val="14"/>
          <w:color w:val="auto"/>
        </w:rPr>
        <w:t>Fourth Quarter</w:t>
      </w:r>
      <w:r>
        <w:rPr>
          <w:sz w:val="20"/>
          <w:szCs w:val="20"/>
          <w:color w:val="auto"/>
        </w:rPr>
        <w:tab/>
      </w:r>
      <w:r>
        <w:rPr>
          <w:rFonts w:ascii="Courier New" w:cs="Courier New" w:eastAsia="Courier New" w:hAnsi="Courier New"/>
          <w:sz w:val="14"/>
          <w:szCs w:val="14"/>
          <w:color w:val="auto"/>
        </w:rPr>
        <w:t>Total Year</w:t>
      </w:r>
    </w:p>
    <w:p>
      <w:pPr>
        <w:spacing w:after="0" w:line="7" w:lineRule="exact"/>
        <w:rPr>
          <w:sz w:val="20"/>
          <w:szCs w:val="20"/>
          <w:color w:val="auto"/>
        </w:rPr>
      </w:pPr>
    </w:p>
    <w:p>
      <w:pPr>
        <w:spacing w:after="0"/>
        <w:tabs>
          <w:tab w:leader="none" w:pos="4040" w:val="left"/>
          <w:tab w:leader="none" w:pos="4820" w:val="left"/>
          <w:tab w:leader="none" w:pos="5500" w:val="left"/>
          <w:tab w:leader="none" w:pos="6280" w:val="left"/>
          <w:tab w:leader="none" w:pos="7140" w:val="left"/>
          <w:tab w:leader="none" w:pos="7920" w:val="left"/>
          <w:tab w:leader="none" w:pos="8680" w:val="left"/>
          <w:tab w:leader="none" w:pos="9460" w:val="left"/>
          <w:tab w:leader="none" w:pos="10060" w:val="left"/>
          <w:tab w:leader="none" w:pos="1084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$17,423</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$16,494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$18,439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$18,903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$22,275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$26,519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$22,749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$21,417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$80,886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$83,333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3,764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3,638</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5,458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4,875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18,097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17,777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Income - Continuing Operations</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1,173</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1,755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6,476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Loss - Discontinued Operations</w:t>
            </w:r>
          </w:p>
        </w:tc>
        <w:tc>
          <w:tcPr>
            <w:tcW w:w="1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7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1,755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6,476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5,333</w:t>
            </w:r>
          </w:p>
        </w:tc>
      </w:tr>
    </w:tbl>
    <w:p>
      <w:pPr>
        <w:spacing w:after="0" w:line="4"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6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7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20"/>
        <w:spacing w:after="0"/>
        <w:tabs>
          <w:tab w:leader="none" w:pos="2140" w:val="left"/>
        </w:tabs>
        <w:rPr>
          <w:sz w:val="20"/>
          <w:szCs w:val="20"/>
          <w:color w:val="auto"/>
        </w:rPr>
      </w:pPr>
      <w:r>
        <w:rPr>
          <w:rFonts w:ascii="Courier New" w:cs="Courier New" w:eastAsia="Courier New" w:hAnsi="Courier New"/>
          <w:sz w:val="14"/>
          <w:szCs w:val="14"/>
          <w:color w:val="auto"/>
        </w:rPr>
        <w:t>22</w:t>
        <w:tab/>
        <w:t>HAWKINS CHEMICAL, INC. AND SUBSIDIARIES</w:t>
      </w:r>
    </w:p>
    <w:p>
      <w:pPr>
        <w:sectPr>
          <w:pgSz w:w="11900" w:h="16838" w:orient="portrait"/>
          <w:cols w:equalWidth="0" w:num="1">
            <w:col w:w="11540"/>
          </w:cols>
          <w:pgMar w:left="220" w:top="947" w:right="1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SHAREHOLDER INFORMATION</w:t>
            </w:r>
          </w:p>
        </w:tc>
      </w:tr>
      <w:tr>
        <w:trPr>
          <w:trHeight w:val="331"/>
        </w:trPr>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QUARTERLY STOCK DATA</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1996 Quarter</w:t>
            </w:r>
          </w:p>
        </w:tc>
        <w:tc>
          <w:tcPr>
            <w:tcW w:w="480" w:type="dxa"/>
            <w:vAlign w:val="bottom"/>
          </w:tcPr>
          <w:p>
            <w:pPr>
              <w:spacing w:after="0"/>
              <w:rPr>
                <w:sz w:val="24"/>
                <w:szCs w:val="2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High</w:t>
            </w:r>
          </w:p>
        </w:tc>
        <w:tc>
          <w:tcPr>
            <w:tcW w:w="1060" w:type="dxa"/>
            <w:vAlign w:val="bottom"/>
          </w:tcPr>
          <w:p>
            <w:pPr>
              <w:spacing w:after="0"/>
              <w:rPr>
                <w:sz w:val="24"/>
                <w:szCs w:val="2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1st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2nd</w:t>
            </w:r>
          </w:p>
        </w:tc>
        <w:tc>
          <w:tcPr>
            <w:tcW w:w="48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3rd</w:t>
            </w:r>
          </w:p>
        </w:tc>
        <w:tc>
          <w:tcPr>
            <w:tcW w:w="48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4th</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1995 Quarter</w:t>
            </w:r>
          </w:p>
        </w:tc>
        <w:tc>
          <w:tcPr>
            <w:tcW w:w="480" w:type="dxa"/>
            <w:vAlign w:val="bottom"/>
          </w:tcPr>
          <w:p>
            <w:pPr>
              <w:spacing w:after="0"/>
              <w:rPr>
                <w:sz w:val="24"/>
                <w:szCs w:val="2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High</w:t>
            </w:r>
          </w:p>
        </w:tc>
        <w:tc>
          <w:tcPr>
            <w:tcW w:w="1060" w:type="dxa"/>
            <w:vAlign w:val="bottom"/>
          </w:tcPr>
          <w:p>
            <w:pPr>
              <w:spacing w:after="0"/>
              <w:rPr>
                <w:sz w:val="24"/>
                <w:szCs w:val="2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1st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2nd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3rd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w:t>
            </w:r>
          </w:p>
        </w:tc>
        <w:tc>
          <w:tcPr>
            <w:tcW w:w="1060" w:type="dxa"/>
            <w:vAlign w:val="bottom"/>
          </w:tcPr>
          <w:p>
            <w:pPr>
              <w:spacing w:after="0"/>
              <w:rPr>
                <w:sz w:val="14"/>
                <w:szCs w:val="14"/>
                <w:color w:val="auto"/>
              </w:rPr>
            </w:pP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4th</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common stock of Hawkins Chemical, Inc. is as quoted on the NASDAQ National Market System. The price information represents closing sale prices reported in the NASDAQ/NMS Monthly Statistical Report. There were 871 common shareholder accounts on September 29, 1996. The prices are adjusted to reflect the 5% stock dividend that occurred on March 29, 1996 and the 10% stock dividend on March 31, 1995.</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 cash dividend of $.07 per share was paid in the first quarter of fiscal 1996 and $.08 per share was paid in the third quarter of fiscal 1996. A cash dividend of $.08 per share was declared in the fourth quarter of fiscal 1996 and paid in the first quarter of fiscal 1997. A cash dividend of $.13 per share was paid during the third quarter of fiscal 1995 (see Notes to Consolidated Financial Statements).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Hawkins Chemical, Inc. common stock is traded on the NASDAQ National Market System under the symbol HWKN.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AVAILABLE</w:t>
      </w:r>
    </w:p>
    <w:p>
      <w:pPr>
        <w:spacing w:after="0" w:line="173"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Hawkins Chemical, Inc. will provide to each person whose proxy is solicited, upon the written request by such person, a copy of its Annual Report on Form</w:t>
      </w:r>
    </w:p>
    <w:p>
      <w:pPr>
        <w:spacing w:after="0" w:line="1"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10-K as filed with the Securities and Exchange Commission, including financial statements and schedules. Such request should be directed to Hawkins Chemical, Inc., Attention: Corporate Secretary, 3100 East Hennepin Avenue, Minneapolis, Minnesota 55413.</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REGISTRAR AND TRANSFER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Norwest Shareowner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64854</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St. Paul, MN</w:t>
        <w:tab/>
        <w:t>55164-0854</w:t>
      </w:r>
    </w:p>
    <w:p>
      <w:pPr>
        <w:spacing w:after="0" w:line="7" w:lineRule="exact"/>
        <w:rPr>
          <w:sz w:val="20"/>
          <w:szCs w:val="20"/>
          <w:color w:val="auto"/>
        </w:rPr>
      </w:pPr>
    </w:p>
    <w:p>
      <w:pPr>
        <w:ind w:left="520" w:hanging="512"/>
        <w:spacing w:after="0"/>
        <w:tabs>
          <w:tab w:leader="none" w:pos="5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468-9716</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450-4064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3100 East Hennepin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55413</w:t>
      </w:r>
    </w:p>
    <w:p>
      <w:pPr>
        <w:spacing w:after="0" w:line="7" w:lineRule="exact"/>
        <w:rPr>
          <w:sz w:val="20"/>
          <w:szCs w:val="20"/>
          <w:color w:val="auto"/>
        </w:rPr>
      </w:pPr>
    </w:p>
    <w:p>
      <w:pPr>
        <w:ind w:left="520" w:hanging="512"/>
        <w:spacing w:after="0"/>
        <w:tabs>
          <w:tab w:leader="none" w:pos="5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328-5460</w:t>
      </w:r>
    </w:p>
    <w:p>
      <w:pPr>
        <w:spacing w:after="0" w:line="7" w:lineRule="exact"/>
        <w:rPr>
          <w:rFonts w:ascii="Courier New" w:cs="Courier New" w:eastAsia="Courier New" w:hAnsi="Courier New"/>
          <w:sz w:val="14"/>
          <w:szCs w:val="14"/>
          <w:color w:val="auto"/>
        </w:rPr>
      </w:pPr>
    </w:p>
    <w:p>
      <w:pPr>
        <w:ind w:right="7639" w:firstLine="8"/>
        <w:spacing w:after="0" w:line="255" w:lineRule="auto"/>
        <w:tabs>
          <w:tab w:leader="none" w:pos="51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331-6910 http://www.hawkinschemical.com</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annual meeting of the shareholders of Hawkins Chemical, Inc. will be held February 12, 1997, at the Sheraton Minneapolis Metrodome, 1330 Industrial Boulevard, Minneapolis, Minnesota, at 3:00 p.m.</w:t>
      </w:r>
    </w:p>
    <w:p>
      <w:pPr>
        <w:spacing w:after="0" w:line="163" w:lineRule="exact"/>
        <w:rPr>
          <w:sz w:val="20"/>
          <w:szCs w:val="20"/>
          <w:color w:val="auto"/>
        </w:rPr>
      </w:pPr>
    </w:p>
    <w:p>
      <w:pPr>
        <w:ind w:left="1740"/>
        <w:spacing w:after="0"/>
        <w:tabs>
          <w:tab w:leader="none" w:pos="2060" w:val="left"/>
        </w:tabs>
        <w:rPr>
          <w:sz w:val="20"/>
          <w:szCs w:val="20"/>
          <w:color w:val="auto"/>
        </w:rPr>
      </w:pPr>
      <w:r>
        <w:rPr>
          <w:rFonts w:ascii="Courier New" w:cs="Courier New" w:eastAsia="Courier New" w:hAnsi="Courier New"/>
          <w:sz w:val="14"/>
          <w:szCs w:val="14"/>
          <w:color w:val="auto"/>
        </w:rPr>
        <w:t>24</w:t>
        <w:tab/>
        <w:t>HAWKINS CHEMICAL, INC. AND SUBSIDIARIES</w:t>
      </w:r>
    </w:p>
    <w:p>
      <w:pPr>
        <w:sectPr>
          <w:pgSz w:w="11900" w:h="16838" w:orient="portrait"/>
          <w:cols w:equalWidth="0" w:num="1">
            <w:col w:w="10239"/>
          </w:cols>
          <w:pgMar w:left="220" w:top="616" w:right="1440" w:bottom="1440" w:gutter="0" w:footer="0" w:header="0"/>
        </w:sectPr>
      </w:pPr>
    </w:p>
    <w:bookmarkStart w:id="32" w:name="page33"/>
    <w:bookmarkEnd w:id="32"/>
    <w:p>
      <w:pPr>
        <w:ind w:left="3280"/>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 of the following are wholly owned subsidiaries of the Registrant:</w:t>
      </w:r>
    </w:p>
    <w:p>
      <w:pPr>
        <w:sectPr>
          <w:pgSz w:w="11900" w:h="16838" w:orient="portrait"/>
          <w:cols w:equalWidth="0" w:num="1">
            <w:col w:w="10239"/>
          </w:cols>
          <w:pgMar w:left="220" w:top="473"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in which organized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640" w:space="720"/>
            <w:col w:w="6879"/>
          </w:cols>
          <w:pgMar w:left="220" w:top="47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Lynde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Minnesota</w:t>
      </w:r>
    </w:p>
    <w:p>
      <w:pPr>
        <w:spacing w:after="0" w:line="173" w:lineRule="exact"/>
        <w:rPr>
          <w:sz w:val="20"/>
          <w:szCs w:val="20"/>
          <w:color w:val="auto"/>
        </w:rPr>
      </w:pPr>
    </w:p>
    <w:p>
      <w:pPr>
        <w:sectPr>
          <w:pgSz w:w="11900" w:h="16838" w:orient="portrait"/>
          <w:cols w:equalWidth="0" w:num="2">
            <w:col w:w="2640" w:space="720"/>
            <w:col w:w="6879"/>
          </w:cols>
          <w:pgMar w:left="220" w:top="47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Feed-Rite Controls,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Minnesota</w:t>
      </w:r>
    </w:p>
    <w:p>
      <w:pPr>
        <w:spacing w:after="0" w:line="173" w:lineRule="exact"/>
        <w:rPr>
          <w:sz w:val="20"/>
          <w:szCs w:val="20"/>
          <w:color w:val="auto"/>
        </w:rPr>
      </w:pPr>
    </w:p>
    <w:p>
      <w:pPr>
        <w:sectPr>
          <w:pgSz w:w="11900" w:h="16838" w:orient="portrait"/>
          <w:cols w:equalWidth="0" w:num="2">
            <w:col w:w="2640" w:space="720"/>
            <w:col w:w="6879"/>
          </w:cols>
          <w:pgMar w:left="220" w:top="47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Mon-Dak Chemical,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North Dakota</w:t>
      </w:r>
    </w:p>
    <w:p>
      <w:pPr>
        <w:spacing w:after="0" w:line="173" w:lineRule="exact"/>
        <w:rPr>
          <w:sz w:val="20"/>
          <w:szCs w:val="20"/>
          <w:color w:val="auto"/>
        </w:rPr>
      </w:pPr>
    </w:p>
    <w:p>
      <w:pPr>
        <w:sectPr>
          <w:pgSz w:w="11900" w:h="16838" w:orient="portrait"/>
          <w:cols w:equalWidth="0" w:num="2">
            <w:col w:w="2640" w:space="720"/>
            <w:col w:w="6879"/>
          </w:cols>
          <w:pgMar w:left="220" w:top="47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Dakota Chemical,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South Dakota</w:t>
      </w:r>
    </w:p>
    <w:p>
      <w:pPr>
        <w:spacing w:after="0" w:line="200" w:lineRule="exact"/>
        <w:rPr>
          <w:sz w:val="20"/>
          <w:szCs w:val="20"/>
          <w:color w:val="auto"/>
        </w:rPr>
      </w:pPr>
    </w:p>
    <w:p>
      <w:pPr>
        <w:sectPr>
          <w:pgSz w:w="11900" w:h="16838" w:orient="portrait"/>
          <w:cols w:equalWidth="0" w:num="2">
            <w:col w:w="2640" w:space="720"/>
            <w:col w:w="6879"/>
          </w:cols>
          <w:pgMar w:left="220" w:top="473" w:right="1440" w:bottom="1440" w:gutter="0" w:footer="0" w:header="0"/>
          <w:type w:val="continuous"/>
        </w:sectPr>
      </w:pPr>
    </w:p>
    <w:p>
      <w:pPr>
        <w:spacing w:after="0" w:line="1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financial statements of The Lynde Company, Feed-Rite Controls, Inc., Mon-Dak Chemical, Inc., and Dakota Chemical, Inc. are consolidated with those of the Registrant.</w:t>
      </w:r>
    </w:p>
    <w:p>
      <w:pPr>
        <w:sectPr>
          <w:pgSz w:w="11900" w:h="16838" w:orient="portrait"/>
          <w:cols w:equalWidth="0" w:num="1">
            <w:col w:w="10239"/>
          </w:cols>
          <w:pgMar w:left="220" w:top="473" w:right="1440" w:bottom="1440" w:gutter="0" w:footer="0" w:header="0"/>
          <w:type w:val="continuous"/>
        </w:sectPr>
      </w:pPr>
    </w:p>
    <w:bookmarkStart w:id="33" w:name="page34"/>
    <w:bookmarkEnd w:id="33"/>
    <w:p>
      <w:pPr>
        <w:ind w:left="3280"/>
        <w:spacing w:after="0"/>
        <w:rPr>
          <w:sz w:val="20"/>
          <w:szCs w:val="20"/>
          <w:color w:val="auto"/>
        </w:rPr>
      </w:pPr>
      <w:r>
        <w:rPr>
          <w:rFonts w:ascii="Courier New" w:cs="Courier New" w:eastAsia="Courier New" w:hAnsi="Courier New"/>
          <w:sz w:val="14"/>
          <w:szCs w:val="14"/>
          <w:color w:val="auto"/>
        </w:rPr>
        <w:t>EXHIBIT 23</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INDEPENDENT AUDITORS' CONSENT AND REPORT ON SCHEDULE</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Registration Statement No. 33-41323 of Hawkins Chemical, Inc. and subsidiaries (the Company) on Form S-8 of our report dated December 3, 1996 incorporated by reference in the Annual Report on Form 10-K for the Company for the year ended September 29, 1996.</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audits of the consolidated financial statements referred to in our aforementioned report also included the financial statement schedule of the Company listed in Item 14(a)(2).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20, 1996</w:t>
      </w:r>
    </w:p>
    <w:p>
      <w:pPr>
        <w:sectPr>
          <w:pgSz w:w="11900" w:h="16838" w:orient="portrait"/>
          <w:cols w:equalWidth="0" w:num="1">
            <w:col w:w="10239"/>
          </w:cols>
          <w:pgMar w:left="220" w:top="473" w:right="1440"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SEP-29-1996</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OCT-02-1995</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SEP-29-1996</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8,932,125</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10,504,603</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9,740,285</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8,584,034</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38,856,492</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13,187,678</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56,487,356</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12,472,971</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552,585</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42,462,547</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56,487,356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80,886,062</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80,886,062</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62,789,554</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71,642,873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53,170</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10,447,051</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3,970,641</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6,476,410</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6,476,410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3"/>
    </w:lvl>
  </w:abstractNum>
  <w:abstractNum w:abstractNumId="5">
    <w:nsid w:val="B03E0C6"/>
    <w:multiLevelType w:val="hybridMultilevel"/>
    <w:lvl w:ilvl="0">
      <w:lvlJc w:val="left"/>
      <w:lvlText w:val="(%1)"/>
      <w:numFmt w:val="lowerRoman"/>
      <w:start w:val="1"/>
    </w:lvl>
    <w:lvl w:ilvl="1">
      <w:lvlJc w:val="left"/>
      <w:lvlText w:val="(%2)"/>
      <w:numFmt w:val="upperLetter"/>
      <w:start w:val="1"/>
    </w:lvl>
  </w:abstractNum>
  <w:abstractNum w:abstractNumId="6">
    <w:nsid w:val="189A769B"/>
    <w:multiLevelType w:val="hybridMultilevel"/>
    <w:lvl w:ilvl="0">
      <w:lvlJc w:val="left"/>
      <w:lvlText w:val="%1"/>
      <w:numFmt w:val="lowerRoman"/>
      <w:start w:val="1"/>
    </w:lvl>
    <w:lvl w:ilvl="1">
      <w:lvlJc w:val="left"/>
      <w:lvlText w:val="(%2)"/>
      <w:numFmt w:val="upperLetter"/>
      <w:start w:val="6"/>
    </w:lvl>
  </w:abstractNum>
  <w:abstractNum w:abstractNumId="7">
    <w:nsid w:val="54E49EB4"/>
    <w:multiLevelType w:val="hybridMultilevel"/>
    <w:lvl w:ilvl="0">
      <w:lvlJc w:val="left"/>
      <w:lvlText w:val="(%1)"/>
      <w:numFmt w:val="lowerRoman"/>
      <w:start w:val="2"/>
    </w:lvl>
    <w:lvl w:ilvl="1">
      <w:lvlJc w:val="left"/>
      <w:lvlText w:val="%2"/>
      <w:numFmt w:val="upperLetter"/>
      <w:start w:val="1"/>
    </w:lvl>
  </w:abstractNum>
  <w:abstractNum w:abstractNumId="8">
    <w:nsid w:val="71F32454"/>
    <w:multiLevelType w:val="hybridMultilevel"/>
    <w:lvl w:ilvl="0">
      <w:lvlJc w:val="left"/>
      <w:lvlText w:val="(%1)"/>
      <w:numFmt w:val="lowerRoman"/>
      <w:start w:val="3"/>
    </w:lvl>
  </w:abstractNum>
  <w:abstractNum w:abstractNumId="9">
    <w:nsid w:val="2CA88611"/>
    <w:multiLevelType w:val="hybridMultilevel"/>
    <w:lvl w:ilvl="0">
      <w:lvlJc w:val="left"/>
      <w:lvlText w:val="(%1)"/>
      <w:numFmt w:val="lowerRoman"/>
      <w:start w:val="5"/>
    </w:lvl>
  </w:abstractNum>
  <w:abstractNum w:abstractNumId="10">
    <w:nsid w:val="836C40E"/>
    <w:multiLevelType w:val="hybridMultilevel"/>
    <w:lvl w:ilvl="0">
      <w:lvlJc w:val="left"/>
      <w:lvlText w:val="(%1)"/>
      <w:numFmt w:val="lowerRoman"/>
      <w:start w:val="9"/>
    </w:lvl>
  </w:abstractNum>
  <w:abstractNum w:abstractNumId="11">
    <w:nsid w:val="2901D82"/>
    <w:multiLevelType w:val="hybridMultilevel"/>
    <w:lvl w:ilvl="0">
      <w:lvlJc w:val="left"/>
      <w:lvlText w:val="(%1)"/>
      <w:numFmt w:val="lowerLetter"/>
      <w:start w:val="4"/>
    </w:lvl>
  </w:abstractNum>
  <w:abstractNum w:abstractNumId="12">
    <w:nsid w:val="3A95F874"/>
    <w:multiLevelType w:val="hybridMultilevel"/>
    <w:lvl w:ilvl="0">
      <w:lvlJc w:val="left"/>
      <w:lvlText w:val="-"/>
      <w:numFmt w:val="bullet"/>
      <w:start w:val="1"/>
    </w:lvl>
    <w:lvl w:ilvl="1">
      <w:lvlJc w:val="left"/>
      <w:lvlText w:val="(%2)"/>
      <w:numFmt w:val="decimal"/>
      <w:start w:val="1"/>
    </w:lvl>
  </w:abstractNum>
  <w:abstractNum w:abstractNumId="13">
    <w:nsid w:val="8138641"/>
    <w:multiLevelType w:val="hybridMultilevel"/>
    <w:lvl w:ilvl="0">
      <w:lvlJc w:val="left"/>
      <w:lvlText w:val="(%1)"/>
      <w:numFmt w:val="upperLetter"/>
      <w:start w:val="1"/>
    </w:lvl>
    <w:lvl w:ilvl="1">
      <w:lvlJc w:val="left"/>
      <w:lvlText w:val="%2."/>
      <w:numFmt w:val="decimal"/>
      <w:start w:val="1"/>
    </w:lvl>
  </w:abstractNum>
  <w:abstractNum w:abstractNumId="14">
    <w:nsid w:val="1E7FF521"/>
    <w:multiLevelType w:val="hybridMultilevel"/>
    <w:lvl w:ilvl="0">
      <w:lvlJc w:val="left"/>
      <w:lvlText w:val="%1."/>
      <w:numFmt w:val="decimal"/>
      <w:start w:val="2"/>
    </w:lvl>
  </w:abstractNum>
  <w:abstractNum w:abstractNumId="15">
    <w:nsid w:val="7C3DBD3D"/>
    <w:multiLevelType w:val="hybridMultilevel"/>
    <w:lvl w:ilvl="0">
      <w:lvlJc w:val="left"/>
      <w:lvlText w:val="%1"/>
      <w:numFmt w:val="upperLetter"/>
      <w:start w:val="35"/>
    </w:lvl>
  </w:abstractNum>
  <w:abstractNum w:abstractNumId="16">
    <w:nsid w:val="737B8DDC"/>
    <w:multiLevelType w:val="hybridMultilevel"/>
    <w:lvl w:ilvl="0">
      <w:lvlJc w:val="left"/>
      <w:lvlText w:val="%1."/>
      <w:numFmt w:val="decimal"/>
      <w:start w:val="3"/>
    </w:lvl>
  </w:abstractNum>
  <w:abstractNum w:abstractNumId="17">
    <w:nsid w:val="6CEAF087"/>
    <w:multiLevelType w:val="hybridMultilevel"/>
    <w:lvl w:ilvl="0">
      <w:lvlJc w:val="left"/>
      <w:lvlText w:val="4"/>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4"/>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800"/>
    </w:lvl>
  </w:abstractNum>
  <w:abstractNum w:abstractNumId="43">
    <w:nsid w:val="57E4CCAF"/>
    <w:multiLevelType w:val="hybridMultilevel"/>
    <w:lvl w:ilvl="0">
      <w:lvlJc w:val="left"/>
      <w:lvlText w:val="(%1)"/>
      <w:numFmt w:val="decimal"/>
      <w:start w:val="612"/>
    </w:lvl>
  </w:abstractNum>
  <w:abstractNum w:abstractNumId="44">
    <w:nsid w:val="7A6D8D3C"/>
    <w:multiLevelType w:val="hybridMultilevel"/>
    <w:lvl w:ilvl="0">
      <w:lvlJc w:val="left"/>
      <w:lvlText w:val="(%1)"/>
      <w:numFmt w:val="decimal"/>
      <w:start w:val="800"/>
    </w:lvl>
  </w:abstractNum>
  <w:abstractNum w:abstractNumId="45">
    <w:nsid w:val="4B588F54"/>
    <w:multiLevelType w:val="hybridMultilevel"/>
    <w:lvl w:ilvl="0">
      <w:lvlJc w:val="left"/>
      <w:lvlText w:val="(%1)"/>
      <w:numFmt w:val="decimal"/>
      <w:start w:val="6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2019-12-13T01:39:13Z</dcterms:created>
  <dcterms:modified xsi:type="dcterms:W3CDTF">2019-12-13T01:39:13Z</dcterms:modified>
</cp:coreProperties>
</file>