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474980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509270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207010</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40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May 4, 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214630</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Hawkins,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1029" w:right="259" w:bottom="1440" w:gutter="0" w:footer="0" w:header="0"/>
        </w:sectPr>
      </w:pPr>
    </w:p>
    <w:p>
      <w:pPr>
        <w:spacing w:after="0" w:line="192" w:lineRule="exact"/>
        <w:rPr>
          <w:sz w:val="24"/>
          <w:szCs w:val="24"/>
          <w:color w:val="auto"/>
        </w:rPr>
      </w:pPr>
    </w:p>
    <w:p>
      <w:pPr>
        <w:ind w:left="1400"/>
        <w:spacing w:after="0"/>
        <w:rPr>
          <w:sz w:val="20"/>
          <w:szCs w:val="20"/>
          <w:color w:val="auto"/>
        </w:rPr>
      </w:pPr>
      <w:r>
        <w:rPr>
          <w:rFonts w:ascii="Arial" w:cs="Arial" w:eastAsia="Arial" w:hAnsi="Arial"/>
          <w:sz w:val="19"/>
          <w:szCs w:val="19"/>
          <w:b w:val="1"/>
          <w:bCs w:val="1"/>
          <w:color w:val="auto"/>
        </w:rPr>
        <w:t>Minnesota</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jc w:val="center"/>
        <w:ind w:right="2280"/>
        <w:spacing w:after="0"/>
        <w:rPr>
          <w:sz w:val="20"/>
          <w:szCs w:val="20"/>
          <w:color w:val="auto"/>
        </w:rPr>
      </w:pPr>
      <w:r>
        <w:rPr>
          <w:rFonts w:ascii="Arial" w:cs="Arial" w:eastAsia="Arial" w:hAnsi="Arial"/>
          <w:sz w:val="19"/>
          <w:szCs w:val="19"/>
          <w:b w:val="1"/>
          <w:bCs w:val="1"/>
          <w:color w:val="auto"/>
        </w:rPr>
        <w:t>0-7647</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41-0771293</w:t>
      </w:r>
    </w:p>
    <w:p>
      <w:pPr>
        <w:spacing w:after="0" w:line="62" w:lineRule="exact"/>
        <w:rPr>
          <w:sz w:val="24"/>
          <w:szCs w:val="24"/>
          <w:color w:val="auto"/>
        </w:rPr>
      </w:pPr>
    </w:p>
    <w:p>
      <w:pPr>
        <w:sectPr>
          <w:pgSz w:w="11900" w:h="16838" w:orient="portrait"/>
          <w:cols w:equalWidth="0" w:num="3">
            <w:col w:w="4700" w:space="720"/>
            <w:col w:w="2880" w:space="720"/>
            <w:col w:w="2380"/>
          </w:cols>
          <w:pgMar w:left="240" w:top="1029" w:right="259" w:bottom="1440" w:gutter="0" w:footer="0" w:header="0"/>
          <w:type w:val="continuous"/>
        </w:sectPr>
      </w:pPr>
    </w:p>
    <w:p>
      <w:pPr>
        <w:ind w:left="1060"/>
        <w:spacing w:after="0"/>
        <w:rPr>
          <w:sz w:val="20"/>
          <w:szCs w:val="20"/>
          <w:color w:val="auto"/>
        </w:rPr>
      </w:pPr>
      <w:r>
        <w:rPr>
          <w:rFonts w:ascii="Arial" w:cs="Arial" w:eastAsia="Arial" w:hAnsi="Arial"/>
          <w:sz w:val="16"/>
          <w:szCs w:val="16"/>
          <w:color w:val="auto"/>
        </w:rPr>
        <w:t>(State of Incorporation)</w:t>
      </w:r>
    </w:p>
    <w:p>
      <w:pPr>
        <w:spacing w:after="0" w:line="20" w:lineRule="exact"/>
        <w:rPr>
          <w:sz w:val="24"/>
          <w:szCs w:val="24"/>
          <w:color w:val="auto"/>
        </w:rPr>
      </w:pPr>
      <w:r>
        <w:rPr>
          <w:sz w:val="24"/>
          <w:szCs w:val="24"/>
          <w:color w:val="auto"/>
        </w:rPr>
        <w:br w:type="column"/>
      </w:r>
    </w:p>
    <w:p>
      <w:pPr>
        <w:jc w:val="center"/>
        <w:ind w:right="14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6"/>
          <w:szCs w:val="16"/>
          <w:color w:val="auto"/>
        </w:rPr>
        <w:t>(I.R.S. Employer</w:t>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ectPr>
          <w:pgSz w:w="11900" w:h="16838" w:orient="portrait"/>
          <w:cols w:equalWidth="0" w:num="3">
            <w:col w:w="4040" w:space="720"/>
            <w:col w:w="3400" w:space="720"/>
            <w:col w:w="2520"/>
          </w:cols>
          <w:pgMar w:left="240" w:top="1029" w:right="259" w:bottom="1440" w:gutter="0" w:footer="0" w:header="0"/>
          <w:type w:val="continuous"/>
        </w:sectPr>
      </w:pPr>
    </w:p>
    <w:p>
      <w:pPr>
        <w:spacing w:after="0" w:line="239" w:lineRule="exact"/>
        <w:rPr>
          <w:sz w:val="24"/>
          <w:szCs w:val="24"/>
          <w:color w:val="auto"/>
        </w:rPr>
      </w:pPr>
    </w:p>
    <w:p>
      <w:pPr>
        <w:jc w:val="center"/>
        <w:ind w:right="900"/>
        <w:spacing w:after="0"/>
        <w:rPr>
          <w:sz w:val="20"/>
          <w:szCs w:val="20"/>
          <w:color w:val="auto"/>
        </w:rPr>
      </w:pPr>
      <w:r>
        <w:rPr>
          <w:rFonts w:ascii="Arial" w:cs="Arial" w:eastAsia="Arial" w:hAnsi="Arial"/>
          <w:sz w:val="19"/>
          <w:szCs w:val="19"/>
          <w:b w:val="1"/>
          <w:bCs w:val="1"/>
          <w:color w:val="auto"/>
        </w:rPr>
        <w:t>3100 East Hennepin Ave.</w:t>
      </w:r>
    </w:p>
    <w:p>
      <w:pPr>
        <w:spacing w:after="0" w:line="49" w:lineRule="exact"/>
        <w:rPr>
          <w:sz w:val="24"/>
          <w:szCs w:val="24"/>
          <w:color w:val="auto"/>
        </w:rPr>
      </w:pPr>
    </w:p>
    <w:p>
      <w:pPr>
        <w:jc w:val="center"/>
        <w:ind w:right="900"/>
        <w:spacing w:after="0"/>
        <w:rPr>
          <w:sz w:val="20"/>
          <w:szCs w:val="20"/>
          <w:color w:val="auto"/>
        </w:rPr>
      </w:pPr>
      <w:r>
        <w:rPr>
          <w:rFonts w:ascii="Arial" w:cs="Arial" w:eastAsia="Arial" w:hAnsi="Arial"/>
          <w:sz w:val="22"/>
          <w:szCs w:val="22"/>
          <w:b w:val="1"/>
          <w:bCs w:val="1"/>
          <w:color w:val="auto"/>
        </w:rPr>
        <w:t>Minneapolis, MN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55413</w:t>
      </w:r>
    </w:p>
    <w:p>
      <w:pPr>
        <w:spacing w:after="0" w:line="62" w:lineRule="exact"/>
        <w:rPr>
          <w:sz w:val="24"/>
          <w:szCs w:val="24"/>
          <w:color w:val="auto"/>
        </w:rPr>
      </w:pPr>
    </w:p>
    <w:p>
      <w:pPr>
        <w:sectPr>
          <w:pgSz w:w="11900" w:h="16838" w:orient="portrait"/>
          <w:cols w:equalWidth="0" w:num="2">
            <w:col w:w="8560" w:space="720"/>
            <w:col w:w="2120"/>
          </w:cols>
          <w:pgMar w:left="240" w:top="1029" w:right="259" w:bottom="1440" w:gutter="0" w:footer="0" w:header="0"/>
          <w:type w:val="continuous"/>
        </w:sectPr>
      </w:pPr>
    </w:p>
    <w:p>
      <w:pPr>
        <w:ind w:left="24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440" w:space="720"/>
            <w:col w:w="2240"/>
          </w:cols>
          <w:pgMar w:left="240" w:top="1029" w:right="259" w:bottom="1440" w:gutter="0" w:footer="0" w:header="0"/>
          <w:type w:val="continuous"/>
        </w:sectPr>
      </w:pPr>
    </w:p>
    <w:p>
      <w:pPr>
        <w:spacing w:after="0" w:line="233" w:lineRule="exact"/>
        <w:rPr>
          <w:sz w:val="24"/>
          <w:szCs w:val="24"/>
          <w:color w:val="auto"/>
        </w:rPr>
      </w:pPr>
    </w:p>
    <w:p>
      <w:pPr>
        <w:ind w:left="2620"/>
        <w:spacing w:after="0"/>
        <w:rPr>
          <w:sz w:val="20"/>
          <w:szCs w:val="20"/>
          <w:color w:val="auto"/>
        </w:rPr>
      </w:pPr>
      <w:r>
        <w:rPr>
          <w:rFonts w:ascii="Arial" w:cs="Arial" w:eastAsia="Arial" w:hAnsi="Arial"/>
          <w:sz w:val="19"/>
          <w:szCs w:val="19"/>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233045</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(612) 331-6910</w:t>
      </w:r>
    </w:p>
    <w:p>
      <w:pPr>
        <w:spacing w:after="0" w:line="206" w:lineRule="exact"/>
        <w:rPr>
          <w:sz w:val="24"/>
          <w:szCs w:val="24"/>
          <w:color w:val="auto"/>
        </w:rPr>
      </w:pPr>
    </w:p>
    <w:p>
      <w:pPr>
        <w:sectPr>
          <w:pgSz w:w="11900" w:h="16838" w:orient="portrait"/>
          <w:cols w:equalWidth="0" w:num="2">
            <w:col w:w="7280" w:space="160"/>
            <w:col w:w="3960"/>
          </w:cols>
          <w:pgMar w:left="240" w:top="1029" w:right="259" w:bottom="1440" w:gutter="0" w:footer="0" w:header="0"/>
          <w:type w:val="continuous"/>
        </w:sectPr>
      </w:pPr>
    </w:p>
    <w:p>
      <w:pPr>
        <w:spacing w:after="0" w:line="284" w:lineRule="exact"/>
        <w:rPr>
          <w:sz w:val="24"/>
          <w:szCs w:val="24"/>
          <w:color w:val="auto"/>
        </w:rPr>
      </w:pPr>
    </w:p>
    <w:p>
      <w:pPr>
        <w:ind w:right="740" w:firstLine="324"/>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i w:val="1"/>
          <w:iCs w:val="1"/>
          <w:color w:val="auto"/>
        </w:rPr>
        <w:t>see</w:t>
      </w:r>
      <w:r>
        <w:rPr>
          <w:rFonts w:ascii="Arial" w:cs="Arial" w:eastAsia="Arial" w:hAnsi="Arial"/>
          <w:sz w:val="22"/>
          <w:szCs w:val="22"/>
          <w:color w:val="auto"/>
        </w:rPr>
        <w:t xml:space="preserve"> General Instruction A.2. below):</w:t>
      </w:r>
    </w:p>
    <w:p>
      <w:pPr>
        <w:spacing w:after="0" w:line="200" w:lineRule="exact"/>
        <w:rPr>
          <w:sz w:val="24"/>
          <w:szCs w:val="24"/>
          <w:color w:val="auto"/>
        </w:rPr>
      </w:pPr>
    </w:p>
    <w:p>
      <w:pPr>
        <w:ind w:left="620" w:hanging="28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620" w:hanging="28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620" w:hanging="288"/>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620" w:hanging="288"/>
        <w:spacing w:after="0"/>
        <w:tabs>
          <w:tab w:leader="none" w:pos="62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707390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225" w:lineRule="exact"/>
        <w:rPr>
          <w:sz w:val="24"/>
          <w:szCs w:val="24"/>
          <w:color w:val="auto"/>
        </w:rPr>
      </w:pPr>
    </w:p>
    <w:p>
      <w:pPr>
        <w:ind w:firstLine="877"/>
        <w:spacing w:after="0" w:line="268" w:lineRule="auto"/>
        <w:rPr>
          <w:sz w:val="20"/>
          <w:szCs w:val="20"/>
          <w:color w:val="auto"/>
        </w:rPr>
      </w:pPr>
      <w:r>
        <w:rPr>
          <w:rFonts w:ascii="Arial" w:cs="Arial" w:eastAsia="Arial" w:hAnsi="Arial"/>
          <w:sz w:val="18"/>
          <w:szCs w:val="18"/>
          <w:color w:val="auto"/>
        </w:rPr>
        <w:t>On May 4, 2007, Hawkins, Inc. issued a press release announcing financial results for its fiscal third quarter ended December 31, 2006. A copy of the press release issued by the Registrant is furnished herewith as Exhibit 99 hereto and is incorporated herein by reference.</w:t>
      </w:r>
    </w:p>
    <w:p>
      <w:pPr>
        <w:spacing w:after="0" w:line="16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25" w:lineRule="exact"/>
        <w:rPr>
          <w:sz w:val="24"/>
          <w:szCs w:val="24"/>
          <w:color w:val="auto"/>
        </w:rPr>
      </w:pPr>
    </w:p>
    <w:p>
      <w:pPr>
        <w:ind w:left="1100" w:hanging="749"/>
        <w:spacing w:after="0"/>
        <w:tabs>
          <w:tab w:leader="none" w:pos="11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6"/>
          <w:szCs w:val="16"/>
          <w:color w:val="auto"/>
        </w:rPr>
        <w:t>Exhibit 99 - Press Release, dated May 4, 2007, announcing financial results of Hawkins, Inc. for its fiscal third quarter ended December 31,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1292860</wp:posOffset>
            </wp:positionV>
            <wp:extent cx="725043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0955"/>
                    </a:xfrm>
                    <a:prstGeom prst="rect">
                      <a:avLst/>
                    </a:prstGeom>
                    <a:noFill/>
                  </pic:spPr>
                </pic:pic>
              </a:graphicData>
            </a:graphic>
          </wp:anchor>
        </w:drawing>
      </w:r>
    </w:p>
    <w:p>
      <w:pPr>
        <w:sectPr>
          <w:pgSz w:w="11900" w:h="16838" w:orient="portrait"/>
          <w:cols w:equalWidth="0" w:num="1">
            <w:col w:w="11400"/>
          </w:cols>
          <w:pgMar w:left="240" w:top="1029" w:right="2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firstLine="877"/>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HAWKINS, INC.</w:t>
      </w:r>
    </w:p>
    <w:p>
      <w:pPr>
        <w:spacing w:after="0" w:line="200" w:lineRule="exact"/>
        <w:rPr>
          <w:sz w:val="20"/>
          <w:szCs w:val="20"/>
          <w:color w:val="auto"/>
        </w:rPr>
      </w:pPr>
    </w:p>
    <w:p>
      <w:pPr>
        <w:spacing w:after="0" w:line="214" w:lineRule="exact"/>
        <w:rPr>
          <w:sz w:val="20"/>
          <w:szCs w:val="20"/>
          <w:color w:val="auto"/>
        </w:rPr>
      </w:pPr>
    </w:p>
    <w:p>
      <w:pPr>
        <w:spacing w:after="0"/>
        <w:tabs>
          <w:tab w:leader="none" w:pos="6620" w:val="left"/>
          <w:tab w:leader="none" w:pos="8560" w:val="left"/>
        </w:tabs>
        <w:rPr>
          <w:sz w:val="20"/>
          <w:szCs w:val="20"/>
          <w:color w:val="auto"/>
        </w:rPr>
      </w:pPr>
      <w:r>
        <w:rPr>
          <w:rFonts w:ascii="Arial" w:cs="Arial" w:eastAsia="Arial" w:hAnsi="Arial"/>
          <w:sz w:val="18"/>
          <w:szCs w:val="18"/>
          <w:color w:val="auto"/>
        </w:rPr>
        <w:t>Date: May 4, 2007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Marvin E. Dee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10795</wp:posOffset>
            </wp:positionV>
            <wp:extent cx="28213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19"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Vice President, Chief Financial Officer,</w:t>
      </w:r>
    </w:p>
    <w:p>
      <w:pPr>
        <w:spacing w:after="0" w:line="9" w:lineRule="exact"/>
        <w:rPr>
          <w:sz w:val="20"/>
          <w:szCs w:val="20"/>
          <w:color w:val="auto"/>
        </w:rPr>
      </w:pPr>
    </w:p>
    <w:p>
      <w:pPr>
        <w:jc w:val="center"/>
        <w:ind w:left="6980"/>
        <w:spacing w:after="0"/>
        <w:rPr>
          <w:sz w:val="20"/>
          <w:szCs w:val="20"/>
          <w:color w:val="auto"/>
        </w:rPr>
      </w:pPr>
      <w:r>
        <w:rPr>
          <w:rFonts w:ascii="Arial" w:cs="Arial" w:eastAsia="Arial" w:hAnsi="Arial"/>
          <w:sz w:val="18"/>
          <w:szCs w:val="18"/>
          <w:color w:val="auto"/>
        </w:rPr>
        <w:t>Secretary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1137285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22"/>
          <w:szCs w:val="22"/>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Marvin E. Dee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612/617-8571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marvin.dee@HawkinsInc.com</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Jennifer A. Weichert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Weichert Financial Relations,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651/686-9751</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JWeichert@Comcast.net</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HAWKINS, INC. REPORTS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QUARTER, NINE MONTHS FISCAL 2007 RESULTS</w:t>
      </w:r>
    </w:p>
    <w:p>
      <w:pPr>
        <w:spacing w:after="0" w:line="20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Minneapolis, MN, May 4, 2007 – Hawkins, Inc. (Nasdaq: HWKN) today announced results for the third quarter and first nine months of fiscal 2007. For the quarter ended December 31, 2006, Hawkins’ reported sales increased 7.8% to $37.0 million, versus $34.4 million in sales for the same period a year ago. Net income for the quarter was $314,000, equal to diluted earnings per share of $0.03, versus net income of $1.8 million, equal to diluted earnings per share of $0.18 for the third quarter of fiscal 2006. Net income for the third quarter of fiscal 2007 was negatively impacted by contractor and consulting fees associated with the implementation of the Company’s Enterprise Resource Planning (“ERP”) system and a decrease in sales within the Pharmaceutical segment.</w:t>
      </w:r>
    </w:p>
    <w:p>
      <w:pPr>
        <w:spacing w:after="0" w:line="2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previously announced, Hawkins was not able to file its quarterly report on Form 10-Q for the fiscal quarter ended December 31, 2006 (the “10-Q Report”) on a timely basis. The delay in filing the 10-Q Report was due to the ongoing implementation of the Company’s ERP system, which necessitated additional time to complete the quarterly financial closing process and to prepare the related information to be included in the 10-Q Report. Hawkins expects to file the 10-Q Report on May 7, 2007.</w:t>
      </w:r>
    </w:p>
    <w:p>
      <w:pPr>
        <w:spacing w:after="0" w:line="278"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For the nine months ended December 31, 2006, Hawkins reported sales of $120.7 million, net income of $6.3 million and diluted earnings per share of $0.62 versus sales of $106.9 million, net income of $7.6 million and diluted earnings per share of $0.74 for the nine months ended December 31, 2005. Net income for the first nine months of fiscal 2006 benefited from a litigation settlement gain of approximately $650,000, or $0.06 per share.</w:t>
      </w:r>
    </w:p>
    <w:p>
      <w:pPr>
        <w:spacing w:after="0" w:line="16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The decrease in the Pharmaceutical segment’s sales was the result of a letter from the FDA in November 2006 requesting that the Company cease shipments of certain products until it resolved certain issues with the FDA with respect to the validation of packaging configurations and expiration dating for those products. The Company has subsequently received clearance from the FDA to sell some of the products involved and has suspended shipment of the remaining affected products to customers until additional clearance is received from the FDA.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213995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Gross margin as a percent of sales for the three and nine months ended December 31, 2006 was 18.9% and 24.0%, respectively, versus 21.0% and 24.2%, respectively, a year ago. In addition to the decrease in Pharmaceutical segment sales, LIFO inventory adjustments primarily due to fluctuations in the cost and inventory levels of caustic soda and product mix as compared to the prior year, negatively impacted bottom line results.</w:t>
      </w:r>
    </w:p>
    <w:p>
      <w:pPr>
        <w:spacing w:after="0" w:line="161"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Chief Executive Officer, John R. Hawkins, commented, “In conjunction with the implementation of the Company’s ERP system in October of 2006, significant contractor and consulting fees were incurred to support the go-live. These costs will continue at comparable levels during the fourth quarter of fiscal 2007 and we are anticipating that they will gradually decrease during fiscal 2008. These costs are necessary to ensure that daily operations continue to service our customers. The implementation of the ERP system is expected to enhance customer service, improve efficiency and serve as a foundation for future growth. Although significant internal resources were dedicated to implementing the ERP system, sales in the Water Treatment and Industrial segments continued to grow.”</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Hawkins completed the third fiscal quarter ended December 31, 2006 with approximately $25.9 million in cash and marketable securities, strong, predictable cash flow from operations and no debt.</w:t>
      </w:r>
    </w:p>
    <w:p>
      <w:pPr>
        <w:spacing w:after="0" w:line="18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Hawkins, Inc. is a highly focused regional company, which provides a full range of bulk industrial products complemented with the technical competence and ingenuity to formulate and blend specialty chemicals. The Company sells and services related products and equipment to safely dispense chemicals in highly controlled environments.</w:t>
      </w:r>
    </w:p>
    <w:p>
      <w:pPr>
        <w:spacing w:after="0" w:line="19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Hawkins serves customers in a wide range of industries, including chemical processing, electronics, energy, environmental services, food processing, metal finishing, pharmaceutical, medical devices, pulp and paper, and water treatment.</w:t>
      </w:r>
    </w:p>
    <w:p>
      <w:pPr>
        <w:spacing w:after="0" w:line="18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Hawkins is headquartered in Minneapolis, Minnesota. The Company operates fifteen facilities in Iowa, Illinois, Minnesota, Montana, Nebraska, South and North Dakota and Wisconsin and services customers in Upper Michigan, Kansas and Wyoming as well.</w:t>
      </w:r>
    </w:p>
    <w:p>
      <w:pPr>
        <w:spacing w:after="0" w:line="184" w:lineRule="exact"/>
        <w:rPr>
          <w:sz w:val="20"/>
          <w:szCs w:val="20"/>
          <w:color w:val="auto"/>
        </w:rPr>
      </w:pPr>
    </w:p>
    <w:p>
      <w:pPr>
        <w:ind w:right="20"/>
        <w:spacing w:after="0" w:line="226" w:lineRule="auto"/>
        <w:rPr>
          <w:sz w:val="20"/>
          <w:szCs w:val="20"/>
          <w:color w:val="auto"/>
        </w:rPr>
      </w:pPr>
      <w:r>
        <w:rPr>
          <w:rFonts w:ascii="Arial" w:cs="Arial" w:eastAsia="Arial" w:hAnsi="Arial"/>
          <w:sz w:val="14"/>
          <w:szCs w:val="14"/>
          <w:i w:val="1"/>
          <w:iCs w:val="1"/>
          <w:color w:val="auto"/>
        </w:rPr>
        <w:t>The discussion above contains forward-looking statements within the meaning of the Private Securities Litigation Reform Act of 1995. These statements by their nature involve substantial risks and uncertainties. Actual results may differ materially depending on a variety of factors, including, but not limited to, the following: our ability to pass through cost increases in raw materials and energy, competition from other chemical companies, seasonality and weather conditions, costs and difficulties with our new enterprise resource planning system, the hazards of chemical manufacturing, natural disasters, downturns in our customers’ industries, changes in our customers’ products, compliance with applicable laws and regulations, our ability to meet quality specifications, the adequacy of our insurance coverage, our ability to attract and retain key personnel, our ability to complete and integrate future acquisitions, and future terrorist attacks. Additional information with respect to the risks and uncertainties faced by Hawkins may be found in, and the prior discussion is qualified in its entirety by, the Risk Factors contained in Part I, Item 1A of our Annual Report on Form 10-K for the fiscal year ended April 2, 2006, as updated by subsequent SEC filings.</w:t>
      </w:r>
    </w:p>
    <w:p>
      <w:pPr>
        <w:sectPr>
          <w:pgSz w:w="11900" w:h="16838" w:orient="portrait"/>
          <w:cols w:equalWidth="0" w:num="1">
            <w:col w:w="11420"/>
          </w:cols>
          <w:pgMar w:left="240" w:top="598"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447040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t>HAWKINS,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40" w:type="dxa"/>
            <w:vAlign w:val="bottom"/>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5"/>
          </w:tcPr>
          <w:p>
            <w:pPr>
              <w:jc w:val="right"/>
              <w:ind w:right="1540"/>
              <w:spacing w:after="0"/>
              <w:rPr>
                <w:sz w:val="20"/>
                <w:szCs w:val="20"/>
                <w:color w:val="auto"/>
              </w:rPr>
            </w:pPr>
            <w:r>
              <w:rPr>
                <w:rFonts w:ascii="Arial" w:cs="Arial" w:eastAsia="Arial" w:hAnsi="Arial"/>
                <w:sz w:val="14"/>
                <w:szCs w:val="14"/>
                <w:b w:val="1"/>
                <w:bCs w:val="1"/>
                <w:color w:val="auto"/>
              </w:rPr>
              <w:t>Nine Months Ended</w:t>
            </w:r>
          </w:p>
        </w:tc>
      </w:tr>
      <w:tr>
        <w:trPr>
          <w:trHeight w:val="163"/>
        </w:trPr>
        <w:tc>
          <w:tcPr>
            <w:tcW w:w="3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74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w w:val="92"/>
              </w:rPr>
              <w:t>December 31,</w:t>
            </w:r>
          </w:p>
        </w:tc>
      </w:tr>
      <w:tr>
        <w:trPr>
          <w:trHeight w:val="161"/>
        </w:trPr>
        <w:tc>
          <w:tcPr>
            <w:tcW w:w="39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4"/>
                <w:szCs w:val="14"/>
                <w:color w:val="auto"/>
              </w:rPr>
            </w:pPr>
          </w:p>
        </w:tc>
      </w:tr>
      <w:tr>
        <w:trPr>
          <w:trHeight w:val="183"/>
        </w:trPr>
        <w:tc>
          <w:tcPr>
            <w:tcW w:w="3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57"/>
        </w:trPr>
        <w:tc>
          <w:tcPr>
            <w:tcW w:w="3940" w:type="dxa"/>
            <w:vAlign w:val="bottom"/>
            <w:shd w:val="clear" w:color="auto" w:fill="D6F3E8"/>
          </w:tcPr>
          <w:p>
            <w:pPr>
              <w:spacing w:after="0"/>
              <w:rPr>
                <w:sz w:val="20"/>
                <w:szCs w:val="20"/>
                <w:color w:val="auto"/>
              </w:rPr>
            </w:pPr>
            <w:r>
              <w:rPr>
                <w:rFonts w:ascii="Arial" w:cs="Arial" w:eastAsia="Arial" w:hAnsi="Arial"/>
                <w:sz w:val="18"/>
                <w:szCs w:val="18"/>
                <w:color w:val="auto"/>
              </w:rPr>
              <w:t>Sales</w:t>
            </w:r>
          </w:p>
        </w:tc>
        <w:tc>
          <w:tcPr>
            <w:tcW w:w="9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37,039,181</w:t>
            </w:r>
          </w:p>
        </w:tc>
        <w:tc>
          <w:tcPr>
            <w:tcW w:w="220" w:type="dxa"/>
            <w:vAlign w:val="bottom"/>
            <w:shd w:val="clear" w:color="auto" w:fill="D6F3E8"/>
          </w:tcPr>
          <w:p>
            <w:pPr>
              <w:spacing w:after="0"/>
              <w:rPr>
                <w:sz w:val="22"/>
                <w:szCs w:val="22"/>
                <w:color w:val="auto"/>
              </w:rPr>
            </w:pPr>
          </w:p>
        </w:tc>
        <w:tc>
          <w:tcPr>
            <w:tcW w:w="180" w:type="dxa"/>
            <w:vAlign w:val="bottom"/>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34,352,992</w:t>
            </w:r>
          </w:p>
        </w:tc>
        <w:tc>
          <w:tcPr>
            <w:tcW w:w="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120,700,006</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106,850,761</w:t>
            </w:r>
          </w:p>
        </w:tc>
        <w:tc>
          <w:tcPr>
            <w:tcW w:w="660" w:type="dxa"/>
            <w:vAlign w:val="bottom"/>
            <w:shd w:val="clear" w:color="auto" w:fill="D6F3E8"/>
          </w:tcPr>
          <w:p>
            <w:pPr>
              <w:spacing w:after="0"/>
              <w:rPr>
                <w:sz w:val="22"/>
                <w:szCs w:val="22"/>
                <w:color w:val="auto"/>
              </w:rPr>
            </w:pPr>
          </w:p>
        </w:tc>
      </w:tr>
      <w:tr>
        <w:trPr>
          <w:trHeight w:val="445"/>
        </w:trPr>
        <w:tc>
          <w:tcPr>
            <w:tcW w:w="3940" w:type="dxa"/>
            <w:vAlign w:val="bottom"/>
          </w:tcPr>
          <w:p>
            <w:pPr>
              <w:spacing w:after="0"/>
              <w:rPr>
                <w:sz w:val="20"/>
                <w:szCs w:val="20"/>
                <w:color w:val="auto"/>
              </w:rPr>
            </w:pPr>
            <w:r>
              <w:rPr>
                <w:rFonts w:ascii="Arial" w:cs="Arial" w:eastAsia="Arial" w:hAnsi="Arial"/>
                <w:sz w:val="18"/>
                <w:szCs w:val="18"/>
                <w:color w:val="auto"/>
              </w:rPr>
              <w:t>Cost of sales</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30,047,975</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27,133,377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91,709,068</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80,950,535</w:t>
            </w:r>
          </w:p>
        </w:tc>
        <w:tc>
          <w:tcPr>
            <w:tcW w:w="660" w:type="dxa"/>
            <w:vAlign w:val="bottom"/>
          </w:tcPr>
          <w:p>
            <w:pPr>
              <w:spacing w:after="0"/>
              <w:rPr>
                <w:sz w:val="24"/>
                <w:szCs w:val="24"/>
                <w:color w:val="auto"/>
              </w:rPr>
            </w:pPr>
          </w:p>
        </w:tc>
      </w:tr>
      <w:tr>
        <w:trPr>
          <w:trHeight w:val="184"/>
        </w:trPr>
        <w:tc>
          <w:tcPr>
            <w:tcW w:w="3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60" w:type="dxa"/>
            <w:vAlign w:val="bottom"/>
          </w:tcPr>
          <w:p>
            <w:pPr>
              <w:spacing w:after="0"/>
              <w:rPr>
                <w:sz w:val="15"/>
                <w:szCs w:val="15"/>
                <w:color w:val="auto"/>
              </w:rPr>
            </w:pPr>
          </w:p>
        </w:tc>
      </w:tr>
      <w:tr>
        <w:trPr>
          <w:trHeight w:val="257"/>
        </w:trPr>
        <w:tc>
          <w:tcPr>
            <w:tcW w:w="3940" w:type="dxa"/>
            <w:vAlign w:val="bottom"/>
            <w:shd w:val="clear" w:color="auto" w:fill="D6F3E8"/>
          </w:tcPr>
          <w:p>
            <w:pPr>
              <w:spacing w:after="0"/>
              <w:rPr>
                <w:sz w:val="20"/>
                <w:szCs w:val="20"/>
                <w:color w:val="auto"/>
              </w:rPr>
            </w:pPr>
            <w:r>
              <w:rPr>
                <w:rFonts w:ascii="Arial" w:cs="Arial" w:eastAsia="Arial" w:hAnsi="Arial"/>
                <w:sz w:val="18"/>
                <w:szCs w:val="18"/>
                <w:color w:val="auto"/>
              </w:rPr>
              <w:t>Gross margin</w:t>
            </w:r>
          </w:p>
        </w:tc>
        <w:tc>
          <w:tcPr>
            <w:tcW w:w="80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6,991,206</w:t>
            </w:r>
          </w:p>
        </w:tc>
        <w:tc>
          <w:tcPr>
            <w:tcW w:w="220" w:type="dxa"/>
            <w:vAlign w:val="bottom"/>
            <w:shd w:val="clear" w:color="auto" w:fill="D6F3E8"/>
          </w:tcPr>
          <w:p>
            <w:pPr>
              <w:spacing w:after="0"/>
              <w:rPr>
                <w:sz w:val="22"/>
                <w:szCs w:val="22"/>
                <w:color w:val="auto"/>
              </w:rPr>
            </w:pPr>
          </w:p>
        </w:tc>
        <w:tc>
          <w:tcPr>
            <w:tcW w:w="180" w:type="dxa"/>
            <w:vAlign w:val="bottom"/>
            <w:shd w:val="clear" w:color="auto" w:fill="D6F3E8"/>
          </w:tcPr>
          <w:p>
            <w:pPr>
              <w:spacing w:after="0"/>
              <w:rPr>
                <w:sz w:val="22"/>
                <w:szCs w:val="22"/>
                <w:color w:val="auto"/>
              </w:rPr>
            </w:pP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7,219,615</w:t>
            </w:r>
          </w:p>
        </w:tc>
        <w:tc>
          <w:tcPr>
            <w:tcW w:w="1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4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28,990,938</w:t>
            </w:r>
          </w:p>
        </w:tc>
        <w:tc>
          <w:tcPr>
            <w:tcW w:w="160" w:type="dxa"/>
            <w:vAlign w:val="bottom"/>
            <w:shd w:val="clear" w:color="auto" w:fill="D6F3E8"/>
          </w:tcPr>
          <w:p>
            <w:pPr>
              <w:spacing w:after="0"/>
              <w:rPr>
                <w:sz w:val="22"/>
                <w:szCs w:val="22"/>
                <w:color w:val="auto"/>
              </w:rPr>
            </w:pPr>
          </w:p>
        </w:tc>
        <w:tc>
          <w:tcPr>
            <w:tcW w:w="10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25,900,226</w:t>
            </w:r>
          </w:p>
        </w:tc>
        <w:tc>
          <w:tcPr>
            <w:tcW w:w="660" w:type="dxa"/>
            <w:vAlign w:val="bottom"/>
            <w:shd w:val="clear" w:color="auto" w:fill="D6F3E8"/>
          </w:tcPr>
          <w:p>
            <w:pPr>
              <w:spacing w:after="0"/>
              <w:rPr>
                <w:sz w:val="22"/>
                <w:szCs w:val="22"/>
                <w:color w:val="auto"/>
              </w:rPr>
            </w:pPr>
          </w:p>
        </w:tc>
      </w:tr>
      <w:tr>
        <w:trPr>
          <w:trHeight w:val="444"/>
        </w:trPr>
        <w:tc>
          <w:tcPr>
            <w:tcW w:w="39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6,716,617</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4,708,939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19,835,758</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15,797,249</w:t>
            </w:r>
          </w:p>
        </w:tc>
        <w:tc>
          <w:tcPr>
            <w:tcW w:w="660" w:type="dxa"/>
            <w:vAlign w:val="bottom"/>
          </w:tcPr>
          <w:p>
            <w:pPr>
              <w:spacing w:after="0"/>
              <w:rPr>
                <w:sz w:val="24"/>
                <w:szCs w:val="24"/>
                <w:color w:val="auto"/>
              </w:rPr>
            </w:pPr>
          </w:p>
        </w:tc>
      </w:tr>
      <w:tr>
        <w:trPr>
          <w:trHeight w:val="191"/>
        </w:trPr>
        <w:tc>
          <w:tcPr>
            <w:tcW w:w="3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6"/>
        </w:trPr>
        <w:tc>
          <w:tcPr>
            <w:tcW w:w="3940" w:type="dxa"/>
            <w:vAlign w:val="bottom"/>
            <w:shd w:val="clear" w:color="auto" w:fill="D6F3E8"/>
          </w:tcPr>
          <w:p>
            <w:pPr>
              <w:spacing w:after="0"/>
              <w:rPr>
                <w:sz w:val="20"/>
                <w:szCs w:val="20"/>
                <w:color w:val="auto"/>
              </w:rPr>
            </w:pPr>
            <w:r>
              <w:rPr>
                <w:rFonts w:ascii="Arial" w:cs="Arial" w:eastAsia="Arial" w:hAnsi="Arial"/>
                <w:sz w:val="18"/>
                <w:szCs w:val="18"/>
                <w:color w:val="auto"/>
              </w:rPr>
              <w:t>Litigation settlement</w:t>
            </w:r>
          </w:p>
        </w:tc>
        <w:tc>
          <w:tcPr>
            <w:tcW w:w="800" w:type="dxa"/>
            <w:vAlign w:val="bottom"/>
            <w:shd w:val="clear" w:color="auto" w:fill="D6F3E8"/>
          </w:tcPr>
          <w:p>
            <w:pPr>
              <w:spacing w:after="0"/>
              <w:rPr>
                <w:sz w:val="22"/>
                <w:szCs w:val="22"/>
                <w:color w:val="auto"/>
              </w:rPr>
            </w:pPr>
          </w:p>
        </w:tc>
        <w:tc>
          <w:tcPr>
            <w:tcW w:w="140" w:type="dxa"/>
            <w:vAlign w:val="bottom"/>
            <w:shd w:val="clear" w:color="auto" w:fill="D6F3E8"/>
          </w:tcPr>
          <w:p>
            <w:pPr>
              <w:spacing w:after="0"/>
              <w:rPr>
                <w:sz w:val="22"/>
                <w:szCs w:val="22"/>
                <w:color w:val="auto"/>
              </w:rPr>
            </w:pPr>
          </w:p>
        </w:tc>
        <w:tc>
          <w:tcPr>
            <w:tcW w:w="1300" w:type="dxa"/>
            <w:vAlign w:val="bottom"/>
            <w:gridSpan w:val="2"/>
            <w:shd w:val="clear" w:color="auto" w:fill="D6F3E8"/>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D6F3E8"/>
          </w:tcPr>
          <w:p>
            <w:pPr>
              <w:spacing w:after="0"/>
              <w:rPr>
                <w:sz w:val="22"/>
                <w:szCs w:val="22"/>
                <w:color w:val="auto"/>
              </w:rPr>
            </w:pP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D6F3E8"/>
          </w:tcPr>
          <w:p>
            <w:pPr>
              <w:spacing w:after="0"/>
              <w:rPr>
                <w:sz w:val="22"/>
                <w:szCs w:val="22"/>
                <w:color w:val="auto"/>
              </w:rPr>
            </w:pPr>
          </w:p>
        </w:tc>
        <w:tc>
          <w:tcPr>
            <w:tcW w:w="200" w:type="dxa"/>
            <w:vAlign w:val="bottom"/>
            <w:shd w:val="clear" w:color="auto" w:fill="D6F3E8"/>
          </w:tcPr>
          <w:p>
            <w:pPr>
              <w:spacing w:after="0"/>
              <w:rPr>
                <w:sz w:val="22"/>
                <w:szCs w:val="22"/>
                <w:color w:val="auto"/>
              </w:rPr>
            </w:pPr>
          </w:p>
        </w:tc>
        <w:tc>
          <w:tcPr>
            <w:tcW w:w="146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D6F3E8"/>
          </w:tcPr>
          <w:p>
            <w:pPr>
              <w:spacing w:after="0"/>
              <w:rPr>
                <w:sz w:val="22"/>
                <w:szCs w:val="22"/>
                <w:color w:val="auto"/>
              </w:rPr>
            </w:pPr>
          </w:p>
        </w:tc>
        <w:tc>
          <w:tcPr>
            <w:tcW w:w="1740" w:type="dxa"/>
            <w:vAlign w:val="bottom"/>
            <w:gridSpan w:val="2"/>
            <w:shd w:val="clear" w:color="auto" w:fill="D6F3E8"/>
          </w:tcPr>
          <w:p>
            <w:pPr>
              <w:jc w:val="right"/>
              <w:ind w:right="600"/>
              <w:spacing w:after="0"/>
              <w:rPr>
                <w:sz w:val="20"/>
                <w:szCs w:val="20"/>
                <w:color w:val="auto"/>
              </w:rPr>
            </w:pPr>
            <w:r>
              <w:rPr>
                <w:rFonts w:ascii="Arial" w:cs="Arial" w:eastAsia="Arial" w:hAnsi="Arial"/>
                <w:sz w:val="18"/>
                <w:szCs w:val="18"/>
                <w:color w:val="auto"/>
              </w:rPr>
              <w:t>(1,015,826)</w:t>
            </w:r>
          </w:p>
        </w:tc>
      </w:tr>
      <w:tr>
        <w:trPr>
          <w:trHeight w:val="438"/>
        </w:trPr>
        <w:tc>
          <w:tcPr>
            <w:tcW w:w="39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8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274,589</w:t>
            </w:r>
          </w:p>
        </w:tc>
        <w:tc>
          <w:tcPr>
            <w:tcW w:w="2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2,510,676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9,155,180</w:t>
            </w: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11,118,803</w:t>
            </w:r>
          </w:p>
        </w:tc>
        <w:tc>
          <w:tcPr>
            <w:tcW w:w="660" w:type="dxa"/>
            <w:vAlign w:val="bottom"/>
          </w:tcPr>
          <w:p>
            <w:pPr>
              <w:spacing w:after="0"/>
              <w:rPr>
                <w:sz w:val="24"/>
                <w:szCs w:val="24"/>
                <w:color w:val="auto"/>
              </w:rPr>
            </w:pPr>
          </w:p>
        </w:tc>
      </w:tr>
      <w:tr>
        <w:trPr>
          <w:trHeight w:val="191"/>
        </w:trPr>
        <w:tc>
          <w:tcPr>
            <w:tcW w:w="3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6"/>
        </w:trPr>
        <w:tc>
          <w:tcPr>
            <w:tcW w:w="3940" w:type="dxa"/>
            <w:vAlign w:val="bottom"/>
            <w:shd w:val="clear" w:color="auto" w:fill="D6F3E8"/>
          </w:tcPr>
          <w:p>
            <w:pPr>
              <w:spacing w:after="0"/>
              <w:rPr>
                <w:sz w:val="20"/>
                <w:szCs w:val="20"/>
                <w:color w:val="auto"/>
              </w:rPr>
            </w:pPr>
            <w:r>
              <w:rPr>
                <w:rFonts w:ascii="Arial" w:cs="Arial" w:eastAsia="Arial" w:hAnsi="Arial"/>
                <w:sz w:val="18"/>
                <w:szCs w:val="18"/>
                <w:color w:val="auto"/>
              </w:rPr>
              <w:t>Investment income</w:t>
            </w:r>
          </w:p>
        </w:tc>
        <w:tc>
          <w:tcPr>
            <w:tcW w:w="800" w:type="dxa"/>
            <w:vAlign w:val="bottom"/>
            <w:shd w:val="clear" w:color="auto" w:fill="D6F3E8"/>
          </w:tcPr>
          <w:p>
            <w:pPr>
              <w:spacing w:after="0"/>
              <w:rPr>
                <w:sz w:val="22"/>
                <w:szCs w:val="22"/>
                <w:color w:val="auto"/>
              </w:rPr>
            </w:pPr>
          </w:p>
        </w:tc>
        <w:tc>
          <w:tcPr>
            <w:tcW w:w="140" w:type="dxa"/>
            <w:vAlign w:val="bottom"/>
            <w:tcBorders>
              <w:bottom w:val="single" w:sz="8" w:color="auto"/>
            </w:tcBorders>
            <w:shd w:val="clear" w:color="auto" w:fill="D6F3E8"/>
          </w:tcPr>
          <w:p>
            <w:pPr>
              <w:spacing w:after="0"/>
              <w:rPr>
                <w:sz w:val="22"/>
                <w:szCs w:val="22"/>
                <w:color w:val="auto"/>
              </w:rPr>
            </w:pPr>
          </w:p>
        </w:tc>
        <w:tc>
          <w:tcPr>
            <w:tcW w:w="10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359,184</w:t>
            </w:r>
          </w:p>
        </w:tc>
        <w:tc>
          <w:tcPr>
            <w:tcW w:w="220" w:type="dxa"/>
            <w:vAlign w:val="bottom"/>
            <w:shd w:val="clear" w:color="auto" w:fill="D6F3E8"/>
          </w:tcPr>
          <w:p>
            <w:pPr>
              <w:spacing w:after="0"/>
              <w:rPr>
                <w:sz w:val="22"/>
                <w:szCs w:val="22"/>
                <w:color w:val="auto"/>
              </w:rPr>
            </w:pPr>
          </w:p>
        </w:tc>
        <w:tc>
          <w:tcPr>
            <w:tcW w:w="180" w:type="dxa"/>
            <w:vAlign w:val="bottom"/>
            <w:tcBorders>
              <w:bottom w:val="single" w:sz="8" w:color="auto"/>
            </w:tcBorders>
            <w:shd w:val="clear" w:color="auto" w:fill="D6F3E8"/>
          </w:tcPr>
          <w:p>
            <w:pPr>
              <w:spacing w:after="0"/>
              <w:rPr>
                <w:sz w:val="22"/>
                <w:szCs w:val="22"/>
                <w:color w:val="auto"/>
              </w:rPr>
            </w:pP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242,488</w:t>
            </w:r>
          </w:p>
        </w:tc>
        <w:tc>
          <w:tcPr>
            <w:tcW w:w="10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200" w:type="dxa"/>
            <w:vAlign w:val="bottom"/>
            <w:tcBorders>
              <w:bottom w:val="single" w:sz="8" w:color="auto"/>
            </w:tcBorders>
            <w:shd w:val="clear" w:color="auto" w:fill="D6F3E8"/>
          </w:tcPr>
          <w:p>
            <w:pPr>
              <w:spacing w:after="0"/>
              <w:rPr>
                <w:sz w:val="22"/>
                <w:szCs w:val="22"/>
                <w:color w:val="auto"/>
              </w:rPr>
            </w:pPr>
          </w:p>
        </w:tc>
        <w:tc>
          <w:tcPr>
            <w:tcW w:w="12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1,008,188</w:t>
            </w:r>
          </w:p>
        </w:tc>
        <w:tc>
          <w:tcPr>
            <w:tcW w:w="200" w:type="dxa"/>
            <w:vAlign w:val="bottom"/>
            <w:shd w:val="clear" w:color="auto" w:fill="D6F3E8"/>
          </w:tcPr>
          <w:p>
            <w:pPr>
              <w:spacing w:after="0"/>
              <w:rPr>
                <w:sz w:val="22"/>
                <w:szCs w:val="22"/>
                <w:color w:val="auto"/>
              </w:rPr>
            </w:pPr>
          </w:p>
        </w:tc>
        <w:tc>
          <w:tcPr>
            <w:tcW w:w="160" w:type="dxa"/>
            <w:vAlign w:val="bottom"/>
            <w:tcBorders>
              <w:bottom w:val="single" w:sz="8" w:color="auto"/>
            </w:tcBorders>
            <w:shd w:val="clear" w:color="auto" w:fill="D6F3E8"/>
          </w:tcPr>
          <w:p>
            <w:pPr>
              <w:spacing w:after="0"/>
              <w:rPr>
                <w:sz w:val="22"/>
                <w:szCs w:val="22"/>
                <w:color w:val="auto"/>
              </w:rPr>
            </w:pPr>
          </w:p>
        </w:tc>
        <w:tc>
          <w:tcPr>
            <w:tcW w:w="10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619,366</w:t>
            </w:r>
          </w:p>
        </w:tc>
        <w:tc>
          <w:tcPr>
            <w:tcW w:w="660" w:type="dxa"/>
            <w:vAlign w:val="bottom"/>
            <w:shd w:val="clear" w:color="auto" w:fill="D6F3E8"/>
          </w:tcPr>
          <w:p>
            <w:pPr>
              <w:spacing w:after="0"/>
              <w:rPr>
                <w:sz w:val="22"/>
                <w:szCs w:val="22"/>
                <w:color w:val="auto"/>
              </w:rPr>
            </w:pPr>
          </w:p>
        </w:tc>
      </w:tr>
      <w:tr>
        <w:trPr>
          <w:trHeight w:val="438"/>
        </w:trPr>
        <w:tc>
          <w:tcPr>
            <w:tcW w:w="39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633,773</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2,753,164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10,163,368</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11,738,169</w:t>
            </w:r>
          </w:p>
        </w:tc>
        <w:tc>
          <w:tcPr>
            <w:tcW w:w="660" w:type="dxa"/>
            <w:vAlign w:val="bottom"/>
          </w:tcPr>
          <w:p>
            <w:pPr>
              <w:spacing w:after="0"/>
              <w:rPr>
                <w:sz w:val="24"/>
                <w:szCs w:val="24"/>
                <w:color w:val="auto"/>
              </w:rPr>
            </w:pPr>
          </w:p>
        </w:tc>
      </w:tr>
      <w:tr>
        <w:trPr>
          <w:trHeight w:val="191"/>
        </w:trPr>
        <w:tc>
          <w:tcPr>
            <w:tcW w:w="39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57"/>
        </w:trPr>
        <w:tc>
          <w:tcPr>
            <w:tcW w:w="3940" w:type="dxa"/>
            <w:vAlign w:val="bottom"/>
            <w:shd w:val="clear" w:color="auto" w:fill="D6F3E8"/>
          </w:tcPr>
          <w:p>
            <w:pPr>
              <w:spacing w:after="0"/>
              <w:rPr>
                <w:sz w:val="20"/>
                <w:szCs w:val="20"/>
                <w:color w:val="auto"/>
              </w:rPr>
            </w:pPr>
            <w:r>
              <w:rPr>
                <w:rFonts w:ascii="Arial" w:cs="Arial" w:eastAsia="Arial" w:hAnsi="Arial"/>
                <w:sz w:val="18"/>
                <w:szCs w:val="18"/>
                <w:color w:val="auto"/>
              </w:rPr>
              <w:t>Provision for income taxes</w:t>
            </w:r>
          </w:p>
        </w:tc>
        <w:tc>
          <w:tcPr>
            <w:tcW w:w="800" w:type="dxa"/>
            <w:vAlign w:val="bottom"/>
            <w:shd w:val="clear" w:color="auto" w:fill="D6F3E8"/>
          </w:tcPr>
          <w:p>
            <w:pPr>
              <w:spacing w:after="0"/>
              <w:rPr>
                <w:sz w:val="22"/>
                <w:szCs w:val="22"/>
                <w:color w:val="auto"/>
              </w:rPr>
            </w:pPr>
          </w:p>
        </w:tc>
        <w:tc>
          <w:tcPr>
            <w:tcW w:w="140" w:type="dxa"/>
            <w:vAlign w:val="bottom"/>
            <w:tcBorders>
              <w:bottom w:val="single" w:sz="8" w:color="auto"/>
            </w:tcBorders>
            <w:shd w:val="clear" w:color="auto" w:fill="D6F3E8"/>
          </w:tcPr>
          <w:p>
            <w:pPr>
              <w:spacing w:after="0"/>
              <w:rPr>
                <w:sz w:val="22"/>
                <w:szCs w:val="22"/>
                <w:color w:val="auto"/>
              </w:rPr>
            </w:pPr>
          </w:p>
        </w:tc>
        <w:tc>
          <w:tcPr>
            <w:tcW w:w="10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319,500</w:t>
            </w:r>
          </w:p>
        </w:tc>
        <w:tc>
          <w:tcPr>
            <w:tcW w:w="220" w:type="dxa"/>
            <w:vAlign w:val="bottom"/>
            <w:shd w:val="clear" w:color="auto" w:fill="D6F3E8"/>
          </w:tcPr>
          <w:p>
            <w:pPr>
              <w:spacing w:after="0"/>
              <w:rPr>
                <w:sz w:val="22"/>
                <w:szCs w:val="22"/>
                <w:color w:val="auto"/>
              </w:rPr>
            </w:pPr>
          </w:p>
        </w:tc>
        <w:tc>
          <w:tcPr>
            <w:tcW w:w="180" w:type="dxa"/>
            <w:vAlign w:val="bottom"/>
            <w:tcBorders>
              <w:bottom w:val="single" w:sz="8" w:color="auto"/>
            </w:tcBorders>
            <w:shd w:val="clear" w:color="auto" w:fill="D6F3E8"/>
          </w:tcPr>
          <w:p>
            <w:pPr>
              <w:spacing w:after="0"/>
              <w:rPr>
                <w:sz w:val="22"/>
                <w:szCs w:val="22"/>
                <w:color w:val="auto"/>
              </w:rPr>
            </w:pP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925,900</w:t>
            </w:r>
          </w:p>
        </w:tc>
        <w:tc>
          <w:tcPr>
            <w:tcW w:w="100" w:type="dxa"/>
            <w:vAlign w:val="bottom"/>
            <w:shd w:val="clear" w:color="auto" w:fill="D6F3E8"/>
          </w:tcPr>
          <w:p>
            <w:pPr>
              <w:spacing w:after="0"/>
              <w:rPr>
                <w:sz w:val="22"/>
                <w:szCs w:val="22"/>
                <w:color w:val="auto"/>
              </w:rPr>
            </w:pPr>
          </w:p>
        </w:tc>
        <w:tc>
          <w:tcPr>
            <w:tcW w:w="120" w:type="dxa"/>
            <w:vAlign w:val="bottom"/>
            <w:shd w:val="clear" w:color="auto" w:fill="D6F3E8"/>
          </w:tcPr>
          <w:p>
            <w:pPr>
              <w:spacing w:after="0"/>
              <w:rPr>
                <w:sz w:val="22"/>
                <w:szCs w:val="22"/>
                <w:color w:val="auto"/>
              </w:rPr>
            </w:pPr>
          </w:p>
        </w:tc>
        <w:tc>
          <w:tcPr>
            <w:tcW w:w="200" w:type="dxa"/>
            <w:vAlign w:val="bottom"/>
            <w:tcBorders>
              <w:bottom w:val="single" w:sz="8" w:color="auto"/>
            </w:tcBorders>
            <w:shd w:val="clear" w:color="auto" w:fill="D6F3E8"/>
          </w:tcPr>
          <w:p>
            <w:pPr>
              <w:spacing w:after="0"/>
              <w:rPr>
                <w:sz w:val="22"/>
                <w:szCs w:val="22"/>
                <w:color w:val="auto"/>
              </w:rPr>
            </w:pPr>
          </w:p>
        </w:tc>
        <w:tc>
          <w:tcPr>
            <w:tcW w:w="12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3,903,000</w:t>
            </w:r>
          </w:p>
        </w:tc>
        <w:tc>
          <w:tcPr>
            <w:tcW w:w="200" w:type="dxa"/>
            <w:vAlign w:val="bottom"/>
            <w:shd w:val="clear" w:color="auto" w:fill="D6F3E8"/>
          </w:tcPr>
          <w:p>
            <w:pPr>
              <w:spacing w:after="0"/>
              <w:rPr>
                <w:sz w:val="22"/>
                <w:szCs w:val="22"/>
                <w:color w:val="auto"/>
              </w:rPr>
            </w:pPr>
          </w:p>
        </w:tc>
        <w:tc>
          <w:tcPr>
            <w:tcW w:w="160" w:type="dxa"/>
            <w:vAlign w:val="bottom"/>
            <w:tcBorders>
              <w:bottom w:val="single" w:sz="8" w:color="auto"/>
            </w:tcBorders>
            <w:shd w:val="clear" w:color="auto" w:fill="D6F3E8"/>
          </w:tcPr>
          <w:p>
            <w:pPr>
              <w:spacing w:after="0"/>
              <w:rPr>
                <w:sz w:val="22"/>
                <w:szCs w:val="22"/>
                <w:color w:val="auto"/>
              </w:rPr>
            </w:pPr>
          </w:p>
        </w:tc>
        <w:tc>
          <w:tcPr>
            <w:tcW w:w="10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4,160,500</w:t>
            </w:r>
          </w:p>
        </w:tc>
        <w:tc>
          <w:tcPr>
            <w:tcW w:w="660" w:type="dxa"/>
            <w:vAlign w:val="bottom"/>
            <w:shd w:val="clear" w:color="auto" w:fill="D6F3E8"/>
          </w:tcPr>
          <w:p>
            <w:pPr>
              <w:spacing w:after="0"/>
              <w:rPr>
                <w:sz w:val="22"/>
                <w:szCs w:val="22"/>
                <w:color w:val="auto"/>
              </w:rPr>
            </w:pPr>
          </w:p>
        </w:tc>
      </w:tr>
      <w:tr>
        <w:trPr>
          <w:trHeight w:val="438"/>
        </w:trPr>
        <w:tc>
          <w:tcPr>
            <w:tcW w:w="3940" w:type="dxa"/>
            <w:vAlign w:val="bottom"/>
          </w:tcPr>
          <w:p>
            <w:pPr>
              <w:spacing w:after="0"/>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314,273</w:t>
            </w:r>
          </w:p>
        </w:tc>
        <w:tc>
          <w:tcPr>
            <w:tcW w:w="220" w:type="dxa"/>
            <w:vAlign w:val="bottom"/>
          </w:tcPr>
          <w:p>
            <w:pPr>
              <w:spacing w:after="0"/>
              <w:rPr>
                <w:sz w:val="24"/>
                <w:szCs w:val="24"/>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1,827,264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6,260,368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7,577,669</w:t>
            </w:r>
          </w:p>
        </w:tc>
        <w:tc>
          <w:tcPr>
            <w:tcW w:w="660" w:type="dxa"/>
            <w:vAlign w:val="bottom"/>
          </w:tcPr>
          <w:p>
            <w:pPr>
              <w:spacing w:after="0"/>
              <w:rPr>
                <w:sz w:val="24"/>
                <w:szCs w:val="24"/>
                <w:color w:val="auto"/>
              </w:rPr>
            </w:pPr>
          </w:p>
        </w:tc>
      </w:tr>
      <w:tr>
        <w:trPr>
          <w:trHeight w:val="20"/>
        </w:trPr>
        <w:tc>
          <w:tcPr>
            <w:tcW w:w="39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6915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9150" cy="291465"/>
                    </a:xfrm>
                    <a:prstGeom prst="rect">
                      <a:avLst/>
                    </a:prstGeom>
                    <a:noFill/>
                  </pic:spPr>
                </pic:pic>
              </a:graphicData>
            </a:graphic>
          </wp:anchor>
        </w:drawing>
      </w:r>
    </w:p>
    <w:p>
      <w:pPr>
        <w:sectPr>
          <w:pgSz w:w="11900" w:h="16838" w:orient="portrait"/>
          <w:cols w:equalWidth="0" w:num="1">
            <w:col w:w="11300"/>
          </w:cols>
          <w:pgMar w:left="240" w:top="1327" w:right="359" w:bottom="1440" w:gutter="0" w:footer="0" w:header="0"/>
        </w:sectPr>
      </w:pPr>
    </w:p>
    <w:p>
      <w:pPr>
        <w:spacing w:after="0" w:line="397" w:lineRule="exact"/>
        <w:rPr>
          <w:sz w:val="20"/>
          <w:szCs w:val="20"/>
          <w:color w:val="auto"/>
        </w:rPr>
      </w:pPr>
    </w:p>
    <w:p>
      <w:pPr>
        <w:ind w:left="340" w:right="1500" w:hanging="323"/>
        <w:spacing w:after="0" w:line="268" w:lineRule="auto"/>
        <w:rPr>
          <w:sz w:val="20"/>
          <w:szCs w:val="20"/>
          <w:color w:val="auto"/>
        </w:rPr>
      </w:pPr>
      <w:r>
        <w:rPr>
          <w:rFonts w:ascii="Arial" w:cs="Arial" w:eastAsia="Arial" w:hAnsi="Arial"/>
          <w:sz w:val="18"/>
          <w:szCs w:val="18"/>
          <w:color w:val="auto"/>
        </w:rPr>
        <w:t>Weighted average number of shares outstanding – basic</w:t>
      </w:r>
    </w:p>
    <w:p>
      <w:pPr>
        <w:spacing w:after="0" w:line="213" w:lineRule="exact"/>
        <w:rPr>
          <w:sz w:val="20"/>
          <w:szCs w:val="20"/>
          <w:color w:val="auto"/>
        </w:rPr>
      </w:pPr>
    </w:p>
    <w:p>
      <w:pPr>
        <w:ind w:left="340" w:right="1500" w:hanging="323"/>
        <w:spacing w:after="0" w:line="323" w:lineRule="auto"/>
        <w:rPr>
          <w:sz w:val="20"/>
          <w:szCs w:val="20"/>
          <w:color w:val="auto"/>
        </w:rPr>
      </w:pPr>
      <w:r>
        <w:rPr>
          <w:rFonts w:ascii="Arial" w:cs="Arial" w:eastAsia="Arial" w:hAnsi="Arial"/>
          <w:sz w:val="16"/>
          <w:szCs w:val="16"/>
          <w:color w:val="auto"/>
        </w:rPr>
        <w:t>Weighted average number of shares outstanding –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220" w:type="dxa"/>
            <w:vAlign w:val="bottom"/>
          </w:tcPr>
          <w:p>
            <w:pPr>
              <w:jc w:val="right"/>
              <w:spacing w:after="0"/>
              <w:rPr>
                <w:sz w:val="20"/>
                <w:szCs w:val="20"/>
                <w:color w:val="auto"/>
              </w:rPr>
            </w:pPr>
            <w:r>
              <w:rPr>
                <w:rFonts w:ascii="Arial" w:cs="Arial" w:eastAsia="Arial" w:hAnsi="Arial"/>
                <w:sz w:val="18"/>
                <w:szCs w:val="18"/>
                <w:color w:val="auto"/>
              </w:rPr>
              <w:t>10,171,496</w:t>
            </w:r>
          </w:p>
        </w:tc>
        <w:tc>
          <w:tcPr>
            <w:tcW w:w="22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10,182,144</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10,171,496</w:t>
            </w:r>
          </w:p>
        </w:tc>
        <w:tc>
          <w:tcPr>
            <w:tcW w:w="1240" w:type="dxa"/>
            <w:vAlign w:val="bottom"/>
          </w:tcPr>
          <w:p>
            <w:pPr>
              <w:jc w:val="right"/>
              <w:spacing w:after="0"/>
              <w:rPr>
                <w:sz w:val="20"/>
                <w:szCs w:val="20"/>
                <w:color w:val="auto"/>
              </w:rPr>
            </w:pPr>
            <w:r>
              <w:rPr>
                <w:rFonts w:ascii="Arial" w:cs="Arial" w:eastAsia="Arial" w:hAnsi="Arial"/>
                <w:sz w:val="18"/>
                <w:szCs w:val="18"/>
                <w:color w:val="auto"/>
              </w:rPr>
              <w:t>10,208,563</w:t>
            </w:r>
          </w:p>
        </w:tc>
      </w:tr>
      <w:tr>
        <w:trPr>
          <w:trHeight w:val="20"/>
        </w:trPr>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614"/>
        </w:trPr>
        <w:tc>
          <w:tcPr>
            <w:tcW w:w="1220" w:type="dxa"/>
            <w:vAlign w:val="bottom"/>
          </w:tcPr>
          <w:p>
            <w:pPr>
              <w:jc w:val="right"/>
              <w:spacing w:after="0"/>
              <w:rPr>
                <w:sz w:val="20"/>
                <w:szCs w:val="20"/>
                <w:color w:val="auto"/>
              </w:rPr>
            </w:pPr>
            <w:r>
              <w:rPr>
                <w:rFonts w:ascii="Arial" w:cs="Arial" w:eastAsia="Arial" w:hAnsi="Arial"/>
                <w:sz w:val="18"/>
                <w:szCs w:val="18"/>
                <w:color w:val="auto"/>
              </w:rPr>
              <w:t>10,171,715</w:t>
            </w:r>
          </w:p>
        </w:tc>
        <w:tc>
          <w:tcPr>
            <w:tcW w:w="220" w:type="dxa"/>
            <w:vAlign w:val="bottom"/>
          </w:tcPr>
          <w:p>
            <w:pPr>
              <w:spacing w:after="0"/>
              <w:rPr>
                <w:sz w:val="24"/>
                <w:szCs w:val="24"/>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10,182,144</w:t>
            </w: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10,171,570</w:t>
            </w:r>
          </w:p>
        </w:tc>
        <w:tc>
          <w:tcPr>
            <w:tcW w:w="1240" w:type="dxa"/>
            <w:vAlign w:val="bottom"/>
          </w:tcPr>
          <w:p>
            <w:pPr>
              <w:jc w:val="right"/>
              <w:spacing w:after="0"/>
              <w:rPr>
                <w:sz w:val="20"/>
                <w:szCs w:val="20"/>
                <w:color w:val="auto"/>
              </w:rPr>
            </w:pPr>
            <w:r>
              <w:rPr>
                <w:rFonts w:ascii="Arial" w:cs="Arial" w:eastAsia="Arial" w:hAnsi="Arial"/>
                <w:sz w:val="18"/>
                <w:szCs w:val="18"/>
                <w:color w:val="auto"/>
              </w:rPr>
              <w:t>10,225,477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37477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47770" cy="2603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4020" w:space="720"/>
            <w:col w:w="6560"/>
          </w:cols>
          <w:pgMar w:left="240" w:top="1327" w:right="35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3900" w:type="dxa"/>
            <w:vAlign w:val="bottom"/>
            <w:shd w:val="clear" w:color="auto" w:fill="D6F3E8"/>
          </w:tcPr>
          <w:p>
            <w:pPr>
              <w:spacing w:after="0"/>
              <w:rPr>
                <w:sz w:val="20"/>
                <w:szCs w:val="20"/>
                <w:color w:val="auto"/>
              </w:rPr>
            </w:pPr>
            <w:r>
              <w:rPr>
                <w:rFonts w:ascii="Arial" w:cs="Arial" w:eastAsia="Arial" w:hAnsi="Arial"/>
                <w:sz w:val="18"/>
                <w:szCs w:val="18"/>
                <w:color w:val="auto"/>
              </w:rPr>
              <w:t>Earnings per share – basic and diluted</w:t>
            </w:r>
          </w:p>
        </w:tc>
        <w:tc>
          <w:tcPr>
            <w:tcW w:w="1340" w:type="dxa"/>
            <w:vAlign w:val="bottom"/>
            <w:gridSpan w:val="2"/>
            <w:shd w:val="clear" w:color="auto" w:fill="D6F3E8"/>
          </w:tcPr>
          <w:p>
            <w:pPr>
              <w:jc w:val="right"/>
              <w:ind w:right="420"/>
              <w:spacing w:after="0"/>
              <w:rPr>
                <w:sz w:val="20"/>
                <w:szCs w:val="20"/>
                <w:color w:val="auto"/>
              </w:rPr>
            </w:pPr>
            <w:r>
              <w:rPr>
                <w:rFonts w:ascii="Arial" w:cs="Arial" w:eastAsia="Arial" w:hAnsi="Arial"/>
                <w:sz w:val="18"/>
                <w:szCs w:val="18"/>
                <w:color w:val="auto"/>
              </w:rPr>
              <w:t>$</w:t>
            </w: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0.03</w:t>
            </w:r>
          </w:p>
        </w:tc>
        <w:tc>
          <w:tcPr>
            <w:tcW w:w="220" w:type="dxa"/>
            <w:vAlign w:val="bottom"/>
            <w:shd w:val="clear" w:color="auto" w:fill="D6F3E8"/>
          </w:tcPr>
          <w:p>
            <w:pPr>
              <w:spacing w:after="0"/>
              <w:rPr>
                <w:sz w:val="22"/>
                <w:szCs w:val="22"/>
                <w:color w:val="auto"/>
              </w:rPr>
            </w:pPr>
          </w:p>
        </w:tc>
        <w:tc>
          <w:tcPr>
            <w:tcW w:w="560" w:type="dxa"/>
            <w:vAlign w:val="bottom"/>
            <w:shd w:val="clear" w:color="auto" w:fill="D6F3E8"/>
          </w:tcPr>
          <w:p>
            <w:pPr>
              <w:jc w:val="right"/>
              <w:ind w:right="40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0.18</w:t>
            </w:r>
          </w:p>
        </w:tc>
        <w:tc>
          <w:tcPr>
            <w:tcW w:w="740" w:type="dxa"/>
            <w:vAlign w:val="bottom"/>
            <w:gridSpan w:val="2"/>
            <w:shd w:val="clear" w:color="auto" w:fill="D6F3E8"/>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0.62</w:t>
            </w:r>
          </w:p>
        </w:tc>
        <w:tc>
          <w:tcPr>
            <w:tcW w:w="520" w:type="dxa"/>
            <w:vAlign w:val="bottom"/>
            <w:shd w:val="clear" w:color="auto" w:fill="D6F3E8"/>
          </w:tcPr>
          <w:p>
            <w:pPr>
              <w:jc w:val="right"/>
              <w:ind w:right="33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0.74</w:t>
            </w:r>
          </w:p>
        </w:tc>
        <w:tc>
          <w:tcPr>
            <w:tcW w:w="660" w:type="dxa"/>
            <w:vAlign w:val="bottom"/>
            <w:shd w:val="clear" w:color="auto" w:fill="D6F3E8"/>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D6F3E8"/>
              <w:bottom w:val="single" w:sz="8" w:color="D6F3E8"/>
            </w:tcBorders>
            <w:vMerge w:val="restart"/>
          </w:tcPr>
          <w:p>
            <w:pPr>
              <w:spacing w:after="0"/>
              <w:rPr>
                <w:sz w:val="20"/>
                <w:szCs w:val="20"/>
                <w:color w:val="auto"/>
              </w:rPr>
            </w:pPr>
            <w:r>
              <w:rPr>
                <w:rFonts w:ascii="Arial" w:cs="Arial" w:eastAsia="Arial" w:hAnsi="Arial"/>
                <w:sz w:val="18"/>
                <w:szCs w:val="18"/>
                <w:color w:val="auto"/>
              </w:rPr>
              <w:t>Cash dividends declared per common share</w:t>
            </w:r>
          </w:p>
        </w:tc>
        <w:tc>
          <w:tcPr>
            <w:tcW w:w="840" w:type="dxa"/>
            <w:vAlign w:val="bottom"/>
            <w:tcBorders>
              <w:top w:val="single" w:sz="8" w:color="D6F3E8"/>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D6F3E8"/>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6F3E8"/>
            </w:tcBorders>
          </w:tcPr>
          <w:p>
            <w:pPr>
              <w:spacing w:after="0" w:line="20" w:lineRule="exact"/>
              <w:rPr>
                <w:sz w:val="1"/>
                <w:szCs w:val="1"/>
                <w:color w:val="auto"/>
              </w:rPr>
            </w:pPr>
          </w:p>
        </w:tc>
        <w:tc>
          <w:tcPr>
            <w:tcW w:w="120" w:type="dxa"/>
            <w:vAlign w:val="bottom"/>
            <w:tcBorders>
              <w:top w:val="single" w:sz="8" w:color="D6F3E8"/>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6F3E8"/>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D6F3E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4"/>
                <w:szCs w:val="24"/>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0.22</w:t>
            </w: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0.20</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520065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300"/>
      </w:cols>
      <w:pgMar w:left="240" w:top="132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2019-12-13T01:47:44Z</dcterms:created>
  <dcterms:modified xsi:type="dcterms:W3CDTF">2019-12-13T01:47:44Z</dcterms:modified>
</cp:coreProperties>
</file>