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20"/>
        <w:spacing w:after="0"/>
        <w:rPr>
          <w:sz w:val="20"/>
          <w:szCs w:val="20"/>
          <w:color w:val="auto"/>
        </w:rPr>
      </w:pPr>
      <w:r>
        <w:rPr>
          <w:rFonts w:ascii="Courier New" w:cs="Courier New" w:eastAsia="Courier New" w:hAnsi="Courier New"/>
          <w:sz w:val="16"/>
          <w:szCs w:val="16"/>
          <w:color w:val="auto"/>
        </w:rPr>
        <w:t>UNITED STATES</w:t>
      </w:r>
    </w:p>
    <w:p>
      <w:pPr>
        <w:spacing w:after="0" w:line="7"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WASHINGTON, DC 20549</w:t>
      </w:r>
    </w:p>
    <w:p>
      <w:pPr>
        <w:spacing w:after="0" w:line="7"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FORM 10-Q</w:t>
      </w:r>
    </w:p>
    <w:p>
      <w:pPr>
        <w:spacing w:after="0" w:line="383" w:lineRule="exact"/>
        <w:rPr>
          <w:sz w:val="24"/>
          <w:szCs w:val="24"/>
          <w:color w:val="auto"/>
        </w:rPr>
      </w:pPr>
    </w:p>
    <w:p>
      <w:pPr>
        <w:ind w:left="3720"/>
        <w:spacing w:after="0"/>
        <w:rPr>
          <w:sz w:val="20"/>
          <w:szCs w:val="20"/>
          <w:color w:val="auto"/>
        </w:rPr>
      </w:pPr>
      <w:r>
        <w:rPr>
          <w:rFonts w:ascii="Courier New" w:cs="Courier New" w:eastAsia="Courier New" w:hAnsi="Courier New"/>
          <w:sz w:val="16"/>
          <w:szCs w:val="16"/>
          <w:color w:val="auto"/>
        </w:rPr>
        <w:t>(Mark One)</w:t>
      </w:r>
    </w:p>
    <w:p>
      <w:pPr>
        <w:spacing w:after="0" w:line="7" w:lineRule="exact"/>
        <w:rPr>
          <w:sz w:val="24"/>
          <w:szCs w:val="24"/>
          <w:color w:val="auto"/>
        </w:rPr>
      </w:pPr>
    </w:p>
    <w:p>
      <w:pPr>
        <w:ind w:left="400" w:right="2499" w:hanging="400"/>
        <w:spacing w:after="0" w:line="252" w:lineRule="auto"/>
        <w:tabs>
          <w:tab w:leader="none" w:pos="4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3" w:lineRule="exact"/>
        <w:rPr>
          <w:sz w:val="24"/>
          <w:szCs w:val="24"/>
          <w:color w:val="auto"/>
        </w:rPr>
      </w:pPr>
    </w:p>
    <w:p>
      <w:pPr>
        <w:ind w:left="1960"/>
        <w:spacing w:after="0"/>
        <w:tabs>
          <w:tab w:leader="none" w:pos="5060" w:val="left"/>
        </w:tabs>
        <w:rPr>
          <w:sz w:val="20"/>
          <w:szCs w:val="20"/>
          <w:color w:val="auto"/>
        </w:rPr>
      </w:pPr>
      <w:r>
        <w:rPr>
          <w:rFonts w:ascii="Courier New" w:cs="Courier New" w:eastAsia="Courier New" w:hAnsi="Courier New"/>
          <w:sz w:val="16"/>
          <w:szCs w:val="16"/>
          <w:color w:val="auto"/>
        </w:rPr>
        <w:t>For the quarterly period ended</w:t>
        <w:tab/>
        <w:t>March 31, 1996</w:t>
      </w:r>
    </w:p>
    <w:p>
      <w:pPr>
        <w:spacing w:after="0" w:line="7" w:lineRule="exact"/>
        <w:rPr>
          <w:sz w:val="24"/>
          <w:szCs w:val="24"/>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410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ind w:left="400" w:right="2399" w:hanging="400"/>
        <w:spacing w:after="0" w:line="252" w:lineRule="auto"/>
        <w:tabs>
          <w:tab w:leader="none" w:pos="20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8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For the transition period from ____________to ______________</w:t>
      </w:r>
    </w:p>
    <w:p>
      <w:pPr>
        <w:spacing w:after="0" w:line="195"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6"/>
          <w:szCs w:val="16"/>
          <w:color w:val="auto"/>
        </w:rPr>
        <w:t>Commission file number 0-7647</w:t>
      </w:r>
    </w:p>
    <w:p>
      <w:pPr>
        <w:spacing w:after="0" w:line="7" w:lineRule="exact"/>
        <w:rPr>
          <w:sz w:val="24"/>
          <w:szCs w:val="24"/>
          <w:color w:val="auto"/>
        </w:rPr>
      </w:pPr>
    </w:p>
    <w:p>
      <w:pPr>
        <w:jc w:val="center"/>
        <w:ind w:right="159"/>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6"/>
          <w:szCs w:val="16"/>
          <w:color w:val="auto"/>
        </w:rPr>
        <w:t>HAWKINS CHEMICAL, INC.</w:t>
      </w:r>
    </w:p>
    <w:p>
      <w:pPr>
        <w:spacing w:after="0" w:line="7"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994" w:right="1440" w:bottom="1440" w:gutter="0" w:footer="0" w:header="0"/>
        </w:sectPr>
      </w:pPr>
    </w:p>
    <w:p>
      <w:pPr>
        <w:spacing w:after="0" w:line="19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MINNESOTA</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(State or other jurisdiction of</w:t>
      </w:r>
    </w:p>
    <w:p>
      <w:pPr>
        <w:spacing w:after="0" w:line="7"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incorporation of organization)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41-0771293</w:t>
      </w:r>
    </w:p>
    <w:p>
      <w:pPr>
        <w:spacing w:after="0" w:line="7"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382" w:lineRule="exact"/>
        <w:rPr>
          <w:sz w:val="24"/>
          <w:szCs w:val="24"/>
          <w:color w:val="auto"/>
        </w:rPr>
      </w:pPr>
    </w:p>
    <w:p>
      <w:pPr>
        <w:sectPr>
          <w:pgSz w:w="11900" w:h="16838" w:orient="portrait"/>
          <w:cols w:equalWidth="0" w:num="2">
            <w:col w:w="3520" w:space="300"/>
            <w:col w:w="6399"/>
          </w:cols>
          <w:pgMar w:left="240" w:top="994" w:right="1440" w:bottom="1440" w:gutter="0" w:footer="0" w:header="0"/>
          <w:type w:val="continuous"/>
        </w:sectPr>
      </w:pPr>
    </w:p>
    <w:p>
      <w:pPr>
        <w:ind w:left="1460"/>
        <w:spacing w:after="0"/>
        <w:rPr>
          <w:sz w:val="20"/>
          <w:szCs w:val="20"/>
          <w:color w:val="auto"/>
        </w:rPr>
      </w:pPr>
      <w:r>
        <w:rPr>
          <w:rFonts w:ascii="Courier New" w:cs="Courier New" w:eastAsia="Courier New" w:hAnsi="Courier New"/>
          <w:sz w:val="16"/>
          <w:szCs w:val="16"/>
          <w:color w:val="auto"/>
        </w:rPr>
        <w:t>3100 East Hennepin Avenue, Minneapolis, Minnesota 55413</w:t>
      </w:r>
    </w:p>
    <w:p>
      <w:pPr>
        <w:spacing w:after="0" w:line="7"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180"/>
        <w:spacing w:after="0"/>
        <w:tabs>
          <w:tab w:leader="none" w:pos="5740"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3"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(612)331-6910</w:t>
      </w:r>
    </w:p>
    <w:p>
      <w:pPr>
        <w:spacing w:after="0" w:line="7" w:lineRule="exact"/>
        <w:rPr>
          <w:sz w:val="24"/>
          <w:szCs w:val="24"/>
          <w:color w:val="auto"/>
        </w:rPr>
      </w:pPr>
    </w:p>
    <w:p>
      <w:pPr>
        <w:ind w:left="33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176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83" w:lineRule="exact"/>
        <w:rPr>
          <w:sz w:val="24"/>
          <w:szCs w:val="24"/>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7" w:lineRule="exact"/>
        <w:rPr>
          <w:sz w:val="24"/>
          <w:szCs w:val="24"/>
          <w:color w:val="auto"/>
        </w:rPr>
      </w:pPr>
    </w:p>
    <w:p>
      <w:pPr>
        <w:ind w:left="2740"/>
        <w:spacing w:after="0"/>
        <w:tabs>
          <w:tab w:leader="none" w:pos="3500" w:val="left"/>
          <w:tab w:leader="none" w:pos="40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7" w:lineRule="exact"/>
        <w:rPr>
          <w:sz w:val="24"/>
          <w:szCs w:val="24"/>
          <w:color w:val="auto"/>
        </w:rPr>
      </w:pPr>
    </w:p>
    <w:p>
      <w:pPr>
        <w:ind w:left="3120"/>
        <w:spacing w:after="0"/>
        <w:tabs>
          <w:tab w:leader="none" w:pos="4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the number of shares outstanding of each of the issuer's classes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as of the latest practicable date.</w:t>
      </w:r>
    </w:p>
    <w:p>
      <w:pPr>
        <w:sectPr>
          <w:pgSz w:w="11900" w:h="16838" w:orient="portrait"/>
          <w:cols w:equalWidth="0" w:num="1">
            <w:col w:w="10219"/>
          </w:cols>
          <w:pgMar w:left="240" w:top="994" w:right="1440" w:bottom="1440" w:gutter="0" w:footer="0" w:header="0"/>
          <w:type w:val="continuous"/>
        </w:sectPr>
      </w:pPr>
    </w:p>
    <w:p>
      <w:pPr>
        <w:spacing w:after="0" w:line="195" w:lineRule="exact"/>
        <w:rPr>
          <w:sz w:val="24"/>
          <w:szCs w:val="24"/>
          <w:color w:val="auto"/>
        </w:rPr>
      </w:pPr>
    </w:p>
    <w:p>
      <w:pPr>
        <w:ind w:left="1460"/>
        <w:spacing w:after="0"/>
        <w:rPr>
          <w:sz w:val="20"/>
          <w:szCs w:val="20"/>
          <w:color w:val="auto"/>
        </w:rPr>
      </w:pPr>
      <w:r>
        <w:rPr>
          <w:rFonts w:ascii="Courier New" w:cs="Courier New" w:eastAsia="Courier New" w:hAnsi="Courier New"/>
          <w:sz w:val="16"/>
          <w:szCs w:val="16"/>
          <w:color w:val="auto"/>
        </w:rPr>
        <w:t>Class</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Common Stock, par value $.05 per share</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May 13, 1996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11,051,690</w:t>
      </w:r>
    </w:p>
    <w:p>
      <w:pPr>
        <w:sectPr>
          <w:pgSz w:w="11900" w:h="16838" w:orient="portrait"/>
          <w:cols w:equalWidth="0" w:num="2">
            <w:col w:w="3900" w:space="600"/>
            <w:col w:w="5719"/>
          </w:cols>
          <w:pgMar w:left="240" w:top="99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5"/>
                <w:szCs w:val="15"/>
                <w:color w:val="auto"/>
              </w:rPr>
            </w:pPr>
          </w:p>
        </w:tc>
        <w:tc>
          <w:tcPr>
            <w:tcW w:w="5960" w:type="dxa"/>
            <w:vAlign w:val="bottom"/>
          </w:tcPr>
          <w:p>
            <w:pPr>
              <w:ind w:left="1460"/>
              <w:spacing w:after="0"/>
              <w:rPr>
                <w:sz w:val="20"/>
                <w:szCs w:val="20"/>
                <w:color w:val="auto"/>
              </w:rPr>
            </w:pPr>
            <w:r>
              <w:rPr>
                <w:rFonts w:ascii="Courier New" w:cs="Courier New" w:eastAsia="Courier New" w:hAnsi="Courier New"/>
                <w:sz w:val="16"/>
                <w:szCs w:val="16"/>
                <w:color w:val="auto"/>
              </w:rPr>
              <w:t>HAWKINS CHEMICAL, INC. AND SUBSIDIARIES</w:t>
            </w:r>
          </w:p>
        </w:tc>
        <w:tc>
          <w:tcPr>
            <w:tcW w:w="1080" w:type="dxa"/>
            <w:vAlign w:val="bottom"/>
          </w:tcPr>
          <w:p>
            <w:pPr>
              <w:spacing w:after="0"/>
              <w:rPr>
                <w:sz w:val="15"/>
                <w:szCs w:val="15"/>
                <w:color w:val="auto"/>
              </w:rPr>
            </w:pPr>
          </w:p>
        </w:tc>
      </w:tr>
      <w:tr>
        <w:trPr>
          <w:trHeight w:val="376"/>
        </w:trPr>
        <w:tc>
          <w:tcPr>
            <w:tcW w:w="780" w:type="dxa"/>
            <w:vAlign w:val="bottom"/>
          </w:tcPr>
          <w:p>
            <w:pPr>
              <w:spacing w:after="0"/>
              <w:rPr>
                <w:sz w:val="24"/>
                <w:szCs w:val="24"/>
                <w:color w:val="auto"/>
              </w:rPr>
            </w:pPr>
          </w:p>
        </w:tc>
        <w:tc>
          <w:tcPr>
            <w:tcW w:w="5960" w:type="dxa"/>
            <w:vAlign w:val="bottom"/>
          </w:tcPr>
          <w:p>
            <w:pPr>
              <w:ind w:left="2540"/>
              <w:spacing w:after="0"/>
              <w:rPr>
                <w:sz w:val="20"/>
                <w:szCs w:val="20"/>
                <w:color w:val="auto"/>
              </w:rPr>
            </w:pPr>
            <w:r>
              <w:rPr>
                <w:rFonts w:ascii="Courier New" w:cs="Courier New" w:eastAsia="Courier New" w:hAnsi="Courier New"/>
                <w:sz w:val="16"/>
                <w:szCs w:val="16"/>
                <w:color w:val="auto"/>
              </w:rPr>
              <w:t>INDEX TO FORM 10-Q</w:t>
            </w:r>
          </w:p>
        </w:tc>
        <w:tc>
          <w:tcPr>
            <w:tcW w:w="1080" w:type="dxa"/>
            <w:vAlign w:val="bottom"/>
          </w:tcPr>
          <w:p>
            <w:pPr>
              <w:spacing w:after="0"/>
              <w:rPr>
                <w:sz w:val="24"/>
                <w:szCs w:val="24"/>
                <w:color w:val="auto"/>
              </w:rPr>
            </w:pPr>
          </w:p>
        </w:tc>
      </w:tr>
      <w:tr>
        <w:trPr>
          <w:trHeight w:val="752"/>
        </w:trPr>
        <w:tc>
          <w:tcPr>
            <w:tcW w:w="7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Page No.</w:t>
            </w:r>
          </w:p>
        </w:tc>
      </w:tr>
      <w:tr>
        <w:trPr>
          <w:trHeight w:val="188"/>
        </w:trPr>
        <w:tc>
          <w:tcPr>
            <w:tcW w:w="7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1080" w:type="dxa"/>
            <w:vAlign w:val="bottom"/>
          </w:tcPr>
          <w:p>
            <w:pPr>
              <w:spacing w:after="0"/>
              <w:rPr>
                <w:sz w:val="16"/>
                <w:szCs w:val="16"/>
                <w:color w:val="auto"/>
              </w:rPr>
            </w:pP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1.</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Financial Statements:</w:t>
            </w:r>
          </w:p>
        </w:tc>
        <w:tc>
          <w:tcPr>
            <w:tcW w:w="1080" w:type="dxa"/>
            <w:vAlign w:val="bottom"/>
          </w:tcPr>
          <w:p>
            <w:pPr>
              <w:spacing w:after="0"/>
              <w:rPr>
                <w:sz w:val="24"/>
                <w:szCs w:val="24"/>
                <w:color w:val="auto"/>
              </w:rPr>
            </w:pPr>
          </w:p>
        </w:tc>
      </w:tr>
      <w:tr>
        <w:trPr>
          <w:trHeight w:val="376"/>
        </w:trPr>
        <w:tc>
          <w:tcPr>
            <w:tcW w:w="78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Consolidated Condensed Balance</w:t>
            </w:r>
          </w:p>
        </w:tc>
        <w:tc>
          <w:tcPr>
            <w:tcW w:w="1080" w:type="dxa"/>
            <w:vAlign w:val="bottom"/>
          </w:tcPr>
          <w:p>
            <w:pPr>
              <w:spacing w:after="0"/>
              <w:rPr>
                <w:sz w:val="24"/>
                <w:szCs w:val="24"/>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rPr>
              <w:t>Sheets - March 31, 1996 and</w:t>
            </w:r>
          </w:p>
        </w:tc>
        <w:tc>
          <w:tcPr>
            <w:tcW w:w="10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w w:val="96"/>
              </w:rPr>
              <w:t>October 3, 1995..............................................</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w:t>
            </w:r>
          </w:p>
        </w:tc>
      </w:tr>
      <w:tr>
        <w:trPr>
          <w:trHeight w:val="188"/>
        </w:trPr>
        <w:tc>
          <w:tcPr>
            <w:tcW w:w="78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Consolidated Condensed Statements</w:t>
            </w:r>
          </w:p>
        </w:tc>
        <w:tc>
          <w:tcPr>
            <w:tcW w:w="10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rPr>
              <w:t>of Income-Three Months and Six  Months</w:t>
            </w:r>
          </w:p>
        </w:tc>
        <w:tc>
          <w:tcPr>
            <w:tcW w:w="10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w w:val="96"/>
              </w:rPr>
              <w:t>Ended March 31, 1996 and 1995 ...............................</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w:t>
            </w:r>
          </w:p>
        </w:tc>
      </w:tr>
      <w:tr>
        <w:trPr>
          <w:trHeight w:val="188"/>
        </w:trPr>
        <w:tc>
          <w:tcPr>
            <w:tcW w:w="78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Consolidated Condensed Statements of Cash Flow - Six Months</w:t>
            </w:r>
          </w:p>
        </w:tc>
        <w:tc>
          <w:tcPr>
            <w:tcW w:w="1080" w:type="dxa"/>
            <w:vAlign w:val="bottom"/>
          </w:tcPr>
          <w:p>
            <w:pPr>
              <w:spacing w:after="0"/>
              <w:rPr>
                <w:sz w:val="16"/>
                <w:szCs w:val="16"/>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300"/>
              <w:spacing w:after="0"/>
              <w:rPr>
                <w:sz w:val="20"/>
                <w:szCs w:val="20"/>
                <w:color w:val="auto"/>
              </w:rPr>
            </w:pPr>
            <w:r>
              <w:rPr>
                <w:rFonts w:ascii="Courier New" w:cs="Courier New" w:eastAsia="Courier New" w:hAnsi="Courier New"/>
                <w:sz w:val="16"/>
                <w:szCs w:val="16"/>
                <w:color w:val="auto"/>
                <w:w w:val="96"/>
              </w:rPr>
              <w:t>Ended March 31, 1996 and 1995 ...............................</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w:t>
            </w:r>
          </w:p>
        </w:tc>
      </w:tr>
      <w:tr>
        <w:trPr>
          <w:trHeight w:val="188"/>
        </w:trPr>
        <w:tc>
          <w:tcPr>
            <w:tcW w:w="78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w w:val="96"/>
              </w:rPr>
              <w:t>Notes to Consolidated Condensed Financial Statements...........</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w:t>
            </w: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Management's Discussion and Analysis of Financial Condition</w:t>
            </w:r>
          </w:p>
        </w:tc>
        <w:tc>
          <w:tcPr>
            <w:tcW w:w="1080" w:type="dxa"/>
            <w:vAlign w:val="bottom"/>
          </w:tcPr>
          <w:p>
            <w:pPr>
              <w:spacing w:after="0"/>
              <w:rPr>
                <w:sz w:val="24"/>
                <w:szCs w:val="24"/>
                <w:color w:val="auto"/>
              </w:rPr>
            </w:pPr>
          </w:p>
        </w:tc>
      </w:tr>
      <w:tr>
        <w:trPr>
          <w:trHeight w:val="188"/>
        </w:trPr>
        <w:tc>
          <w:tcPr>
            <w:tcW w:w="780" w:type="dxa"/>
            <w:vAlign w:val="bottom"/>
          </w:tcPr>
          <w:p>
            <w:pPr>
              <w:spacing w:after="0"/>
              <w:rPr>
                <w:sz w:val="16"/>
                <w:szCs w:val="16"/>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w w:val="96"/>
              </w:rPr>
              <w:t>and Results of Operations......................................</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7-8</w:t>
            </w:r>
          </w:p>
        </w:tc>
      </w:tr>
      <w:tr>
        <w:trPr>
          <w:trHeight w:val="376"/>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1080" w:type="dxa"/>
            <w:vAlign w:val="bottom"/>
          </w:tcPr>
          <w:p>
            <w:pPr>
              <w:spacing w:after="0"/>
              <w:rPr>
                <w:sz w:val="24"/>
                <w:szCs w:val="24"/>
                <w:color w:val="auto"/>
              </w:rPr>
            </w:pP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4.</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w w:val="96"/>
              </w:rPr>
              <w:t>Submission of Matters to a Vote of Securities Holders..........</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w:t>
            </w:r>
          </w:p>
        </w:tc>
      </w:tr>
      <w:tr>
        <w:trPr>
          <w:trHeight w:val="376"/>
        </w:trPr>
        <w:tc>
          <w:tcPr>
            <w:tcW w:w="78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w w:val="96"/>
              </w:rPr>
              <w:t>Exhibits and Reports of Form 8-K ..............................</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w:t>
            </w:r>
          </w:p>
        </w:tc>
      </w:tr>
      <w:tr>
        <w:trPr>
          <w:trHeight w:val="376"/>
        </w:trPr>
        <w:tc>
          <w:tcPr>
            <w:tcW w:w="780" w:type="dxa"/>
            <w:vAlign w:val="bottom"/>
          </w:tcPr>
          <w:p>
            <w:pPr>
              <w:spacing w:after="0"/>
              <w:rPr>
                <w:sz w:val="24"/>
                <w:szCs w:val="24"/>
                <w:color w:val="auto"/>
              </w:rPr>
            </w:pPr>
          </w:p>
        </w:tc>
        <w:tc>
          <w:tcPr>
            <w:tcW w:w="5960" w:type="dxa"/>
            <w:vAlign w:val="bottom"/>
          </w:tcPr>
          <w:p>
            <w:pPr>
              <w:ind w:left="100"/>
              <w:spacing w:after="0"/>
              <w:rPr>
                <w:sz w:val="20"/>
                <w:szCs w:val="20"/>
                <w:color w:val="auto"/>
              </w:rPr>
            </w:pPr>
            <w:r>
              <w:rPr>
                <w:rFonts w:ascii="Courier New" w:cs="Courier New" w:eastAsia="Courier New" w:hAnsi="Courier New"/>
                <w:sz w:val="16"/>
                <w:szCs w:val="16"/>
                <w:color w:val="auto"/>
              </w:rPr>
              <w:t>Financial Data Schedule....................................</w:t>
            </w:r>
          </w:p>
        </w:tc>
        <w:tc>
          <w:tcPr>
            <w:tcW w:w="10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Exhibit 27</w:t>
            </w:r>
          </w:p>
        </w:tc>
      </w:tr>
      <w:tr>
        <w:trPr>
          <w:trHeight w:val="564"/>
        </w:trPr>
        <w:tc>
          <w:tcPr>
            <w:tcW w:w="780" w:type="dxa"/>
            <w:vAlign w:val="bottom"/>
          </w:tcPr>
          <w:p>
            <w:pPr>
              <w:spacing w:after="0"/>
              <w:rPr>
                <w:sz w:val="24"/>
                <w:szCs w:val="24"/>
                <w:color w:val="auto"/>
              </w:rPr>
            </w:pPr>
          </w:p>
        </w:tc>
        <w:tc>
          <w:tcPr>
            <w:tcW w:w="5960" w:type="dxa"/>
            <w:vAlign w:val="bottom"/>
          </w:tcPr>
          <w:p>
            <w:pPr>
              <w:ind w:left="3320"/>
              <w:spacing w:after="0"/>
              <w:rPr>
                <w:sz w:val="20"/>
                <w:szCs w:val="20"/>
                <w:color w:val="auto"/>
              </w:rPr>
            </w:pPr>
            <w:r>
              <w:rPr>
                <w:rFonts w:ascii="Courier New" w:cs="Courier New" w:eastAsia="Courier New" w:hAnsi="Courier New"/>
                <w:sz w:val="16"/>
                <w:szCs w:val="16"/>
                <w:color w:val="auto"/>
              </w:rPr>
              <w:t>2</w:t>
            </w:r>
          </w:p>
        </w:tc>
        <w:tc>
          <w:tcPr>
            <w:tcW w:w="1080" w:type="dxa"/>
            <w:vAlign w:val="bottom"/>
          </w:tcPr>
          <w:p>
            <w:pPr>
              <w:spacing w:after="0"/>
              <w:rPr>
                <w:sz w:val="24"/>
                <w:szCs w:val="24"/>
                <w:color w:val="auto"/>
              </w:rPr>
            </w:pPr>
          </w:p>
        </w:tc>
      </w:tr>
    </w:tbl>
    <w:p>
      <w:pPr>
        <w:sectPr>
          <w:pgSz w:w="11900" w:h="16838" w:orient="portrait"/>
          <w:cols w:equalWidth="0" w:num="1">
            <w:col w:w="10219"/>
          </w:cols>
          <w:pgMar w:left="240" w:top="680" w:right="1440" w:bottom="1440" w:gutter="0" w:footer="0" w:header="0"/>
        </w:sectPr>
      </w:pPr>
    </w:p>
    <w:bookmarkStart w:id="2" w:name="page3"/>
    <w:bookmarkEnd w:id="2"/>
    <w:p>
      <w:pPr>
        <w:ind w:left="2740"/>
        <w:spacing w:after="0"/>
        <w:tabs>
          <w:tab w:leader="none" w:pos="3600" w:val="left"/>
        </w:tabs>
        <w:rPr>
          <w:sz w:val="20"/>
          <w:szCs w:val="20"/>
          <w:color w:val="auto"/>
        </w:rPr>
      </w:pPr>
      <w:r>
        <w:rPr>
          <w:rFonts w:ascii="Courier New" w:cs="Courier New" w:eastAsia="Courier New" w:hAnsi="Courier New"/>
          <w:sz w:val="16"/>
          <w:szCs w:val="16"/>
          <w:color w:val="auto"/>
        </w:rPr>
        <w:t>PART I.</w:t>
        <w:tab/>
        <w:t>FINANCIAL INFORMATION</w:t>
      </w:r>
    </w:p>
    <w:p>
      <w:pPr>
        <w:spacing w:after="0" w:line="19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I.</w:t>
        <w:tab/>
        <w:t>Financial Statements</w:t>
      </w:r>
    </w:p>
    <w:p>
      <w:pPr>
        <w:spacing w:after="0" w:line="195"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7"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6"/>
          <w:szCs w:val="16"/>
          <w:color w:val="auto"/>
        </w:rPr>
        <w:t>CONSOLIDATED CONDENSED BALANCE SHEETS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166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March 31, 1996</w:t>
            </w:r>
          </w:p>
        </w:tc>
        <w:tc>
          <w:tcPr>
            <w:tcW w:w="22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October 1, 1995</w:t>
            </w:r>
          </w:p>
        </w:tc>
      </w:tr>
      <w:tr>
        <w:trPr>
          <w:trHeight w:val="188"/>
        </w:trPr>
        <w:tc>
          <w:tcPr>
            <w:tcW w:w="382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6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(Unaudited)</w:t>
            </w:r>
          </w:p>
        </w:tc>
        <w:tc>
          <w:tcPr>
            <w:tcW w:w="22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(Derived from Audited</w:t>
            </w:r>
          </w:p>
        </w:tc>
      </w:tr>
      <w:tr>
        <w:trPr>
          <w:trHeight w:val="188"/>
        </w:trPr>
        <w:tc>
          <w:tcPr>
            <w:tcW w:w="3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jc w:val="center"/>
              <w:ind w:left="99"/>
              <w:spacing w:after="0"/>
              <w:rPr>
                <w:sz w:val="20"/>
                <w:szCs w:val="20"/>
                <w:color w:val="auto"/>
              </w:rPr>
            </w:pPr>
            <w:r>
              <w:rPr>
                <w:rFonts w:ascii="Courier New" w:cs="Courier New" w:eastAsia="Courier New" w:hAnsi="Courier New"/>
                <w:sz w:val="16"/>
                <w:szCs w:val="16"/>
                <w:color w:val="auto"/>
              </w:rPr>
              <w:t>financial statements)</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Cash and cash equivalents...........</w:t>
            </w:r>
          </w:p>
        </w:tc>
        <w:tc>
          <w:tcPr>
            <w:tcW w:w="2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7,071,189</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9,906,107</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Investments (fair value</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8"/>
        </w:trPr>
        <w:tc>
          <w:tcPr>
            <w:tcW w:w="3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approximates cost).................</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10,273,629</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7,968,761</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Accounts receivable-net.............</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8,742,756</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10,512,260</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Note receivable.....................</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169,730</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208,943</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Inventories.........................</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5,824,884</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8,663,959</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Other current assets................</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1,777,221</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1,647,660</w:t>
            </w:r>
          </w:p>
        </w:tc>
      </w:tr>
      <w:tr>
        <w:trPr>
          <w:trHeight w:val="376"/>
        </w:trPr>
        <w:tc>
          <w:tcPr>
            <w:tcW w:w="38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Total current assets............</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33,859,409</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38,907,690</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equipment-net.....</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11,476,581</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11,438,895</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Note receivable-non current...........</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1,830,212</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715,045</w:t>
            </w:r>
          </w:p>
        </w:tc>
      </w:tr>
      <w:tr>
        <w:trPr>
          <w:trHeight w:val="188"/>
        </w:trPr>
        <w:tc>
          <w:tcPr>
            <w:tcW w:w="382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2,638,240</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2,629,184</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Total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49,804,442</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$53,690,814</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564"/>
        </w:trPr>
        <w:tc>
          <w:tcPr>
            <w:tcW w:w="382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Accounts payable...................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5,253,080</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$ 8,691,204</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Current portion of long-term debt..</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56,008</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52,344</w:t>
            </w:r>
          </w:p>
        </w:tc>
      </w:tr>
      <w:tr>
        <w:trPr>
          <w:trHeight w:val="188"/>
        </w:trPr>
        <w:tc>
          <w:tcPr>
            <w:tcW w:w="3820" w:type="dxa"/>
            <w:vAlign w:val="bottom"/>
          </w:tcPr>
          <w:p>
            <w:pPr>
              <w:ind w:left="200"/>
              <w:spacing w:after="0"/>
              <w:rPr>
                <w:sz w:val="20"/>
                <w:szCs w:val="20"/>
                <w:color w:val="auto"/>
              </w:rPr>
            </w:pPr>
            <w:r>
              <w:rPr>
                <w:rFonts w:ascii="Courier New" w:cs="Courier New" w:eastAsia="Courier New" w:hAnsi="Courier New"/>
                <w:sz w:val="16"/>
                <w:szCs w:val="16"/>
                <w:color w:val="auto"/>
              </w:rPr>
              <w:t>Other current liabilities..........</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3,803,028</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5,822,383</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current liabilities......</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9,112,116</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14,565,931</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Long term debt.......................</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572,453</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628,461</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Deferred income taxes................</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386,800</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377,800</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8"/>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Common stock, par value $.05 per</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8"/>
        </w:trPr>
        <w:tc>
          <w:tcPr>
            <w:tcW w:w="3820" w:type="dxa"/>
            <w:vAlign w:val="bottom"/>
          </w:tcPr>
          <w:p>
            <w:pPr>
              <w:ind w:left="480"/>
              <w:spacing w:after="0"/>
              <w:rPr>
                <w:sz w:val="20"/>
                <w:szCs w:val="20"/>
                <w:color w:val="auto"/>
              </w:rPr>
            </w:pPr>
            <w:r>
              <w:rPr>
                <w:rFonts w:ascii="Courier New" w:cs="Courier New" w:eastAsia="Courier New" w:hAnsi="Courier New"/>
                <w:sz w:val="16"/>
                <w:szCs w:val="16"/>
                <w:color w:val="auto"/>
              </w:rPr>
              <w:t>share; issued and outstanding,</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8"/>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11,051,690 shares and 10,525,772</w:t>
            </w: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8"/>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shares respectively.............</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552,585</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526,289</w:t>
            </w:r>
          </w:p>
        </w:tc>
      </w:tr>
      <w:tr>
        <w:trPr>
          <w:trHeight w:val="188"/>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Additional paid-in capital......</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38,679,630</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34,235,623</w:t>
            </w:r>
          </w:p>
        </w:tc>
      </w:tr>
      <w:tr>
        <w:trPr>
          <w:trHeight w:val="188"/>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Retained earnings...............</w:t>
            </w:r>
          </w:p>
        </w:tc>
        <w:tc>
          <w:tcPr>
            <w:tcW w:w="28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500,858</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3,356,710</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 shareholders' equity...</w:t>
            </w:r>
          </w:p>
        </w:tc>
        <w:tc>
          <w:tcPr>
            <w:tcW w:w="280" w:type="dxa"/>
            <w:vAlign w:val="bottom"/>
          </w:tcPr>
          <w:p>
            <w:pPr>
              <w:spacing w:after="0"/>
              <w:rPr>
                <w:sz w:val="24"/>
                <w:szCs w:val="24"/>
                <w:color w:val="auto"/>
              </w:rPr>
            </w:pP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39,733,073</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38,118,622</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6"/>
        </w:trPr>
        <w:tc>
          <w:tcPr>
            <w:tcW w:w="38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Total........................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9"/>
              </w:rPr>
              <w:t>49,804,442</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$53,690,814</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188"/>
        </w:trPr>
        <w:tc>
          <w:tcPr>
            <w:tcW w:w="3820" w:type="dxa"/>
            <w:vAlign w:val="bottom"/>
          </w:tcPr>
          <w:p>
            <w:pPr>
              <w:spacing w:after="0"/>
              <w:rPr>
                <w:sz w:val="16"/>
                <w:szCs w:val="16"/>
                <w:color w:val="auto"/>
              </w:rPr>
            </w:pPr>
          </w:p>
        </w:tc>
        <w:tc>
          <w:tcPr>
            <w:tcW w:w="16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224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68" w:right="1440" w:bottom="751" w:gutter="0" w:footer="0" w:header="0"/>
        </w:sectPr>
      </w:pPr>
    </w:p>
    <w:bookmarkStart w:id="3" w:name="page4"/>
    <w:bookmarkEnd w:id="3"/>
    <w:p>
      <w:pPr>
        <w:jc w:val="center"/>
        <w:ind w:right="3220"/>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7"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6"/>
          <w:szCs w:val="16"/>
          <w:color w:val="auto"/>
        </w:rPr>
        <w:t>CONSOLIDATED CONDENSED STATEMENTS OF INCOME</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5"/>
                <w:szCs w:val="15"/>
                <w:color w:val="auto"/>
              </w:rPr>
            </w:pPr>
          </w:p>
        </w:tc>
        <w:tc>
          <w:tcPr>
            <w:tcW w:w="312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Three Months Ended March 31</w:t>
            </w: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March 31</w:t>
            </w:r>
          </w:p>
        </w:tc>
      </w:tr>
      <w:tr>
        <w:trPr>
          <w:trHeight w:val="188"/>
        </w:trPr>
        <w:tc>
          <w:tcPr>
            <w:tcW w:w="5580" w:type="dxa"/>
            <w:vAlign w:val="bottom"/>
          </w:tcPr>
          <w:p>
            <w:pPr>
              <w:spacing w:after="0"/>
              <w:rPr>
                <w:sz w:val="16"/>
                <w:szCs w:val="16"/>
                <w:color w:val="auto"/>
              </w:rPr>
            </w:pPr>
          </w:p>
        </w:tc>
        <w:tc>
          <w:tcPr>
            <w:tcW w:w="15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1996</w:t>
            </w:r>
          </w:p>
        </w:tc>
        <w:tc>
          <w:tcPr>
            <w:tcW w:w="15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1995</w:t>
            </w:r>
          </w:p>
        </w:tc>
        <w:tc>
          <w:tcPr>
            <w:tcW w:w="14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1996</w:t>
            </w:r>
          </w:p>
        </w:tc>
        <w:tc>
          <w:tcPr>
            <w:tcW w:w="13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$18,439,067</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$18,902,641</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$35,862,051</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$35,397,118</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Cost of sales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14,585,730</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14,928,367</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28,245,041</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27,785,095</w:t>
            </w: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Selling, general and administrative</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2,083,759</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1,953,278</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4,045,670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3,831,077</w:t>
            </w: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Unusual and nonrecurring</w:t>
            </w:r>
          </w:p>
        </w:tc>
        <w:tc>
          <w:tcPr>
            <w:tcW w:w="1560" w:type="dxa"/>
            <w:vAlign w:val="bottom"/>
          </w:tcPr>
          <w:p>
            <w:pPr>
              <w:spacing w:after="0"/>
              <w:rPr>
                <w:sz w:val="16"/>
                <w:szCs w:val="16"/>
                <w:color w:val="auto"/>
              </w:rPr>
            </w:pP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750,000</w:t>
            </w:r>
          </w:p>
        </w:tc>
        <w:tc>
          <w:tcPr>
            <w:tcW w:w="1460" w:type="dxa"/>
            <w:vAlign w:val="bottom"/>
          </w:tcPr>
          <w:p>
            <w:pPr>
              <w:spacing w:after="0"/>
              <w:rPr>
                <w:sz w:val="16"/>
                <w:szCs w:val="16"/>
                <w:color w:val="auto"/>
              </w:rPr>
            </w:pP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750,000</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ind w:left="980"/>
              <w:spacing w:after="0"/>
              <w:rPr>
                <w:sz w:val="20"/>
                <w:szCs w:val="20"/>
                <w:color w:val="auto"/>
              </w:rPr>
            </w:pPr>
            <w:r>
              <w:rPr>
                <w:rFonts w:ascii="Courier New" w:cs="Courier New" w:eastAsia="Courier New" w:hAnsi="Courier New"/>
                <w:sz w:val="16"/>
                <w:szCs w:val="16"/>
                <w:color w:val="auto"/>
              </w:rPr>
              <w:t>Total costs and expenses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16,669,489</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17,631,645</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32,290,711</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32,366,172</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from operations</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1,769,578</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1,270,996</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3,571,340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3,030,946</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Other income (deductions):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Interest income</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231,995</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241,373</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490,495</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433,588</w:t>
            </w: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Interest expense</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(13,686)</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(13,750)</w:t>
            </w:r>
          </w:p>
        </w:tc>
        <w:tc>
          <w:tcPr>
            <w:tcW w:w="14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(26,509)</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(27,489)</w:t>
            </w: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Miscellaneous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41,817</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1,176</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70,890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23,764</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ind w:left="980"/>
              <w:spacing w:after="0"/>
              <w:rPr>
                <w:sz w:val="20"/>
                <w:szCs w:val="20"/>
                <w:color w:val="auto"/>
              </w:rPr>
            </w:pPr>
            <w:r>
              <w:rPr>
                <w:rFonts w:ascii="Courier New" w:cs="Courier New" w:eastAsia="Courier New" w:hAnsi="Courier New"/>
                <w:sz w:val="16"/>
                <w:szCs w:val="16"/>
                <w:color w:val="auto"/>
              </w:rPr>
              <w:t>Total other income (deductions)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260,126</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228,799</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534,876</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429,863</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 before income taxes</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2,029,704</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1,499,795</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4,106,216</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3,460,809</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Provision for income taxes from continuing operations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811,900</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601,800</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1,646,700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1,389,900</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from continuing operations</w:t>
            </w: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1,217,804</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897,995</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2,459,516</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2,070,909</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Discontinued Operations:</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6"/>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Income (loss) from operations of Tessman</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Seed, Inc. (less applicable income</w:t>
            </w:r>
          </w:p>
        </w:tc>
        <w:tc>
          <w:tcPr>
            <w:tcW w:w="1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taxes of $0, ($8,600), $0,($46,500), respectively)</w:t>
            </w:r>
          </w:p>
        </w:tc>
        <w:tc>
          <w:tcPr>
            <w:tcW w:w="15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(12,972)</w:t>
            </w:r>
          </w:p>
        </w:tc>
        <w:tc>
          <w:tcPr>
            <w:tcW w:w="14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(69,905)</w:t>
            </w:r>
          </w:p>
        </w:tc>
      </w:tr>
      <w:tr>
        <w:trPr>
          <w:trHeight w:val="376"/>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Loss on disposal of assets of Tessman</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Seed, Inc. (less applicable income taxes of $214,200)</w:t>
            </w:r>
          </w:p>
        </w:tc>
        <w:tc>
          <w:tcPr>
            <w:tcW w:w="1560" w:type="dxa"/>
            <w:vAlign w:val="bottom"/>
          </w:tcPr>
          <w:p>
            <w:pPr>
              <w:spacing w:after="0"/>
              <w:rPr>
                <w:sz w:val="16"/>
                <w:szCs w:val="16"/>
                <w:color w:val="auto"/>
              </w:rPr>
            </w:pP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(321,266)</w:t>
            </w:r>
          </w:p>
        </w:tc>
        <w:tc>
          <w:tcPr>
            <w:tcW w:w="14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(321,266)</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spacing w:after="0"/>
              <w:rPr>
                <w:sz w:val="20"/>
                <w:szCs w:val="20"/>
                <w:color w:val="auto"/>
              </w:rPr>
            </w:pPr>
            <w:r>
              <w:rPr>
                <w:rFonts w:ascii="Courier New" w:cs="Courier New" w:eastAsia="Courier New" w:hAnsi="Courier New"/>
                <w:sz w:val="16"/>
                <w:szCs w:val="16"/>
                <w:color w:val="auto"/>
              </w:rPr>
              <w:t>Income (loss) from discontinued operations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(334,238)</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(391,171)</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$ 1,217,804</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   563,757</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$ 2,459,516</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$ 1,679,738</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Weighted average number of shares outstanding</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11,051,690</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11,051,690</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11,051,690</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11,051,690</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5580" w:type="dxa"/>
            <w:vAlign w:val="bottom"/>
          </w:tcPr>
          <w:p>
            <w:pPr>
              <w:spacing w:after="0"/>
              <w:rPr>
                <w:sz w:val="20"/>
                <w:szCs w:val="20"/>
                <w:color w:val="auto"/>
              </w:rPr>
            </w:pPr>
            <w:r>
              <w:rPr>
                <w:rFonts w:ascii="Courier New" w:cs="Courier New" w:eastAsia="Courier New" w:hAnsi="Courier New"/>
                <w:sz w:val="16"/>
                <w:szCs w:val="16"/>
                <w:color w:val="auto"/>
              </w:rPr>
              <w:t>Earnings per common share</w:t>
            </w: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Continuing operations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$0.11</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$0.08</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$0.22</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$0.19</w:t>
            </w:r>
          </w:p>
        </w:tc>
      </w:tr>
      <w:tr>
        <w:trPr>
          <w:trHeight w:val="188"/>
        </w:trPr>
        <w:tc>
          <w:tcPr>
            <w:tcW w:w="5580" w:type="dxa"/>
            <w:vAlign w:val="bottom"/>
          </w:tcPr>
          <w:p>
            <w:pPr>
              <w:ind w:left="300"/>
              <w:spacing w:after="0"/>
              <w:rPr>
                <w:sz w:val="20"/>
                <w:szCs w:val="20"/>
                <w:color w:val="auto"/>
              </w:rPr>
            </w:pPr>
            <w:r>
              <w:rPr>
                <w:rFonts w:ascii="Courier New" w:cs="Courier New" w:eastAsia="Courier New" w:hAnsi="Courier New"/>
                <w:sz w:val="16"/>
                <w:szCs w:val="16"/>
                <w:color w:val="auto"/>
              </w:rPr>
              <w:t>Discontinued operations</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w:t>
            </w:r>
          </w:p>
        </w:tc>
        <w:tc>
          <w:tcPr>
            <w:tcW w:w="15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(0.03)</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(0.04)</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ind w:left="980"/>
              <w:spacing w:after="0"/>
              <w:rPr>
                <w:sz w:val="20"/>
                <w:szCs w:val="20"/>
                <w:color w:val="auto"/>
              </w:rPr>
            </w:pPr>
            <w:r>
              <w:rPr>
                <w:rFonts w:ascii="Courier New" w:cs="Courier New" w:eastAsia="Courier New" w:hAnsi="Courier New"/>
                <w:sz w:val="16"/>
                <w:szCs w:val="16"/>
                <w:color w:val="auto"/>
              </w:rPr>
              <w:t>Total</w:t>
            </w:r>
          </w:p>
        </w:tc>
        <w:tc>
          <w:tcPr>
            <w:tcW w:w="15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$0.11</w:t>
            </w:r>
          </w:p>
        </w:tc>
        <w:tc>
          <w:tcPr>
            <w:tcW w:w="15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$0.05</w:t>
            </w:r>
          </w:p>
        </w:tc>
        <w:tc>
          <w:tcPr>
            <w:tcW w:w="14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$0.22</w:t>
            </w:r>
          </w:p>
        </w:tc>
        <w:tc>
          <w:tcPr>
            <w:tcW w:w="13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$0.15</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580" w:type="dxa"/>
            <w:vAlign w:val="bottom"/>
          </w:tcPr>
          <w:p>
            <w:pPr>
              <w:spacing w:after="0"/>
              <w:rPr>
                <w:sz w:val="16"/>
                <w:szCs w:val="16"/>
                <w:color w:val="auto"/>
              </w:rPr>
            </w:pPr>
          </w:p>
        </w:tc>
        <w:tc>
          <w:tcPr>
            <w:tcW w:w="1560" w:type="dxa"/>
            <w:vAlign w:val="bottom"/>
          </w:tcPr>
          <w:p>
            <w:pPr>
              <w:jc w:val="center"/>
              <w:ind w:right="39"/>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868" w:right="139" w:bottom="1440" w:gutter="0" w:footer="0" w:header="0"/>
        </w:sectPr>
      </w:pPr>
    </w:p>
    <w:bookmarkStart w:id="4" w:name="page5"/>
    <w:bookmarkEnd w:id="4"/>
    <w:p>
      <w:pPr>
        <w:jc w:val="center"/>
        <w:ind w:right="1919"/>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7"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6"/>
          <w:szCs w:val="16"/>
          <w:color w:val="auto"/>
        </w:rPr>
        <w:t>CONSOLIDATED CONDENSED STATEMENTS OF CASH FLOWS</w:t>
      </w:r>
    </w:p>
    <w:p>
      <w:pPr>
        <w:spacing w:after="0" w:line="1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2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SIX MONTHS ENDED MARCH 31</w:t>
            </w:r>
          </w:p>
        </w:tc>
      </w:tr>
      <w:tr>
        <w:trPr>
          <w:trHeight w:val="188"/>
        </w:trPr>
        <w:tc>
          <w:tcPr>
            <w:tcW w:w="4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1996</w:t>
            </w:r>
          </w:p>
        </w:tc>
        <w:tc>
          <w:tcPr>
            <w:tcW w:w="44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1995</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2,459,516</w:t>
            </w:r>
          </w:p>
        </w:tc>
        <w:tc>
          <w:tcPr>
            <w:tcW w:w="17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$ 1,679,738</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Loss on disposal of assets of</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Tessman Seed, Inc.....................</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321,266</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Loss on discontinued operations of</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Tessman Seed, Inc..... ...............</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69,905</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Unusual and nonrecurring charge.......</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750,000</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Depreciation and amortization.........</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679,734</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652,849</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Deferred income taxes.................</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14,000</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(262,000)</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Other.................................</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(155,453)</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(44,091)</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Changes in certain current assets and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liabilities...........................</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8"/>
              </w:rPr>
              <w:t>(1,091,722)</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(486,839)</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ind w:left="680"/>
              <w:spacing w:after="0"/>
              <w:rPr>
                <w:sz w:val="20"/>
                <w:szCs w:val="20"/>
                <w:color w:val="auto"/>
              </w:rPr>
            </w:pPr>
            <w:r>
              <w:rPr>
                <w:rFonts w:ascii="Courier New" w:cs="Courier New" w:eastAsia="Courier New" w:hAnsi="Courier New"/>
                <w:sz w:val="16"/>
                <w:szCs w:val="16"/>
                <w:color w:val="auto"/>
              </w:rPr>
              <w:t>Net cash provided by</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680"/>
              <w:spacing w:after="0"/>
              <w:rPr>
                <w:sz w:val="20"/>
                <w:szCs w:val="20"/>
                <w:color w:val="auto"/>
              </w:rPr>
            </w:pPr>
            <w:r>
              <w:rPr>
                <w:rFonts w:ascii="Courier New" w:cs="Courier New" w:eastAsia="Courier New" w:hAnsi="Courier New"/>
                <w:sz w:val="16"/>
                <w:szCs w:val="16"/>
                <w:color w:val="auto"/>
              </w:rPr>
              <w:t>operating activities</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1,906,075</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2,680,828</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Additions to property, plant and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equipment.............................</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8"/>
              </w:rPr>
              <w:t>(1,779,211)</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(1,358,945)</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Purchase of</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investments...........................</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8"/>
              </w:rPr>
              <w:t>(2,304,868)</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(187,524)</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Cash received on sale of land and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building..............................</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108,188</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Cash received on sale of assets and</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business of Tessman Seed, Inc.........</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0</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100,000</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ind w:left="680"/>
              <w:spacing w:after="0"/>
              <w:rPr>
                <w:sz w:val="20"/>
                <w:szCs w:val="20"/>
                <w:color w:val="auto"/>
              </w:rPr>
            </w:pPr>
            <w:r>
              <w:rPr>
                <w:rFonts w:ascii="Courier New" w:cs="Courier New" w:eastAsia="Courier New" w:hAnsi="Courier New"/>
                <w:sz w:val="16"/>
                <w:szCs w:val="16"/>
                <w:color w:val="auto"/>
              </w:rPr>
              <w:t>Net cash used in investing activities</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8"/>
              </w:rPr>
              <w:t>(3,975,891)</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(1,446,469)</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Cash dividends paid...................</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(736,804)</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Debt repayment........................</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(52,344)</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(48,919)</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Payments received on note receivable..</w:t>
            </w:r>
          </w:p>
        </w:tc>
        <w:tc>
          <w:tcPr>
            <w:tcW w:w="260" w:type="dxa"/>
            <w:vAlign w:val="bottom"/>
          </w:tcPr>
          <w:p>
            <w:pPr>
              <w:spacing w:after="0"/>
              <w:rPr>
                <w:sz w:val="16"/>
                <w:szCs w:val="16"/>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24,046</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ind w:left="680"/>
              <w:spacing w:after="0"/>
              <w:rPr>
                <w:sz w:val="20"/>
                <w:szCs w:val="20"/>
                <w:color w:val="auto"/>
              </w:rPr>
            </w:pPr>
            <w:r>
              <w:rPr>
                <w:rFonts w:ascii="Courier New" w:cs="Courier New" w:eastAsia="Courier New" w:hAnsi="Courier New"/>
                <w:sz w:val="16"/>
                <w:szCs w:val="16"/>
                <w:color w:val="auto"/>
              </w:rPr>
              <w:t>Net cash used in financing activities</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(765,102)</w:t>
            </w:r>
          </w:p>
        </w:tc>
        <w:tc>
          <w:tcPr>
            <w:tcW w:w="44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(48,919)</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INCREASE (DECREASE) IN CASH AND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EQUIVALENTS</w:t>
            </w:r>
          </w:p>
        </w:tc>
        <w:tc>
          <w:tcPr>
            <w:tcW w:w="26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Courier New" w:cs="Courier New" w:eastAsia="Courier New" w:hAnsi="Courier New"/>
                <w:sz w:val="16"/>
                <w:szCs w:val="16"/>
                <w:color w:val="auto"/>
                <w:w w:val="98"/>
              </w:rPr>
              <w:t>(2,834,918)</w:t>
            </w:r>
          </w:p>
        </w:tc>
        <w:tc>
          <w:tcPr>
            <w:tcW w:w="440" w:type="dxa"/>
            <w:vAlign w:val="bottom"/>
          </w:tcPr>
          <w:p>
            <w:pPr>
              <w:spacing w:after="0"/>
              <w:rPr>
                <w:sz w:val="16"/>
                <w:szCs w:val="16"/>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1,185,440</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260" w:type="dxa"/>
            <w:vAlign w:val="bottom"/>
          </w:tcPr>
          <w:p>
            <w:pPr>
              <w:spacing w:after="0"/>
              <w:rPr>
                <w:sz w:val="24"/>
                <w:szCs w:val="24"/>
                <w:color w:val="auto"/>
              </w:rPr>
            </w:pP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9,906,107</w:t>
            </w:r>
          </w:p>
        </w:tc>
        <w:tc>
          <w:tcPr>
            <w:tcW w:w="440" w:type="dxa"/>
            <w:vAlign w:val="bottom"/>
          </w:tcPr>
          <w:p>
            <w:pPr>
              <w:spacing w:after="0"/>
              <w:rPr>
                <w:sz w:val="24"/>
                <w:szCs w:val="24"/>
                <w:color w:val="auto"/>
              </w:rPr>
            </w:pP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6,895,341</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376"/>
        </w:trPr>
        <w:tc>
          <w:tcPr>
            <w:tcW w:w="434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7,071,189</w:t>
            </w:r>
          </w:p>
        </w:tc>
        <w:tc>
          <w:tcPr>
            <w:tcW w:w="17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$ 8,080,781</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434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INFORMATION:</w:t>
            </w: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76"/>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Cash paid for interest................</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53,562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56,111</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ind w:left="300"/>
              <w:spacing w:after="0"/>
              <w:rPr>
                <w:sz w:val="20"/>
                <w:szCs w:val="20"/>
                <w:color w:val="auto"/>
              </w:rPr>
            </w:pPr>
            <w:r>
              <w:rPr>
                <w:rFonts w:ascii="Courier New" w:cs="Courier New" w:eastAsia="Courier New" w:hAnsi="Courier New"/>
                <w:sz w:val="16"/>
                <w:szCs w:val="16"/>
                <w:color w:val="auto"/>
              </w:rPr>
              <w:t>Cash paid for income taxes............</w:t>
            </w:r>
          </w:p>
        </w:tc>
        <w:tc>
          <w:tcPr>
            <w:tcW w:w="2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2,102,326</w:t>
            </w:r>
          </w:p>
        </w:tc>
        <w:tc>
          <w:tcPr>
            <w:tcW w:w="170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$ 1,404,000</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4340" w:type="dxa"/>
            <w:vAlign w:val="bottom"/>
          </w:tcPr>
          <w:p>
            <w:pPr>
              <w:spacing w:after="0"/>
              <w:rPr>
                <w:sz w:val="16"/>
                <w:szCs w:val="16"/>
                <w:color w:val="auto"/>
              </w:rPr>
            </w:pPr>
          </w:p>
        </w:tc>
        <w:tc>
          <w:tcPr>
            <w:tcW w:w="1580" w:type="dxa"/>
            <w:vAlign w:val="bottom"/>
            <w:gridSpan w:val="2"/>
          </w:tcPr>
          <w:p>
            <w:pPr>
              <w:jc w:val="right"/>
              <w:ind w:right="179"/>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68" w:right="1440" w:bottom="563" w:gutter="0" w:footer="0" w:header="0"/>
        </w:sectPr>
      </w:pPr>
    </w:p>
    <w:bookmarkStart w:id="5" w:name="page6"/>
    <w:bookmarkEnd w:id="5"/>
    <w:p>
      <w:pPr>
        <w:ind w:left="2240"/>
        <w:spacing w:after="0"/>
        <w:rPr>
          <w:sz w:val="20"/>
          <w:szCs w:val="20"/>
          <w:color w:val="auto"/>
        </w:rPr>
      </w:pPr>
      <w:r>
        <w:rPr>
          <w:rFonts w:ascii="Courier New" w:cs="Courier New" w:eastAsia="Courier New" w:hAnsi="Courier New"/>
          <w:sz w:val="16"/>
          <w:szCs w:val="16"/>
          <w:color w:val="auto"/>
        </w:rPr>
        <w:t>HAWKINS CHEMICAL, INC. AND SUBSIDIARIES</w:t>
      </w:r>
    </w:p>
    <w:p>
      <w:pPr>
        <w:spacing w:after="0" w:line="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NOTES TO CONSOLIDATED CONDENSED FINANCIAL STATEMENTS</w:t>
      </w:r>
    </w:p>
    <w:p>
      <w:pPr>
        <w:spacing w:after="0" w:line="200" w:lineRule="exact"/>
        <w:rPr>
          <w:sz w:val="20"/>
          <w:szCs w:val="20"/>
          <w:color w:val="auto"/>
        </w:rPr>
      </w:pPr>
    </w:p>
    <w:p>
      <w:pPr>
        <w:spacing w:after="0" w:line="371" w:lineRule="exact"/>
        <w:rPr>
          <w:sz w:val="20"/>
          <w:szCs w:val="20"/>
          <w:color w:val="auto"/>
        </w:rPr>
      </w:pPr>
    </w:p>
    <w:p>
      <w:pPr>
        <w:ind w:right="2499"/>
        <w:spacing w:after="0" w:line="249" w:lineRule="auto"/>
        <w:tabs>
          <w:tab w:leader="none" w:pos="3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year ended October 1, 1995, previously filed with the Commission. In the opinion of management, the accompanying unaudited consolidated condensed financial statements contain all adjustments necessary to present fairly the Company's financial position and the results of its operations and cash flows for the periods presented. All adjustments made to the interim financial statements were of normal recurring nature.</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accounting policies followed by the Company are set forth in Note 1 to the Company's financial statements in the 1995 Hawkins Chemical, Inc. Annual Report which is incorporated by reference to Form 10-K filed with the Commission on December 28, 1995.</w:t>
      </w:r>
    </w:p>
    <w:p>
      <w:pPr>
        <w:spacing w:after="0" w:line="376" w:lineRule="exact"/>
        <w:rPr>
          <w:sz w:val="20"/>
          <w:szCs w:val="20"/>
          <w:color w:val="auto"/>
        </w:rPr>
      </w:pPr>
    </w:p>
    <w:p>
      <w:pPr>
        <w:ind w:left="400" w:hanging="400"/>
        <w:spacing w:after="0"/>
        <w:tabs>
          <w:tab w:leader="none" w:pos="4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period ended March 31, 1996 are not</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necessarily indicative of the results that may be expected for the full year.</w:t>
      </w:r>
    </w:p>
    <w:p>
      <w:pPr>
        <w:spacing w:after="0" w:line="382"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January 1, 1996, the Company sold property which was previously rented to a former subsidiary for $1,208,000. At closing the Company received $108,000 and a contract for deed for $1,100,000. The contract for deed requires monthly payments of $9,201, including interest at 8% per annum, for eight years. On January 1, 2004, the remaining unpaid principal balance is due.</w:t>
      </w:r>
    </w:p>
    <w:p>
      <w:pPr>
        <w:spacing w:after="0" w:line="375" w:lineRule="exact"/>
        <w:rPr>
          <w:rFonts w:ascii="Courier New" w:cs="Courier New" w:eastAsia="Courier New" w:hAnsi="Courier New"/>
          <w:sz w:val="16"/>
          <w:szCs w:val="16"/>
          <w:color w:val="auto"/>
        </w:rPr>
      </w:pPr>
    </w:p>
    <w:p>
      <w:pPr>
        <w:ind w:right="2399"/>
        <w:spacing w:after="0" w:line="249" w:lineRule="auto"/>
        <w:tabs>
          <w:tab w:leader="none" w:pos="3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principally valued by the LIFO method, are less than current cost by approximately $1,676,200 at March 31, 1996. Inventory consists principally of finished goods. Inventory quantities fluctuate during the year. No material amounts of interim liquidation of inventory quantities have occurred that are not expected to be replaced by year-end.</w:t>
      </w:r>
    </w:p>
    <w:p>
      <w:pPr>
        <w:spacing w:after="0" w:line="375" w:lineRule="exact"/>
        <w:rPr>
          <w:rFonts w:ascii="Courier New" w:cs="Courier New" w:eastAsia="Courier New" w:hAnsi="Courier New"/>
          <w:sz w:val="16"/>
          <w:szCs w:val="16"/>
          <w:color w:val="auto"/>
        </w:rPr>
      </w:pPr>
    </w:p>
    <w:p>
      <w:pPr>
        <w:ind w:right="2499"/>
        <w:spacing w:after="0" w:line="249" w:lineRule="auto"/>
        <w:tabs>
          <w:tab w:leader="none" w:pos="39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are based upon the weighted average number of shares outstanding after giving retroactive effect to a 5% stock dividend declared February 7, 1996 to shareholders of record at the close of business on March 29, 1996. Cash dividends accrued of $845,065 are included in accounts payable at March 31, 1996.</w:t>
      </w:r>
    </w:p>
    <w:p>
      <w:pPr>
        <w:spacing w:after="0" w:line="37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68" w:right="1440" w:bottom="1440" w:gutter="0" w:footer="0" w:header="0"/>
        </w:sectPr>
      </w:pPr>
    </w:p>
    <w:bookmarkStart w:id="6" w:name="page7"/>
    <w:bookmarkEnd w:id="6"/>
    <w:p>
      <w:pPr>
        <w:ind w:left="1960" w:right="3859" w:hanging="1954"/>
        <w:spacing w:after="0" w:line="252" w:lineRule="auto"/>
        <w:tabs>
          <w:tab w:leader="none" w:pos="19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CONTINUING OPERATIONS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sales decreased $463,574 (2.5%) in the second quarter of this fiscal year as compared to the same quarter a year ago, and increased $464,933 (1.3%) in the first six months of fiscal 1996 as compared to the same period in fiscal 1995. The decrease in the quarter was primarily due to the extremely cold weather conditions during the quarter. Some of our customers either had limited operations or had to close down temporarily, thereby decreasing their volumes. Also contributing to the sales decrease was management's decision to discontinue sales to mass merchandisers by The Lynde Company subsidiary, as that business involved high volumes and high inventory levels with a low, decreasing profit margin. Although total sales dollars will decrease in the third and fourth quarters because of this change, management does not expect a material adverse impact on gross margin as a percentage of net sales. The decrease in sales was also due to a slight decrease in the selling price of a single, large-volume product. The increase in sales for the six-month period ended March 31, 1996 was due to volume increases in most of the Company's divisions and subsidiaries, which was partially offset by the above. Selling prices of the single, large-volume product are expected to decrease in the last six months of this fiscal year, but with the Mississippi River now open to accept barge shipments, management anticipates more competitive pricing, which is expected to enable the Company to maintain historical profit margins.</w:t>
      </w:r>
    </w:p>
    <w:p>
      <w:pPr>
        <w:spacing w:after="0" w:line="186"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Gross margin, as a percentage of net sales, for the second quarter of this fiscal year was 20.9% compared to 21.0% for the same quarter one year ago, and 21.2% for the first six months of fiscal 1996 as compared to 21.5% for the first six months of fiscal 1995. The slight decreases are due to the decrease in selling prices partially offset by the reduction of lower margin sales to mass merchandisers previously mentioned. The Company has generally been able to and expects to continue to adjust its selling prices as the cost of materials and other expenses change, thereby maintaining relatively stable gross margins.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Selling, general and administrative expenses, as a percentage of net sales, for the second quarter of fiscal 1996 were 11.3% compared to 10.3% for the same quarter one year ago, and 11.3% for the first six months of fiscal 1996 as compared to 10.8% for the first six months of fiscal 1995. These increases were mainly due to increased employee compensation and benefits.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unusual and nonrecurring charge in the second quarter and first six months of fiscal 1995 of $750,000 was recorded to cover estimated settlement costs to be incurred by the Company in connection with a lawsuit filed against the Company.</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Interest income decreased $9,378 in the second quarter of fiscal 1996 as compared to the same quarter one year ago and increased $56,907 for the first six months of this fiscal year as compared to the same period one year ago. The second quarter decrease is due to increases in investments in income tax exempt securities which generally have a lower pre-tax return than other taxable investments, but have a higher after-tax return. The six month increase is due to an increase in the amount of cash available for investments and to a higher rate of return earned on cash equivalents and investments in the first quarter. Interest expense decreased slightly due mainly to the decline in long term debt.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DISCONTINUED OPERATIONS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March 1995, the Company adopted a formal plan to discontinue operations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Tessman Seed, which sold a wide range of horticulture and pest control products.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Effective March 1, 1995, the Company sold the inventory, equipment and</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6"/>
          <w:szCs w:val="16"/>
          <w:color w:val="auto"/>
        </w:rPr>
        <w:t>operations of Tessman.</w:t>
        <w:tab/>
        <w:t>As a result of the purchase transaction,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recorded a loss on the disposal in the second quarter of fiscal 1995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$321,266, net of taxes totaling $214,200, to write-down Tessman's assets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realized.</w:t>
      </w:r>
    </w:p>
    <w:p>
      <w:pPr>
        <w:spacing w:after="0" w:line="38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68" w:right="1440" w:bottom="1440" w:gutter="0" w:footer="0" w:header="0"/>
        </w:sectPr>
      </w:pPr>
    </w:p>
    <w:bookmarkStart w:id="7" w:name="page8"/>
    <w:bookmarkEnd w:id="7"/>
    <w:p>
      <w:pPr>
        <w:ind w:right="2599"/>
        <w:spacing w:after="0" w:line="250" w:lineRule="auto"/>
        <w:rPr>
          <w:sz w:val="20"/>
          <w:szCs w:val="20"/>
          <w:color w:val="auto"/>
        </w:rPr>
      </w:pPr>
      <w:r>
        <w:rPr>
          <w:rFonts w:ascii="Courier New" w:cs="Courier New" w:eastAsia="Courier New" w:hAnsi="Courier New"/>
          <w:sz w:val="16"/>
          <w:szCs w:val="16"/>
          <w:color w:val="auto"/>
        </w:rPr>
        <w:t>Revenues for Tessman for the quarter and six months ended March 31, 1995 were $507,000 and $931,000, respectively. The loss for Tessman for the quarter and six-month period ended March 31, 1995 was less than $.01 per share.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For the six-month period ended March 31, 1996, cash flows from operations were $1,906,075. This amount was lower than cash provided by operations during the same period one year ago, due mainly to the changes in certain current assets and liability accounts discussed below. During the six-month period ended March 31, 1996, the Company invested $1,779,211 in property and equipment additions and added $2,304,868 to investments.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Accounts receivable, inventories and accounts payable decreased during the first six months of fiscal 1996 due primarily to management's decision to discontinue sales to mass merchandisers by The Lynde Company subsidiary, as discussed previously. Other current liabilities decreased as a result of the payment of benefit plan accruals that existed at fiscal year end. The Company did not issue any securities during the six-month period ended March 31, 1996.</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In January 1996, the Company sold property which was previously rented to a former subsidiary for $1,208,000. At closing the Company received $108,000 and a contract for deed for $1,100,000. The contract for deed requires monthly payments of $9,201, including interest at 8% per annum, for eight years. On January 1, 2004, the remaining unpaid principal balance is due.</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Since 1985, the Company has been paying an annual cash dividend each year. In the fourth quarter of fiscal 1995 this was changed to a semi-annual cash dividend policy. The first half of the 1996 dividend was paid in October 1995 and the second half was paid in April 1996.</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cash flows from operations, coupled with the Company's strong cash position, puts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puts it in a position to issue either debt or equity securities on favorable terms.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Although management continually reviews opportunities to enhance the value of the Company through strategic acquisitions, other capital investments and strategic divestitures, no material commitments for such investments or divestitures currently exist. Until appropriate investment opportunities are identified, the Company will continue to invest excess cash in conservative investments. Cash equivalents consist of short-term certificates of deposit and investments consist of relatively low-risk investment and annuity contracts with highly rated, stable insurance companies, and marketable securities consisting of investment grade municipal securities, all of which are carried at cost which approximates fair value. All cash equivalents are highly liquid and are available upon demand. There are some penalties associated with the early liquidation of the Company's investment and annuity contracts.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Other than as discussed above, management is not aware of any matters that have materially affected the first six months of fiscal 1996, but are not expected to materially affect future periods, nor is management aware of other matters not affecting this period that are expected to materially affect future periods.</w:t>
      </w:r>
    </w:p>
    <w:p>
      <w:pPr>
        <w:spacing w:after="0" w:line="37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68" w:right="1440" w:bottom="1440" w:gutter="0" w:footer="0" w:header="0"/>
        </w:sectPr>
      </w:pPr>
    </w:p>
    <w:bookmarkStart w:id="8" w:name="page9"/>
    <w:bookmarkEnd w:id="8"/>
    <w:p>
      <w:pPr>
        <w:ind w:left="2840"/>
        <w:spacing w:after="0"/>
        <w:tabs>
          <w:tab w:leader="none" w:pos="3800" w:val="left"/>
        </w:tabs>
        <w:rPr>
          <w:sz w:val="20"/>
          <w:szCs w:val="20"/>
          <w:color w:val="auto"/>
        </w:rPr>
      </w:pPr>
      <w:r>
        <w:rPr>
          <w:rFonts w:ascii="Courier New" w:cs="Courier New" w:eastAsia="Courier New" w:hAnsi="Courier New"/>
          <w:sz w:val="16"/>
          <w:szCs w:val="16"/>
          <w:color w:val="auto"/>
        </w:rPr>
        <w:t>PART II.</w:t>
        <w:tab/>
        <w:t>OTHER INFORMATION</w:t>
      </w:r>
    </w:p>
    <w:p>
      <w:pPr>
        <w:spacing w:after="0" w:line="383"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 to a vote of Security Holders.</w:t>
      </w:r>
    </w:p>
    <w:p>
      <w:pPr>
        <w:spacing w:after="0" w:line="195" w:lineRule="exact"/>
        <w:rPr>
          <w:sz w:val="20"/>
          <w:szCs w:val="20"/>
          <w:color w:val="auto"/>
        </w:rPr>
      </w:pPr>
    </w:p>
    <w:p>
      <w:pPr>
        <w:ind w:left="880" w:right="2979" w:hanging="489"/>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annual meeting of the shareholders of the Company was held on February 7, 1996.</w:t>
      </w:r>
    </w:p>
    <w:p>
      <w:pPr>
        <w:spacing w:after="0" w:line="183" w:lineRule="exact"/>
        <w:rPr>
          <w:sz w:val="20"/>
          <w:szCs w:val="20"/>
          <w:color w:val="auto"/>
        </w:rPr>
      </w:pPr>
    </w:p>
    <w:p>
      <w:pPr>
        <w:ind w:left="880" w:right="2979" w:hanging="489"/>
        <w:spacing w:after="0" w:line="252" w:lineRule="auto"/>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tabulation of the results of votes cast on the matters noted upon at the annual meeting of the shareholders:</w:t>
      </w:r>
    </w:p>
    <w:p>
      <w:pPr>
        <w:spacing w:after="0" w:line="371"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to enlarge the Board of Directors to eleven seats:</w:t>
      </w:r>
    </w:p>
    <w:p>
      <w:pPr>
        <w:spacing w:after="0" w:line="7"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Broker</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8"/>
        </w:trPr>
        <w:tc>
          <w:tcPr>
            <w:tcW w:w="2240" w:type="dxa"/>
            <w:vAlign w:val="bottom"/>
          </w:tcPr>
          <w:p>
            <w:pPr>
              <w:jc w:val="center"/>
              <w:ind w:left="499"/>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Against</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Abstain</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Non-Votes</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240" w:type="dxa"/>
            <w:vAlign w:val="bottom"/>
          </w:tcPr>
          <w:p>
            <w:pPr>
              <w:jc w:val="center"/>
              <w:ind w:left="47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240" w:type="dxa"/>
            <w:vAlign w:val="bottom"/>
          </w:tcPr>
          <w:p>
            <w:pPr>
              <w:jc w:val="center"/>
              <w:ind w:left="479"/>
              <w:spacing w:after="0"/>
              <w:rPr>
                <w:sz w:val="20"/>
                <w:szCs w:val="20"/>
                <w:color w:val="auto"/>
              </w:rPr>
            </w:pPr>
            <w:r>
              <w:rPr>
                <w:rFonts w:ascii="Courier New" w:cs="Courier New" w:eastAsia="Courier New" w:hAnsi="Courier New"/>
                <w:sz w:val="16"/>
                <w:szCs w:val="16"/>
                <w:color w:val="auto"/>
              </w:rPr>
              <w:t>8,278,619</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381,460</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99,295</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564"/>
        </w:trPr>
        <w:tc>
          <w:tcPr>
            <w:tcW w:w="342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Election of Directors:</w:t>
            </w: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64"/>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ind w:left="500"/>
              <w:spacing w:after="0"/>
              <w:rPr>
                <w:sz w:val="20"/>
                <w:szCs w:val="20"/>
                <w:color w:val="auto"/>
              </w:rPr>
            </w:pPr>
            <w:r>
              <w:rPr>
                <w:rFonts w:ascii="Courier New" w:cs="Courier New" w:eastAsia="Courier New" w:hAnsi="Courier New"/>
                <w:sz w:val="16"/>
                <w:szCs w:val="16"/>
                <w:color w:val="auto"/>
              </w:rPr>
              <w:t>Broker</w:t>
            </w:r>
          </w:p>
        </w:tc>
      </w:tr>
      <w:tr>
        <w:trPr>
          <w:trHeight w:val="188"/>
        </w:trPr>
        <w:tc>
          <w:tcPr>
            <w:tcW w:w="2240" w:type="dxa"/>
            <w:vAlign w:val="bottom"/>
          </w:tcPr>
          <w:p>
            <w:pPr>
              <w:spacing w:after="0"/>
              <w:rPr>
                <w:sz w:val="16"/>
                <w:szCs w:val="16"/>
                <w:color w:val="auto"/>
              </w:rPr>
            </w:pPr>
          </w:p>
        </w:tc>
        <w:tc>
          <w:tcPr>
            <w:tcW w:w="1180" w:type="dxa"/>
            <w:vAlign w:val="bottom"/>
          </w:tcPr>
          <w:p>
            <w:pPr>
              <w:ind w:left="480"/>
              <w:spacing w:after="0"/>
              <w:rPr>
                <w:sz w:val="20"/>
                <w:szCs w:val="20"/>
                <w:color w:val="auto"/>
              </w:rPr>
            </w:pPr>
            <w:r>
              <w:rPr>
                <w:rFonts w:ascii="Courier New" w:cs="Courier New" w:eastAsia="Courier New" w:hAnsi="Courier New"/>
                <w:sz w:val="16"/>
                <w:szCs w:val="16"/>
                <w:color w:val="auto"/>
              </w:rPr>
              <w:t>For</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Against</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Withheld</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Abstain</w:t>
            </w:r>
          </w:p>
        </w:tc>
        <w:tc>
          <w:tcPr>
            <w:tcW w:w="1280" w:type="dxa"/>
            <w:vAlign w:val="bottom"/>
          </w:tcPr>
          <w:p>
            <w:pPr>
              <w:ind w:left="400"/>
              <w:spacing w:after="0"/>
              <w:rPr>
                <w:sz w:val="20"/>
                <w:szCs w:val="20"/>
                <w:color w:val="auto"/>
              </w:rPr>
            </w:pPr>
            <w:r>
              <w:rPr>
                <w:rFonts w:ascii="Courier New" w:cs="Courier New" w:eastAsia="Courier New" w:hAnsi="Courier New"/>
                <w:sz w:val="16"/>
                <w:szCs w:val="16"/>
                <w:color w:val="auto"/>
                <w:w w:val="99"/>
              </w:rPr>
              <w:t>Non-Votes</w:t>
            </w:r>
          </w:p>
        </w:tc>
      </w:tr>
      <w:tr>
        <w:trPr>
          <w:trHeight w:val="188"/>
        </w:trPr>
        <w:tc>
          <w:tcPr>
            <w:tcW w:w="224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center"/>
              <w:ind w:left="319"/>
              <w:spacing w:after="0"/>
              <w:rPr>
                <w:sz w:val="20"/>
                <w:szCs w:val="20"/>
                <w:color w:val="auto"/>
              </w:rPr>
            </w:pPr>
            <w:r>
              <w:rPr>
                <w:rFonts w:ascii="Courier New" w:cs="Courier New" w:eastAsia="Courier New" w:hAnsi="Courier New"/>
                <w:sz w:val="16"/>
                <w:szCs w:val="16"/>
                <w:color w:val="auto"/>
              </w:rPr>
              <w:t>---------</w:t>
            </w:r>
          </w:p>
        </w:tc>
      </w:tr>
      <w:tr>
        <w:trPr>
          <w:trHeight w:val="376"/>
        </w:trPr>
        <w:tc>
          <w:tcPr>
            <w:tcW w:w="2240" w:type="dxa"/>
            <w:vAlign w:val="bottom"/>
          </w:tcPr>
          <w:p>
            <w:pPr>
              <w:spacing w:after="0"/>
              <w:rPr>
                <w:sz w:val="20"/>
                <w:szCs w:val="20"/>
                <w:color w:val="auto"/>
              </w:rPr>
            </w:pPr>
            <w:r>
              <w:rPr>
                <w:rFonts w:ascii="Courier New" w:cs="Courier New" w:eastAsia="Courier New" w:hAnsi="Courier New"/>
                <w:sz w:val="16"/>
                <w:szCs w:val="16"/>
                <w:color w:val="auto"/>
              </w:rPr>
              <w:t>Howard J. Hawkins</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8,638,505</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120,869</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Dean L. Hahn</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8,638,868</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120,506</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Carl J. Ahlgren</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8,584,225</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175,149</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Howard M. Hawkins</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8,360,417</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398,957</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Norman P. Anderson</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8,584,225</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175,149</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Donald L. Shipp</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8,537,086</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222,288</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John S. McKeon</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8,638,758</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120,616</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John R. Hawkins</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8,365,032</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394,342</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S. Albert Diez Hanser</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7,330,252</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1,429,122</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188"/>
        </w:trPr>
        <w:tc>
          <w:tcPr>
            <w:tcW w:w="2240" w:type="dxa"/>
            <w:vAlign w:val="bottom"/>
          </w:tcPr>
          <w:p>
            <w:pPr>
              <w:spacing w:after="0"/>
              <w:rPr>
                <w:sz w:val="20"/>
                <w:szCs w:val="20"/>
                <w:color w:val="auto"/>
              </w:rPr>
            </w:pPr>
            <w:r>
              <w:rPr>
                <w:rFonts w:ascii="Courier New" w:cs="Courier New" w:eastAsia="Courier New" w:hAnsi="Courier New"/>
                <w:sz w:val="16"/>
                <w:szCs w:val="16"/>
                <w:color w:val="auto"/>
              </w:rPr>
              <w:t>Duane Jergenson</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8,357,121</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402,253</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0</w:t>
            </w:r>
          </w:p>
        </w:tc>
        <w:tc>
          <w:tcPr>
            <w:tcW w:w="1280" w:type="dxa"/>
            <w:vAlign w:val="bottom"/>
          </w:tcPr>
          <w:p>
            <w:pPr>
              <w:jc w:val="center"/>
              <w:ind w:left="299"/>
              <w:spacing w:after="0"/>
              <w:rPr>
                <w:sz w:val="20"/>
                <w:szCs w:val="20"/>
                <w:color w:val="auto"/>
              </w:rPr>
            </w:pPr>
            <w:r>
              <w:rPr>
                <w:rFonts w:ascii="Courier New" w:cs="Courier New" w:eastAsia="Courier New" w:hAnsi="Courier New"/>
                <w:sz w:val="16"/>
                <w:szCs w:val="16"/>
                <w:color w:val="auto"/>
              </w:rPr>
              <w:t>0</w:t>
            </w:r>
          </w:p>
        </w:tc>
      </w:tr>
      <w:tr>
        <w:trPr>
          <w:trHeight w:val="752"/>
        </w:trPr>
        <w:tc>
          <w:tcPr>
            <w:tcW w:w="624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Approval of Deloitte &amp; Touche LLP as Independent Auditors:</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64"/>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Broker</w:t>
            </w: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88"/>
        </w:trPr>
        <w:tc>
          <w:tcPr>
            <w:tcW w:w="2240" w:type="dxa"/>
            <w:vAlign w:val="bottom"/>
          </w:tcPr>
          <w:p>
            <w:pPr>
              <w:jc w:val="center"/>
              <w:ind w:left="499"/>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Against</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Abstain</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Non-Votes</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240" w:type="dxa"/>
            <w:vAlign w:val="bottom"/>
          </w:tcPr>
          <w:p>
            <w:pPr>
              <w:jc w:val="center"/>
              <w:ind w:left="47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88"/>
        </w:trPr>
        <w:tc>
          <w:tcPr>
            <w:tcW w:w="2240" w:type="dxa"/>
            <w:vAlign w:val="bottom"/>
          </w:tcPr>
          <w:p>
            <w:pPr>
              <w:jc w:val="center"/>
              <w:ind w:left="479"/>
              <w:spacing w:after="0"/>
              <w:rPr>
                <w:sz w:val="20"/>
                <w:szCs w:val="20"/>
                <w:color w:val="auto"/>
              </w:rPr>
            </w:pPr>
            <w:r>
              <w:rPr>
                <w:rFonts w:ascii="Courier New" w:cs="Courier New" w:eastAsia="Courier New" w:hAnsi="Courier New"/>
                <w:sz w:val="16"/>
                <w:szCs w:val="16"/>
                <w:color w:val="auto"/>
              </w:rPr>
              <w:t>8,246,257</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433,869</w:t>
            </w:r>
          </w:p>
        </w:tc>
        <w:tc>
          <w:tcPr>
            <w:tcW w:w="1220" w:type="dxa"/>
            <w:vAlign w:val="bottom"/>
          </w:tcPr>
          <w:p>
            <w:pPr>
              <w:ind w:left="480"/>
              <w:spacing w:after="0"/>
              <w:rPr>
                <w:sz w:val="20"/>
                <w:szCs w:val="20"/>
                <w:color w:val="auto"/>
              </w:rPr>
            </w:pPr>
            <w:r>
              <w:rPr>
                <w:rFonts w:ascii="Courier New" w:cs="Courier New" w:eastAsia="Courier New" w:hAnsi="Courier New"/>
                <w:sz w:val="16"/>
                <w:szCs w:val="16"/>
                <w:color w:val="auto"/>
              </w:rPr>
              <w:t>79,148</w:t>
            </w:r>
          </w:p>
        </w:tc>
        <w:tc>
          <w:tcPr>
            <w:tcW w:w="16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0</w:t>
            </w:r>
          </w:p>
        </w:tc>
        <w:tc>
          <w:tcPr>
            <w:tcW w:w="10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940"/>
        </w:trPr>
        <w:tc>
          <w:tcPr>
            <w:tcW w:w="2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1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868" w:right="1440" w:bottom="1440" w:gutter="0" w:footer="0" w:header="0"/>
        </w:sectPr>
      </w:pPr>
    </w:p>
    <w:bookmarkStart w:id="9" w:name="page10"/>
    <w:bookmarkEnd w:id="9"/>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400" w:hanging="400"/>
        <w:spacing w:after="0"/>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6" w:lineRule="exact"/>
        <w:rPr>
          <w:rFonts w:ascii="Courier New" w:cs="Courier New" w:eastAsia="Courier New" w:hAnsi="Courier New"/>
          <w:sz w:val="16"/>
          <w:szCs w:val="16"/>
          <w:color w:val="auto"/>
        </w:rPr>
      </w:pPr>
    </w:p>
    <w:p>
      <w:pPr>
        <w:ind w:left="400" w:right="249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exhibits are included with this Quarterly Report on Form 10-Q (or incorporated by reference) as required by Item 601 of Regulation S-K.</w:t>
      </w:r>
    </w:p>
    <w:p>
      <w:pPr>
        <w:sectPr>
          <w:pgSz w:w="11900" w:h="16838" w:orient="portrait"/>
          <w:cols w:equalWidth="0" w:num="1">
            <w:col w:w="10219"/>
          </w:cols>
          <w:pgMar w:left="240" w:top="1056" w:right="1440" w:bottom="1440" w:gutter="0" w:footer="0" w:header="0"/>
        </w:sectPr>
      </w:pPr>
    </w:p>
    <w:p>
      <w:pPr>
        <w:spacing w:after="0" w:line="18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Exhibit No.</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27</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Data Schedule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Page No.</w:t>
      </w:r>
    </w:p>
    <w:p>
      <w:pPr>
        <w:spacing w:after="0" w:line="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6"/>
          <w:szCs w:val="16"/>
          <w:color w:val="auto"/>
        </w:rPr>
        <w:t>11</w:t>
      </w:r>
    </w:p>
    <w:p>
      <w:pPr>
        <w:spacing w:after="0" w:line="200" w:lineRule="exact"/>
        <w:rPr>
          <w:sz w:val="20"/>
          <w:szCs w:val="20"/>
          <w:color w:val="auto"/>
        </w:rPr>
      </w:pPr>
    </w:p>
    <w:p>
      <w:pPr>
        <w:sectPr>
          <w:pgSz w:w="11900" w:h="16838" w:orient="portrait"/>
          <w:cols w:equalWidth="0" w:num="3">
            <w:col w:w="2120" w:space="720"/>
            <w:col w:w="2700" w:space="720"/>
            <w:col w:w="3959"/>
          </w:cols>
          <w:pgMar w:left="240" w:top="1056" w:right="1440" w:bottom="1440" w:gutter="0" w:footer="0" w:header="0"/>
          <w:type w:val="continuous"/>
        </w:sectPr>
      </w:pPr>
    </w:p>
    <w:p>
      <w:pPr>
        <w:spacing w:after="0" w:line="183" w:lineRule="exact"/>
        <w:rPr>
          <w:sz w:val="20"/>
          <w:szCs w:val="20"/>
          <w:color w:val="auto"/>
        </w:rPr>
      </w:pPr>
    </w:p>
    <w:p>
      <w:pPr>
        <w:ind w:left="480" w:hanging="480"/>
        <w:spacing w:after="0"/>
        <w:tabs>
          <w:tab w:leader="none" w:pos="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5" w:lineRule="exact"/>
        <w:rPr>
          <w:sz w:val="20"/>
          <w:szCs w:val="20"/>
          <w:color w:val="auto"/>
        </w:rPr>
      </w:pPr>
    </w:p>
    <w:p>
      <w:pPr>
        <w:ind w:left="400" w:right="2979"/>
        <w:spacing w:after="0" w:line="252" w:lineRule="auto"/>
        <w:rPr>
          <w:sz w:val="20"/>
          <w:szCs w:val="20"/>
          <w:color w:val="auto"/>
        </w:rPr>
      </w:pPr>
      <w:r>
        <w:rPr>
          <w:rFonts w:ascii="Courier New" w:cs="Courier New" w:eastAsia="Courier New" w:hAnsi="Courier New"/>
          <w:sz w:val="16"/>
          <w:szCs w:val="16"/>
          <w:color w:val="auto"/>
        </w:rPr>
        <w:t>No reports on Form 8-K have been filed during the fiscal quarter ended March 31, 1996.</w:t>
      </w:r>
    </w:p>
    <w:p>
      <w:pPr>
        <w:spacing w:after="0" w:line="200" w:lineRule="exact"/>
        <w:rPr>
          <w:sz w:val="20"/>
          <w:szCs w:val="20"/>
          <w:color w:val="auto"/>
        </w:rPr>
      </w:pPr>
    </w:p>
    <w:p>
      <w:pPr>
        <w:spacing w:after="0" w:line="35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SIGNATURE</w:t>
      </w:r>
    </w:p>
    <w:p>
      <w:pPr>
        <w:spacing w:after="0" w:line="19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HAWKINS CHEMICAL, INC.</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BY</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Howard M. Hawkins, Treasurer</w:t>
      </w:r>
    </w:p>
    <w:p>
      <w:pPr>
        <w:spacing w:after="0" w:line="7"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(Chief Financial and Accounting</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Officer)</w:t>
      </w:r>
    </w:p>
    <w:p>
      <w:pPr>
        <w:spacing w:after="0" w:line="38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Dated:</w:t>
        <w:tab/>
        <w:t>May 13, 1996</w:t>
      </w:r>
    </w:p>
    <w:p>
      <w:pPr>
        <w:spacing w:after="0" w:line="200" w:lineRule="exact"/>
        <w:rPr>
          <w:sz w:val="20"/>
          <w:szCs w:val="20"/>
          <w:color w:val="auto"/>
        </w:rPr>
      </w:pPr>
    </w:p>
    <w:p>
      <w:pPr>
        <w:spacing w:after="0" w:line="371"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56" w:right="1440" w:bottom="1440" w:gutter="0" w:footer="0" w:header="0"/>
          <w:type w:val="continuous"/>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5</w:t>
      </w:r>
    </w:p>
    <w:p>
      <w:pPr>
        <w:spacing w:after="0" w:line="383" w:lineRule="exact"/>
        <w:rPr>
          <w:sz w:val="20"/>
          <w:szCs w:val="20"/>
          <w:color w:val="auto"/>
        </w:rPr>
      </w:pPr>
    </w:p>
    <w:p>
      <w:pPr>
        <w:ind w:left="1760"/>
        <w:spacing w:after="0"/>
        <w:rPr>
          <w:sz w:val="20"/>
          <w:szCs w:val="20"/>
          <w:color w:val="auto"/>
        </w:rPr>
      </w:pPr>
      <w:r>
        <w:rPr>
          <w:rFonts w:ascii="Courier New" w:cs="Courier New" w:eastAsia="Courier New" w:hAnsi="Courier New"/>
          <w:sz w:val="16"/>
          <w:szCs w:val="16"/>
          <w:color w:val="auto"/>
        </w:rPr>
        <w:t>6-MOS</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SEP-29-1996</w:t>
      </w:r>
    </w:p>
    <w:p>
      <w:pPr>
        <w:spacing w:after="0" w:line="7"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OCT-02-1995</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MAR-31-1996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7,071,189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10,273,629</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8,742,756</w:t>
      </w:r>
    </w:p>
    <w:p>
      <w:pPr>
        <w:spacing w:after="0" w:line="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5,824,884</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33,859,409</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11,476,581</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49,804,442</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9,112,116</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552,585</w:t>
      </w:r>
    </w:p>
    <w:p>
      <w:pPr>
        <w:spacing w:after="0" w:line="7"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39,180,488</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49,804,442</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35,862,051</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35,862,051</w:t>
      </w:r>
    </w:p>
    <w:p>
      <w:pPr>
        <w:spacing w:after="0" w:line="7" w:lineRule="exact"/>
        <w:rPr>
          <w:sz w:val="20"/>
          <w:szCs w:val="20"/>
          <w:color w:val="auto"/>
        </w:rPr>
      </w:pPr>
    </w:p>
    <w:p>
      <w:pPr>
        <w:jc w:val="right"/>
        <w:ind w:right="5439"/>
        <w:spacing w:after="0"/>
        <w:rPr>
          <w:sz w:val="20"/>
          <w:szCs w:val="20"/>
          <w:color w:val="auto"/>
        </w:rPr>
      </w:pPr>
      <w:r>
        <w:rPr>
          <w:rFonts w:ascii="Courier New" w:cs="Courier New" w:eastAsia="Courier New" w:hAnsi="Courier New"/>
          <w:sz w:val="16"/>
          <w:szCs w:val="16"/>
          <w:color w:val="auto"/>
        </w:rPr>
        <w:t>28,245,041</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32,290,711</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26,509</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4,106,216</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1,646,700</w:t>
      </w: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2,459,516</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2,459,516</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.22</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2019-12-13T01:51:48Z</dcterms:created>
  <dcterms:modified xsi:type="dcterms:W3CDTF">2019-12-13T01:51:48Z</dcterms:modified>
</cp:coreProperties>
</file>