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8980" w:type="dxa"/>
            <w:vAlign w:val="bottom"/>
            <w:gridSpan w:val="3"/>
          </w:tcPr>
          <w:p>
            <w:pPr>
              <w:ind w:left="680"/>
              <w:spacing w:after="0"/>
              <w:rPr>
                <w:sz w:val="20"/>
                <w:szCs w:val="20"/>
                <w:color w:val="auto"/>
              </w:rPr>
            </w:pPr>
            <w:r>
              <w:rPr>
                <w:rFonts w:ascii="Arial" w:cs="Arial" w:eastAsia="Arial" w:hAnsi="Arial"/>
                <w:sz w:val="18"/>
                <w:szCs w:val="18"/>
                <w:color w:val="auto"/>
              </w:rPr>
              <w:t>As filed with the Securities and Exchange Commission on March 2, 2005</w:t>
            </w:r>
          </w:p>
        </w:tc>
      </w:tr>
      <w:tr>
        <w:trPr>
          <w:trHeight w:val="264"/>
        </w:trPr>
        <w:tc>
          <w:tcPr>
            <w:tcW w:w="2440" w:type="dxa"/>
            <w:vAlign w:val="bottom"/>
            <w:tcBorders>
              <w:bottom w:val="single" w:sz="8" w:color="auto"/>
            </w:tcBorders>
          </w:tcPr>
          <w:p>
            <w:pPr>
              <w:jc w:val="right"/>
              <w:ind w:right="653"/>
              <w:spacing w:after="0"/>
              <w:rPr>
                <w:sz w:val="20"/>
                <w:szCs w:val="20"/>
                <w:color w:val="auto"/>
              </w:rPr>
            </w:pPr>
            <w:r>
              <w:rPr>
                <w:rFonts w:ascii="Arial" w:cs="Arial" w:eastAsia="Arial" w:hAnsi="Arial"/>
                <w:sz w:val="5"/>
                <w:szCs w:val="5"/>
                <w:color w:val="auto"/>
              </w:rPr>
              <w:t>;</w:t>
            </w:r>
          </w:p>
        </w:tc>
        <w:tc>
          <w:tcPr>
            <w:tcW w:w="2480" w:type="dxa"/>
            <w:vAlign w:val="bottom"/>
            <w:tcBorders>
              <w:bottom w:val="single" w:sz="8" w:color="auto"/>
            </w:tcBorders>
          </w:tcPr>
          <w:p>
            <w:pPr>
              <w:jc w:val="right"/>
              <w:ind w:right="941"/>
              <w:spacing w:after="0"/>
              <w:rPr>
                <w:sz w:val="20"/>
                <w:szCs w:val="20"/>
                <w:color w:val="auto"/>
              </w:rPr>
            </w:pPr>
            <w:r>
              <w:rPr>
                <w:rFonts w:ascii="Arial" w:cs="Arial" w:eastAsia="Arial" w:hAnsi="Arial"/>
                <w:sz w:val="5"/>
                <w:szCs w:val="5"/>
                <w:color w:val="auto"/>
              </w:rPr>
              <w:t>&amp;# 160;</w:t>
            </w:r>
          </w:p>
        </w:tc>
        <w:tc>
          <w:tcPr>
            <w:tcW w:w="1420" w:type="dxa"/>
            <w:vAlign w:val="bottom"/>
            <w:tcBorders>
              <w:bottom w:val="single" w:sz="8" w:color="auto"/>
            </w:tcBorders>
          </w:tcPr>
          <w:p>
            <w:pPr>
              <w:jc w:val="right"/>
              <w:ind w:right="373"/>
              <w:spacing w:after="0"/>
              <w:rPr>
                <w:sz w:val="20"/>
                <w:szCs w:val="20"/>
                <w:color w:val="auto"/>
              </w:rPr>
            </w:pPr>
            <w:r>
              <w:rPr>
                <w:rFonts w:ascii="Arial" w:cs="Arial" w:eastAsia="Arial" w:hAnsi="Arial"/>
                <w:sz w:val="5"/>
                <w:szCs w:val="5"/>
                <w:color w:val="auto"/>
              </w:rPr>
              <w:t>;</w:t>
            </w:r>
          </w:p>
        </w:tc>
        <w:tc>
          <w:tcPr>
            <w:tcW w:w="50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Registration No.</w:t>
            </w:r>
          </w:p>
        </w:tc>
      </w:tr>
      <w:tr>
        <w:trPr>
          <w:trHeight w:val="88"/>
        </w:trPr>
        <w:tc>
          <w:tcPr>
            <w:tcW w:w="244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080" w:type="dxa"/>
            <w:vAlign w:val="bottom"/>
            <w:tcBorders>
              <w:bottom w:val="single" w:sz="8" w:color="auto"/>
            </w:tcBorders>
          </w:tcPr>
          <w:p>
            <w:pPr>
              <w:spacing w:after="0"/>
              <w:rPr>
                <w:sz w:val="7"/>
                <w:szCs w:val="7"/>
                <w:color w:val="auto"/>
              </w:rPr>
            </w:pPr>
          </w:p>
        </w:tc>
      </w:tr>
    </w:tbl>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REGISTRATION STATEMENT UNDER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193040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tbl>
      <w:tblPr>
        <w:tblLayout w:type="fixed"/>
        <w:tblInd w:w="1420" w:type="dxa"/>
        <w:tblCellMar>
          <w:top w:w="0" w:type="dxa"/>
          <w:left w:w="0" w:type="dxa"/>
          <w:bottom w:w="0" w:type="dxa"/>
          <w:right w:w="0" w:type="dxa"/>
        </w:tblCellMar>
      </w:tblPr>
      <w:tr>
        <w:trPr>
          <w:trHeight w:val="391"/>
        </w:trPr>
        <w:tc>
          <w:tcPr>
            <w:tcW w:w="6340" w:type="dxa"/>
            <w:vAlign w:val="bottom"/>
          </w:tcPr>
          <w:p>
            <w:pPr>
              <w:jc w:val="center"/>
              <w:ind w:left="2143"/>
              <w:spacing w:after="0"/>
              <w:rPr>
                <w:sz w:val="20"/>
                <w:szCs w:val="20"/>
                <w:color w:val="auto"/>
              </w:rPr>
            </w:pPr>
            <w:r>
              <w:rPr>
                <w:rFonts w:ascii="Arial" w:cs="Arial" w:eastAsia="Arial" w:hAnsi="Arial"/>
                <w:sz w:val="32"/>
                <w:szCs w:val="32"/>
                <w:b w:val="1"/>
                <w:bCs w:val="1"/>
                <w:color w:val="auto"/>
              </w:rPr>
              <w:t>HAWKINS, INC.</w:t>
            </w:r>
          </w:p>
        </w:tc>
        <w:tc>
          <w:tcPr>
            <w:tcW w:w="1520" w:type="dxa"/>
            <w:vAlign w:val="bottom"/>
          </w:tcPr>
          <w:p>
            <w:pPr>
              <w:spacing w:after="0"/>
              <w:rPr>
                <w:sz w:val="24"/>
                <w:szCs w:val="24"/>
                <w:color w:val="auto"/>
              </w:rPr>
            </w:pPr>
          </w:p>
        </w:tc>
      </w:tr>
      <w:tr>
        <w:trPr>
          <w:trHeight w:val="230"/>
        </w:trPr>
        <w:tc>
          <w:tcPr>
            <w:tcW w:w="6340" w:type="dxa"/>
            <w:vAlign w:val="bottom"/>
          </w:tcPr>
          <w:p>
            <w:pPr>
              <w:jc w:val="center"/>
              <w:ind w:left="2163"/>
              <w:spacing w:after="0"/>
              <w:rPr>
                <w:sz w:val="20"/>
                <w:szCs w:val="20"/>
                <w:color w:val="auto"/>
              </w:rPr>
            </w:pPr>
            <w:r>
              <w:rPr>
                <w:rFonts w:ascii="Arial" w:cs="Arial" w:eastAsia="Arial" w:hAnsi="Arial"/>
                <w:sz w:val="18"/>
                <w:szCs w:val="18"/>
                <w:color w:val="auto"/>
                <w:w w:val="88"/>
              </w:rPr>
              <w:t>(Exact name of Registrant as specified in its charter)</w:t>
            </w:r>
          </w:p>
        </w:tc>
        <w:tc>
          <w:tcPr>
            <w:tcW w:w="1520" w:type="dxa"/>
            <w:vAlign w:val="bottom"/>
          </w:tcPr>
          <w:p>
            <w:pPr>
              <w:spacing w:after="0"/>
              <w:rPr>
                <w:sz w:val="20"/>
                <w:szCs w:val="20"/>
                <w:color w:val="auto"/>
              </w:rPr>
            </w:pPr>
          </w:p>
        </w:tc>
      </w:tr>
      <w:tr>
        <w:trPr>
          <w:trHeight w:val="418"/>
        </w:trPr>
        <w:tc>
          <w:tcPr>
            <w:tcW w:w="6340" w:type="dxa"/>
            <w:vAlign w:val="bottom"/>
          </w:tcPr>
          <w:p>
            <w:pPr>
              <w:jc w:val="center"/>
              <w:ind w:right="3463"/>
              <w:spacing w:after="0"/>
              <w:rPr>
                <w:sz w:val="20"/>
                <w:szCs w:val="20"/>
                <w:color w:val="auto"/>
              </w:rPr>
            </w:pPr>
            <w:r>
              <w:rPr>
                <w:rFonts w:ascii="Arial" w:cs="Arial" w:eastAsia="Arial" w:hAnsi="Arial"/>
                <w:sz w:val="18"/>
                <w:szCs w:val="18"/>
                <w:b w:val="1"/>
                <w:bCs w:val="1"/>
                <w:color w:val="auto"/>
                <w:w w:val="87"/>
              </w:rPr>
              <w:t>Minnesota</w:t>
            </w:r>
          </w:p>
        </w:tc>
        <w:tc>
          <w:tcPr>
            <w:tcW w:w="1520" w:type="dxa"/>
            <w:vAlign w:val="bottom"/>
          </w:tcPr>
          <w:p>
            <w:pPr>
              <w:jc w:val="center"/>
              <w:ind w:left="70"/>
              <w:spacing w:after="0"/>
              <w:rPr>
                <w:sz w:val="20"/>
                <w:szCs w:val="20"/>
                <w:color w:val="auto"/>
              </w:rPr>
            </w:pPr>
            <w:r>
              <w:rPr>
                <w:rFonts w:ascii="Arial" w:cs="Arial" w:eastAsia="Arial" w:hAnsi="Arial"/>
                <w:sz w:val="18"/>
                <w:szCs w:val="18"/>
                <w:b w:val="1"/>
                <w:bCs w:val="1"/>
                <w:color w:val="auto"/>
                <w:w w:val="87"/>
              </w:rPr>
              <w:t>41-0771293</w:t>
            </w:r>
          </w:p>
        </w:tc>
      </w:tr>
      <w:tr>
        <w:trPr>
          <w:trHeight w:val="216"/>
        </w:trPr>
        <w:tc>
          <w:tcPr>
            <w:tcW w:w="6340" w:type="dxa"/>
            <w:vAlign w:val="bottom"/>
          </w:tcPr>
          <w:p>
            <w:pPr>
              <w:jc w:val="center"/>
              <w:ind w:right="3463"/>
              <w:spacing w:after="0"/>
              <w:rPr>
                <w:sz w:val="20"/>
                <w:szCs w:val="20"/>
                <w:color w:val="auto"/>
              </w:rPr>
            </w:pPr>
            <w:r>
              <w:rPr>
                <w:rFonts w:ascii="Arial" w:cs="Arial" w:eastAsia="Arial" w:hAnsi="Arial"/>
                <w:sz w:val="18"/>
                <w:szCs w:val="18"/>
                <w:color w:val="auto"/>
                <w:w w:val="89"/>
              </w:rPr>
              <w:t>(State or other jurisdiction of</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w w:val="90"/>
              </w:rPr>
              <w:t>(I.R.S. Employer</w:t>
            </w:r>
          </w:p>
        </w:tc>
      </w:tr>
      <w:tr>
        <w:trPr>
          <w:trHeight w:val="230"/>
        </w:trPr>
        <w:tc>
          <w:tcPr>
            <w:tcW w:w="6340" w:type="dxa"/>
            <w:vAlign w:val="bottom"/>
          </w:tcPr>
          <w:p>
            <w:pPr>
              <w:jc w:val="center"/>
              <w:ind w:right="3463"/>
              <w:spacing w:after="0"/>
              <w:rPr>
                <w:sz w:val="20"/>
                <w:szCs w:val="20"/>
                <w:color w:val="auto"/>
              </w:rPr>
            </w:pPr>
            <w:r>
              <w:rPr>
                <w:rFonts w:ascii="Arial" w:cs="Arial" w:eastAsia="Arial" w:hAnsi="Arial"/>
                <w:sz w:val="18"/>
                <w:szCs w:val="18"/>
                <w:color w:val="auto"/>
                <w:w w:val="89"/>
              </w:rPr>
              <w:t>incorporation or organization)</w:t>
            </w:r>
          </w:p>
        </w:tc>
        <w:tc>
          <w:tcPr>
            <w:tcW w:w="1520" w:type="dxa"/>
            <w:vAlign w:val="bottom"/>
          </w:tcPr>
          <w:p>
            <w:pPr>
              <w:jc w:val="center"/>
              <w:ind w:left="130"/>
              <w:spacing w:after="0"/>
              <w:rPr>
                <w:sz w:val="20"/>
                <w:szCs w:val="20"/>
                <w:color w:val="auto"/>
              </w:rPr>
            </w:pPr>
            <w:r>
              <w:rPr>
                <w:rFonts w:ascii="Arial" w:cs="Arial" w:eastAsia="Arial" w:hAnsi="Arial"/>
                <w:sz w:val="18"/>
                <w:szCs w:val="18"/>
                <w:color w:val="auto"/>
                <w:w w:val="92"/>
              </w:rPr>
              <w:t>Identification No.)</w:t>
            </w:r>
          </w:p>
        </w:tc>
      </w:tr>
      <w:tr>
        <w:trPr>
          <w:trHeight w:val="414"/>
        </w:trPr>
        <w:tc>
          <w:tcPr>
            <w:tcW w:w="6340" w:type="dxa"/>
            <w:vAlign w:val="bottom"/>
          </w:tcPr>
          <w:p>
            <w:pPr>
              <w:jc w:val="center"/>
              <w:ind w:right="3463"/>
              <w:spacing w:after="0"/>
              <w:rPr>
                <w:sz w:val="20"/>
                <w:szCs w:val="20"/>
                <w:color w:val="auto"/>
              </w:rPr>
            </w:pPr>
            <w:r>
              <w:rPr>
                <w:rFonts w:ascii="Arial" w:cs="Arial" w:eastAsia="Arial" w:hAnsi="Arial"/>
                <w:sz w:val="18"/>
                <w:szCs w:val="18"/>
                <w:b w:val="1"/>
                <w:bCs w:val="1"/>
                <w:color w:val="auto"/>
                <w:w w:val="87"/>
              </w:rPr>
              <w:t>3100 East Hennepin Avenue</w:t>
            </w:r>
          </w:p>
        </w:tc>
        <w:tc>
          <w:tcPr>
            <w:tcW w:w="1520" w:type="dxa"/>
            <w:vAlign w:val="bottom"/>
          </w:tcPr>
          <w:p>
            <w:pPr>
              <w:spacing w:after="0"/>
              <w:rPr>
                <w:sz w:val="24"/>
                <w:szCs w:val="24"/>
                <w:color w:val="auto"/>
              </w:rPr>
            </w:pPr>
          </w:p>
        </w:tc>
      </w:tr>
      <w:tr>
        <w:trPr>
          <w:trHeight w:val="220"/>
        </w:trPr>
        <w:tc>
          <w:tcPr>
            <w:tcW w:w="6340" w:type="dxa"/>
            <w:vAlign w:val="bottom"/>
          </w:tcPr>
          <w:p>
            <w:pPr>
              <w:jc w:val="center"/>
              <w:ind w:right="3463"/>
              <w:spacing w:after="0"/>
              <w:rPr>
                <w:sz w:val="20"/>
                <w:szCs w:val="20"/>
                <w:color w:val="auto"/>
              </w:rPr>
            </w:pPr>
            <w:r>
              <w:rPr>
                <w:rFonts w:ascii="Arial" w:cs="Arial" w:eastAsia="Arial" w:hAnsi="Arial"/>
                <w:sz w:val="18"/>
                <w:szCs w:val="18"/>
                <w:b w:val="1"/>
                <w:bCs w:val="1"/>
                <w:color w:val="auto"/>
                <w:w w:val="89"/>
              </w:rPr>
              <w:t>Minneapolis, Minnesota</w:t>
            </w:r>
          </w:p>
        </w:tc>
        <w:tc>
          <w:tcPr>
            <w:tcW w:w="152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55413</w:t>
            </w:r>
          </w:p>
        </w:tc>
      </w:tr>
      <w:tr>
        <w:trPr>
          <w:trHeight w:val="230"/>
        </w:trPr>
        <w:tc>
          <w:tcPr>
            <w:tcW w:w="6340" w:type="dxa"/>
            <w:vAlign w:val="bottom"/>
          </w:tcPr>
          <w:p>
            <w:pPr>
              <w:jc w:val="center"/>
              <w:ind w:right="3463"/>
              <w:spacing w:after="0"/>
              <w:rPr>
                <w:sz w:val="20"/>
                <w:szCs w:val="20"/>
                <w:color w:val="auto"/>
              </w:rPr>
            </w:pPr>
            <w:r>
              <w:rPr>
                <w:rFonts w:ascii="Arial" w:cs="Arial" w:eastAsia="Arial" w:hAnsi="Arial"/>
                <w:sz w:val="18"/>
                <w:szCs w:val="18"/>
                <w:color w:val="auto"/>
                <w:w w:val="90"/>
              </w:rPr>
              <w:t>(Address of principal executive offices)</w:t>
            </w:r>
          </w:p>
        </w:tc>
        <w:tc>
          <w:tcPr>
            <w:tcW w:w="1520" w:type="dxa"/>
            <w:vAlign w:val="bottom"/>
          </w:tcPr>
          <w:p>
            <w:pPr>
              <w:jc w:val="center"/>
              <w:ind w:left="130"/>
              <w:spacing w:after="0"/>
              <w:rPr>
                <w:sz w:val="20"/>
                <w:szCs w:val="20"/>
                <w:color w:val="auto"/>
              </w:rPr>
            </w:pPr>
            <w:r>
              <w:rPr>
                <w:rFonts w:ascii="Arial" w:cs="Arial" w:eastAsia="Arial" w:hAnsi="Arial"/>
                <w:sz w:val="18"/>
                <w:szCs w:val="18"/>
                <w:color w:val="auto"/>
                <w:w w:val="91"/>
              </w:rPr>
              <w:t>(Zip Code)</w:t>
            </w:r>
          </w:p>
        </w:tc>
      </w:tr>
      <w:tr>
        <w:trPr>
          <w:trHeight w:val="418"/>
        </w:trPr>
        <w:tc>
          <w:tcPr>
            <w:tcW w:w="6340" w:type="dxa"/>
            <w:vAlign w:val="bottom"/>
          </w:tcPr>
          <w:p>
            <w:pPr>
              <w:jc w:val="center"/>
              <w:ind w:left="2163"/>
              <w:spacing w:after="0"/>
              <w:rPr>
                <w:sz w:val="20"/>
                <w:szCs w:val="20"/>
                <w:color w:val="auto"/>
              </w:rPr>
            </w:pPr>
            <w:r>
              <w:rPr>
                <w:rFonts w:ascii="Arial" w:cs="Arial" w:eastAsia="Arial" w:hAnsi="Arial"/>
                <w:sz w:val="18"/>
                <w:szCs w:val="18"/>
                <w:b w:val="1"/>
                <w:bCs w:val="1"/>
                <w:color w:val="auto"/>
                <w:w w:val="89"/>
              </w:rPr>
              <w:t>Hawkins, Inc. 2004 Omnibus Stock Plan</w:t>
            </w:r>
          </w:p>
        </w:tc>
        <w:tc>
          <w:tcPr>
            <w:tcW w:w="1520" w:type="dxa"/>
            <w:vAlign w:val="bottom"/>
          </w:tcPr>
          <w:p>
            <w:pPr>
              <w:spacing w:after="0"/>
              <w:rPr>
                <w:sz w:val="24"/>
                <w:szCs w:val="24"/>
                <w:color w:val="auto"/>
              </w:rPr>
            </w:pPr>
          </w:p>
        </w:tc>
      </w:tr>
      <w:tr>
        <w:trPr>
          <w:trHeight w:val="230"/>
        </w:trPr>
        <w:tc>
          <w:tcPr>
            <w:tcW w:w="6340" w:type="dxa"/>
            <w:vAlign w:val="bottom"/>
          </w:tcPr>
          <w:p>
            <w:pPr>
              <w:jc w:val="center"/>
              <w:ind w:left="2143"/>
              <w:spacing w:after="0"/>
              <w:rPr>
                <w:sz w:val="20"/>
                <w:szCs w:val="20"/>
                <w:color w:val="auto"/>
              </w:rPr>
            </w:pPr>
            <w:r>
              <w:rPr>
                <w:rFonts w:ascii="Arial" w:cs="Arial" w:eastAsia="Arial" w:hAnsi="Arial"/>
                <w:sz w:val="18"/>
                <w:szCs w:val="18"/>
                <w:color w:val="auto"/>
                <w:w w:val="91"/>
              </w:rPr>
              <w:t>(Full title of the plan)</w:t>
            </w:r>
          </w:p>
        </w:tc>
        <w:tc>
          <w:tcPr>
            <w:tcW w:w="152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Marvin E. Dee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Vice President, Chief Financial Officer, Secretary and Treasurer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3100 East Hennepin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Minneapolis, Minnesota 55413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194310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 Morgan Burns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Faegre &amp; Benson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2200 Wells Fargo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 South Seventh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Minneapolis, Minnesota 55402-3901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86"/>
              </w:rPr>
              <w:t>Proposed</w:t>
            </w:r>
          </w:p>
        </w:tc>
        <w:tc>
          <w:tcPr>
            <w:tcW w:w="400" w:type="dxa"/>
            <w:vAlign w:val="bottom"/>
          </w:tcPr>
          <w:p>
            <w:pPr>
              <w:spacing w:after="0"/>
              <w:rPr>
                <w:sz w:val="14"/>
                <w:szCs w:val="14"/>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Proposed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Title of</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7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maximum</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vMerge w:val="restart"/>
          </w:tcPr>
          <w:p>
            <w:pPr>
              <w:jc w:val="center"/>
              <w:ind w:right="304"/>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maximum</w:t>
            </w:r>
          </w:p>
        </w:tc>
        <w:tc>
          <w:tcPr>
            <w:tcW w:w="400" w:type="dxa"/>
            <w:vAlign w:val="bottom"/>
          </w:tcPr>
          <w:p>
            <w:pPr>
              <w:spacing w:after="0"/>
              <w:rPr>
                <w:sz w:val="12"/>
                <w:szCs w:val="12"/>
                <w:color w:val="auto"/>
              </w:rPr>
            </w:pPr>
          </w:p>
        </w:tc>
        <w:tc>
          <w:tcPr>
            <w:tcW w:w="17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aggregate</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 to</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400" w:type="dxa"/>
            <w:vAlign w:val="bottom"/>
          </w:tcPr>
          <w:p>
            <w:pPr>
              <w:spacing w:after="0"/>
              <w:rPr>
                <w:sz w:val="12"/>
                <w:szCs w:val="12"/>
                <w:color w:val="auto"/>
              </w:rPr>
            </w:pPr>
          </w:p>
        </w:tc>
        <w:tc>
          <w:tcPr>
            <w:tcW w:w="17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offering</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jc w:val="center"/>
              <w:ind w:right="284"/>
              <w:spacing w:after="0" w:line="149" w:lineRule="exact"/>
              <w:rPr>
                <w:sz w:val="20"/>
                <w:szCs w:val="20"/>
                <w:color w:val="auto"/>
              </w:rPr>
            </w:pPr>
            <w:r>
              <w:rPr>
                <w:rFonts w:ascii="Arial" w:cs="Arial" w:eastAsia="Arial" w:hAnsi="Arial"/>
                <w:sz w:val="14"/>
                <w:szCs w:val="14"/>
                <w:b w:val="1"/>
                <w:bCs w:val="1"/>
                <w:color w:val="auto"/>
                <w:w w:val="93"/>
              </w:rPr>
              <w:t>registration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be registered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per share (2)</w:t>
            </w:r>
          </w:p>
        </w:tc>
        <w:tc>
          <w:tcPr>
            <w:tcW w:w="400" w:type="dxa"/>
            <w:vAlign w:val="bottom"/>
          </w:tcPr>
          <w:p>
            <w:pPr>
              <w:spacing w:after="0"/>
              <w:rPr>
                <w:sz w:val="14"/>
                <w:szCs w:val="14"/>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price</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tcPr>
          <w:p>
            <w:pPr>
              <w:jc w:val="center"/>
              <w:ind w:right="304"/>
              <w:spacing w:after="0"/>
              <w:rPr>
                <w:sz w:val="20"/>
                <w:szCs w:val="20"/>
                <w:color w:val="auto"/>
              </w:rPr>
            </w:pPr>
            <w:r>
              <w:rPr>
                <w:rFonts w:ascii="Arial" w:cs="Arial" w:eastAsia="Arial" w:hAnsi="Arial"/>
                <w:sz w:val="14"/>
                <w:szCs w:val="14"/>
                <w:b w:val="1"/>
                <w:bCs w:val="1"/>
                <w:color w:val="auto"/>
                <w:w w:val="88"/>
              </w:rPr>
              <w:t>fee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Common Stock, $.05</w:t>
            </w:r>
          </w:p>
        </w:tc>
        <w:tc>
          <w:tcPr>
            <w:tcW w:w="240" w:type="dxa"/>
            <w:vAlign w:val="bottom"/>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par value per share</w:t>
            </w: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350,000 shares</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11.97</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4,189,500.00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494.00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775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71" w:lineRule="exact"/>
        <w:rPr>
          <w:sz w:val="24"/>
          <w:szCs w:val="24"/>
          <w:color w:val="auto"/>
        </w:rPr>
      </w:pPr>
    </w:p>
    <w:p>
      <w:pPr>
        <w:ind w:left="340" w:right="60" w:hanging="332"/>
        <w:spacing w:after="0" w:line="308" w:lineRule="auto"/>
        <w:tabs>
          <w:tab w:leader="none" w:pos="361"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 under the Securities Act of 1933, as amended, this Registration Statement includes an indeterminate number of additional shares as may be issuable as a result of a stock split, stock dividend or similar adjustment of the outstanding common shares of the Registrant.</w:t>
      </w:r>
    </w:p>
    <w:p>
      <w:pPr>
        <w:spacing w:after="0" w:line="146" w:lineRule="exact"/>
        <w:rPr>
          <w:rFonts w:ascii="Arial" w:cs="Arial" w:eastAsia="Arial" w:hAnsi="Arial"/>
          <w:sz w:val="17"/>
          <w:szCs w:val="17"/>
          <w:color w:val="auto"/>
        </w:rPr>
      </w:pPr>
    </w:p>
    <w:p>
      <w:pPr>
        <w:ind w:left="340" w:right="440" w:hanging="332"/>
        <w:spacing w:after="0" w:line="381" w:lineRule="auto"/>
        <w:tabs>
          <w:tab w:leader="none" w:pos="361"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amount of the registration fee pursuant to Rule 457(h)(1) under the Securities Act, based on the average of the high and low sales prices per share of the Registrant’s common stock on February 28, 2005, as reported on the Nasdaq National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370840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INFORMATION REQUIRED IN THE REGISTRATION STATEMENT</w:t>
      </w:r>
    </w:p>
    <w:p>
      <w:pPr>
        <w:sectPr>
          <w:pgSz w:w="11900" w:h="16838" w:orient="portrait"/>
          <w:cols w:equalWidth="0" w:num="1">
            <w:col w:w="11420"/>
          </w:cols>
          <w:pgMar w:left="240" w:top="233"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following documents of Hawkins, Inc. filed with the Securities and Exchange Commission (the “Commission”) pursuant to the Securities Exchange Act of 1934, as amended (the “Exchange Act”), are, as of their respective dates, incorporated herein by reference and made a part hereof:</w:t>
      </w:r>
    </w:p>
    <w:p>
      <w:pPr>
        <w:spacing w:after="0" w:line="147" w:lineRule="exact"/>
        <w:rPr>
          <w:sz w:val="20"/>
          <w:szCs w:val="20"/>
          <w:color w:val="auto"/>
        </w:rPr>
      </w:pPr>
    </w:p>
    <w:p>
      <w:pPr>
        <w:ind w:left="1300" w:right="120" w:firstLine="653"/>
        <w:spacing w:after="0" w:line="277" w:lineRule="auto"/>
        <w:tabs>
          <w:tab w:leader="none" w:pos="255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Annual Report on Form 10-K of Hawkins, Inc. for the fiscal year ended March 28, 2004 filed pursuant to Section 13 of the Exchange Act (No. 0-7647);</w:t>
      </w:r>
    </w:p>
    <w:p>
      <w:pPr>
        <w:spacing w:after="0" w:line="170" w:lineRule="exact"/>
        <w:rPr>
          <w:rFonts w:ascii="Arial" w:cs="Arial" w:eastAsia="Arial" w:hAnsi="Arial"/>
          <w:sz w:val="18"/>
          <w:szCs w:val="18"/>
          <w:color w:val="auto"/>
        </w:rPr>
      </w:pPr>
    </w:p>
    <w:p>
      <w:pPr>
        <w:ind w:left="1300" w:right="140" w:firstLine="653"/>
        <w:spacing w:after="0" w:line="277" w:lineRule="auto"/>
        <w:tabs>
          <w:tab w:leader="none" w:pos="255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Annual Report referred to in (1) above; and</w:t>
      </w:r>
    </w:p>
    <w:p>
      <w:pPr>
        <w:spacing w:after="0" w:line="170" w:lineRule="exact"/>
        <w:rPr>
          <w:rFonts w:ascii="Arial" w:cs="Arial" w:eastAsia="Arial" w:hAnsi="Arial"/>
          <w:sz w:val="18"/>
          <w:szCs w:val="18"/>
          <w:color w:val="auto"/>
        </w:rPr>
      </w:pPr>
    </w:p>
    <w:p>
      <w:pPr>
        <w:ind w:left="1300" w:right="260" w:firstLine="653"/>
        <w:spacing w:after="0" w:line="277" w:lineRule="auto"/>
        <w:tabs>
          <w:tab w:leader="none" w:pos="255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which is included in registration statements and reports filed under the Exchange Act from time to time.</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All reports and other documents filed by the Registrant pursuant to Sections 13(a), 13(c), 14 or 15(d) of the Exchange Act subsequent to the date of this Registration Statement and prior to the filing of a post-effective amendment that indicates that all of the shares of Common Stock offered have been sold or that deregisters all shares of the Common Stock then remaining unsold shall be deemed to be incorporated by reference in and a part of this Registration Statement from the date of filing of such documents.</w:t>
      </w:r>
    </w:p>
    <w:p>
      <w:pPr>
        <w:spacing w:after="0" w:line="18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incorporated herein by reference or in any other subsequently filed document that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right="40" w:firstLine="661"/>
        <w:spacing w:after="0" w:line="310" w:lineRule="auto"/>
        <w:rPr>
          <w:sz w:val="20"/>
          <w:szCs w:val="20"/>
          <w:color w:val="auto"/>
        </w:rPr>
      </w:pPr>
      <w:r>
        <w:rPr>
          <w:rFonts w:ascii="Arial" w:cs="Arial" w:eastAsia="Arial" w:hAnsi="Arial"/>
          <w:sz w:val="15"/>
          <w:szCs w:val="15"/>
          <w:color w:val="auto"/>
        </w:rPr>
        <w:t>The Registrant’s By-laws provide that each director and officer of the Registrant shall be indemnified by the Registrant in the manner and to the extent allowed by Minnesota Statutes Section 302A.521. Section 302A.521 of the Minnesota Statutes provides in substance that, unless prohibited by its articles of incorporation or bylaws, a corporation must indemnify an officer or director who is made or threatened to be made a party to a proceeding by reason of his or her official capacity against judgments, penalties, fines, including, without limitation, excise taxes assessed against the person with respect to an employee benefit plan, settlements and reasonable expenses, including attorneys’ fees and disbursements, incurred by such person in connection with the proceeding, if certain criteria are met. These criteria, all of which must be met by the person complained of in the proceeding, are (a) that such person has not been indemnified by another organization for the same judgments, penalties, fines, settlements and expenses; (b) that such person must have acted in good faith; (c) that no improper personal benefit was obtained by such person and such person satisfied certain statutory conflicts of interest provisions, if applicable; (d) that in the case of a criminal proceeding, such person had no reasonable cause to believe that the conduct was unlawful; and (e) that such person must have acted in a manner</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100"/>
        <w:spacing w:after="0" w:line="340" w:lineRule="auto"/>
        <w:rPr>
          <w:sz w:val="20"/>
          <w:szCs w:val="20"/>
          <w:color w:val="auto"/>
        </w:rPr>
      </w:pPr>
      <w:r>
        <w:rPr>
          <w:rFonts w:ascii="Arial" w:cs="Arial" w:eastAsia="Arial" w:hAnsi="Arial"/>
          <w:sz w:val="15"/>
          <w:szCs w:val="15"/>
          <w:color w:val="auto"/>
        </w:rPr>
        <w:t>he or she reasonably believed was in the best interests of the corporation or, in certain limited circumstances, not opposed to the best interests of the corporation. The determination as to eligibility for indemnification is made by the members of the corporation’s board of directors or a committee of the board who are at the time not parties to the proceedings under consideration, by special legal counsel, by the shareholders who are not parties to the proceedings or by a court.</w:t>
      </w:r>
    </w:p>
    <w:p>
      <w:pPr>
        <w:spacing w:after="0" w:line="13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Registrant’s Articles of Incorporation provide that a director of the Registrant shall not be personally liable to the Registrant or its shareholders for monetary damages for breach of fiduciary duty as a director, except to the extent such exemption from liability or limitation is not permitted under Minnesota Statutes Chapter 302A.</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or persons controlling the Registrant pursuant to the foregoing provisions, the Registrant has been informed that in the opinion of the Commission, such indemnification is against public policy as expressed in the Securities Act of 1933, and is therefore unenforceable.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Registrant maintains a director and officer insurance policy to cover the Registrant, its directors and its officers against certain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9520" w:type="dxa"/>
            <w:vAlign w:val="bottom"/>
          </w:tcPr>
          <w:p>
            <w:pPr>
              <w:spacing w:after="0"/>
              <w:rPr>
                <w:sz w:val="14"/>
                <w:szCs w:val="14"/>
                <w:color w:val="auto"/>
              </w:rPr>
            </w:pPr>
          </w:p>
        </w:tc>
      </w:tr>
      <w:tr>
        <w:trPr>
          <w:trHeight w:val="398"/>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9520" w:type="dxa"/>
            <w:vAlign w:val="bottom"/>
          </w:tcPr>
          <w:p>
            <w:pPr>
              <w:ind w:left="220"/>
              <w:spacing w:after="0"/>
              <w:rPr>
                <w:sz w:val="20"/>
                <w:szCs w:val="20"/>
                <w:color w:val="auto"/>
              </w:rPr>
            </w:pPr>
            <w:r>
              <w:rPr>
                <w:rFonts w:ascii="Arial" w:cs="Arial" w:eastAsia="Arial" w:hAnsi="Arial"/>
                <w:sz w:val="18"/>
                <w:szCs w:val="18"/>
                <w:color w:val="auto"/>
                <w:w w:val="96"/>
              </w:rPr>
              <w:t>Amended and Second Restated Articles of Incorporation as amended through February 27, 2001 (incorporated herein by</w:t>
            </w:r>
          </w:p>
        </w:tc>
      </w:tr>
      <w:tr>
        <w:trPr>
          <w:trHeight w:val="230"/>
        </w:trPr>
        <w:tc>
          <w:tcPr>
            <w:tcW w:w="880" w:type="dxa"/>
            <w:vAlign w:val="bottom"/>
          </w:tcPr>
          <w:p>
            <w:pPr>
              <w:spacing w:after="0"/>
              <w:rPr>
                <w:sz w:val="20"/>
                <w:szCs w:val="20"/>
                <w:color w:val="auto"/>
              </w:rPr>
            </w:pPr>
          </w:p>
        </w:tc>
        <w:tc>
          <w:tcPr>
            <w:tcW w:w="9520" w:type="dxa"/>
            <w:vAlign w:val="bottom"/>
          </w:tcPr>
          <w:p>
            <w:pPr>
              <w:ind w:left="220"/>
              <w:spacing w:after="0"/>
              <w:rPr>
                <w:sz w:val="20"/>
                <w:szCs w:val="20"/>
                <w:color w:val="auto"/>
              </w:rPr>
            </w:pPr>
            <w:r>
              <w:rPr>
                <w:rFonts w:ascii="Arial" w:cs="Arial" w:eastAsia="Arial" w:hAnsi="Arial"/>
                <w:sz w:val="18"/>
                <w:szCs w:val="18"/>
                <w:color w:val="auto"/>
              </w:rPr>
              <w:t>reference to Exhibit 3.1 to the Registrant’s Annual Report on Form 10-K for the year ended September 30, 2001).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9520" w:type="dxa"/>
            <w:vAlign w:val="bottom"/>
          </w:tcPr>
          <w:p>
            <w:pPr>
              <w:ind w:left="220"/>
              <w:spacing w:after="0"/>
              <w:rPr>
                <w:sz w:val="20"/>
                <w:szCs w:val="20"/>
                <w:color w:val="auto"/>
              </w:rPr>
            </w:pPr>
            <w:r>
              <w:rPr>
                <w:rFonts w:ascii="Arial" w:cs="Arial" w:eastAsia="Arial" w:hAnsi="Arial"/>
                <w:sz w:val="18"/>
                <w:szCs w:val="18"/>
                <w:color w:val="auto"/>
                <w:w w:val="90"/>
              </w:rPr>
              <w:t>Second Amended and Superseding By-Laws as amended through February 15, 1995 (incorporated herein by reference to Exhibit</w:t>
            </w:r>
          </w:p>
        </w:tc>
      </w:tr>
      <w:tr>
        <w:trPr>
          <w:trHeight w:val="230"/>
        </w:trPr>
        <w:tc>
          <w:tcPr>
            <w:tcW w:w="880" w:type="dxa"/>
            <w:vAlign w:val="bottom"/>
          </w:tcPr>
          <w:p>
            <w:pPr>
              <w:spacing w:after="0"/>
              <w:rPr>
                <w:sz w:val="20"/>
                <w:szCs w:val="20"/>
                <w:color w:val="auto"/>
              </w:rPr>
            </w:pPr>
          </w:p>
        </w:tc>
        <w:tc>
          <w:tcPr>
            <w:tcW w:w="9520" w:type="dxa"/>
            <w:vAlign w:val="bottom"/>
          </w:tcPr>
          <w:p>
            <w:pPr>
              <w:ind w:left="220"/>
              <w:spacing w:after="0"/>
              <w:rPr>
                <w:sz w:val="20"/>
                <w:szCs w:val="20"/>
                <w:color w:val="auto"/>
              </w:rPr>
            </w:pPr>
            <w:r>
              <w:rPr>
                <w:rFonts w:ascii="Arial" w:cs="Arial" w:eastAsia="Arial" w:hAnsi="Arial"/>
                <w:sz w:val="18"/>
                <w:szCs w:val="18"/>
                <w:color w:val="auto"/>
              </w:rPr>
              <w:t>3.2 to the Company’s Annual Report on Form 10-K for the year ended October 1, 1995).</w:t>
            </w:r>
          </w:p>
        </w:tc>
      </w:tr>
    </w:tbl>
    <w:p>
      <w:pPr>
        <w:sectPr>
          <w:pgSz w:w="11900" w:h="16838" w:orient="portrait"/>
          <w:cols w:equalWidth="0" w:num="1">
            <w:col w:w="11380"/>
          </w:cols>
          <w:pgMar w:left="240" w:top="337" w:right="279" w:bottom="0" w:gutter="0" w:footer="0" w:header="0"/>
        </w:sectPr>
      </w:pPr>
    </w:p>
    <w:bookmarkStart w:id="2" w:name="page3"/>
    <w:bookmarkEnd w:id="2"/>
    <w:p>
      <w:pPr>
        <w:ind w:left="1760" w:hanging="1091"/>
        <w:spacing w:after="0"/>
        <w:tabs>
          <w:tab w:leader="none" w:pos="1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Opinion of Faegre &amp; Benson LLP, counsel for the Registrant.</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9600" w:type="dxa"/>
            <w:vAlign w:val="bottom"/>
          </w:tcPr>
          <w:p>
            <w:pPr>
              <w:ind w:left="380"/>
              <w:spacing w:after="0"/>
              <w:rPr>
                <w:sz w:val="20"/>
                <w:szCs w:val="20"/>
                <w:color w:val="auto"/>
              </w:rPr>
            </w:pPr>
            <w:r>
              <w:rPr>
                <w:rFonts w:ascii="Arial" w:cs="Arial" w:eastAsia="Arial" w:hAnsi="Arial"/>
                <w:sz w:val="18"/>
                <w:szCs w:val="18"/>
                <w:color w:val="auto"/>
              </w:rPr>
              <w:t>Consent of Faegre &amp; Benson LLP (included in Exhibit 5 to this Registration Statement).</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9600" w:type="dxa"/>
            <w:vAlign w:val="bottom"/>
          </w:tcPr>
          <w:p>
            <w:pPr>
              <w:ind w:left="380"/>
              <w:spacing w:after="0"/>
              <w:rPr>
                <w:sz w:val="20"/>
                <w:szCs w:val="20"/>
                <w:color w:val="auto"/>
              </w:rPr>
            </w:pPr>
            <w:r>
              <w:rPr>
                <w:rFonts w:ascii="Arial" w:cs="Arial" w:eastAsia="Arial" w:hAnsi="Arial"/>
                <w:sz w:val="18"/>
                <w:szCs w:val="18"/>
                <w:color w:val="auto"/>
              </w:rPr>
              <w:t>Consent of Deloitte &amp; Touche LLP.</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24</w:t>
            </w:r>
          </w:p>
        </w:tc>
        <w:tc>
          <w:tcPr>
            <w:tcW w:w="9600" w:type="dxa"/>
            <w:vAlign w:val="bottom"/>
          </w:tcPr>
          <w:p>
            <w:pPr>
              <w:ind w:left="380"/>
              <w:spacing w:after="0"/>
              <w:rPr>
                <w:sz w:val="20"/>
                <w:szCs w:val="20"/>
                <w:color w:val="auto"/>
              </w:rPr>
            </w:pPr>
            <w:r>
              <w:rPr>
                <w:rFonts w:ascii="Arial" w:cs="Arial" w:eastAsia="Arial" w:hAnsi="Arial"/>
                <w:sz w:val="18"/>
                <w:szCs w:val="18"/>
                <w:color w:val="auto"/>
              </w:rPr>
              <w:t>Powers of Attorney (included with signatures to this Registration Statement).</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9600" w:type="dxa"/>
            <w:vAlign w:val="bottom"/>
          </w:tcPr>
          <w:p>
            <w:pPr>
              <w:ind w:left="380"/>
              <w:spacing w:after="0"/>
              <w:rPr>
                <w:sz w:val="20"/>
                <w:szCs w:val="20"/>
                <w:color w:val="auto"/>
              </w:rPr>
            </w:pPr>
            <w:r>
              <w:rPr>
                <w:rFonts w:ascii="Arial" w:cs="Arial" w:eastAsia="Arial" w:hAnsi="Arial"/>
                <w:sz w:val="18"/>
                <w:szCs w:val="18"/>
                <w:color w:val="auto"/>
                <w:w w:val="89"/>
              </w:rPr>
              <w:t>Hawkins, Inc. 2004 Omnibus Stock Plan (incorporated herein by reference to Appendix B to the Company’s Proxy Statement filed</w:t>
            </w:r>
          </w:p>
        </w:tc>
      </w:tr>
      <w:tr>
        <w:trPr>
          <w:trHeight w:val="230"/>
        </w:trPr>
        <w:tc>
          <w:tcPr>
            <w:tcW w:w="720" w:type="dxa"/>
            <w:vAlign w:val="bottom"/>
          </w:tcPr>
          <w:p>
            <w:pPr>
              <w:spacing w:after="0"/>
              <w:rPr>
                <w:sz w:val="20"/>
                <w:szCs w:val="20"/>
                <w:color w:val="auto"/>
              </w:rPr>
            </w:pPr>
          </w:p>
        </w:tc>
        <w:tc>
          <w:tcPr>
            <w:tcW w:w="9600" w:type="dxa"/>
            <w:vAlign w:val="bottom"/>
          </w:tcPr>
          <w:p>
            <w:pPr>
              <w:ind w:left="380"/>
              <w:spacing w:after="0"/>
              <w:rPr>
                <w:sz w:val="20"/>
                <w:szCs w:val="20"/>
                <w:color w:val="auto"/>
              </w:rPr>
            </w:pPr>
            <w:r>
              <w:rPr>
                <w:rFonts w:ascii="Arial" w:cs="Arial" w:eastAsia="Arial" w:hAnsi="Arial"/>
                <w:sz w:val="18"/>
                <w:szCs w:val="18"/>
                <w:color w:val="auto"/>
              </w:rPr>
              <w:t>with the Commission on July 23, 2004).</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9600" w:type="dxa"/>
            <w:vAlign w:val="bottom"/>
          </w:tcPr>
          <w:p>
            <w:pPr>
              <w:ind w:left="380"/>
              <w:spacing w:after="0"/>
              <w:rPr>
                <w:sz w:val="20"/>
                <w:szCs w:val="20"/>
                <w:color w:val="auto"/>
              </w:rPr>
            </w:pPr>
            <w:r>
              <w:rPr>
                <w:rFonts w:ascii="Arial" w:cs="Arial" w:eastAsia="Arial" w:hAnsi="Arial"/>
                <w:sz w:val="18"/>
                <w:szCs w:val="18"/>
                <w:color w:val="auto"/>
                <w:w w:val="91"/>
              </w:rPr>
              <w:t>Form of Hawkins, Inc. 2004 Omnibus Stock Plan Restricted Stock Agreement (incorporated herein by reference to Exhibit 10.2</w:t>
            </w:r>
          </w:p>
        </w:tc>
      </w:tr>
      <w:tr>
        <w:trPr>
          <w:trHeight w:val="230"/>
        </w:trPr>
        <w:tc>
          <w:tcPr>
            <w:tcW w:w="720" w:type="dxa"/>
            <w:vAlign w:val="bottom"/>
          </w:tcPr>
          <w:p>
            <w:pPr>
              <w:spacing w:after="0"/>
              <w:rPr>
                <w:sz w:val="20"/>
                <w:szCs w:val="20"/>
                <w:color w:val="auto"/>
              </w:rPr>
            </w:pPr>
          </w:p>
        </w:tc>
        <w:tc>
          <w:tcPr>
            <w:tcW w:w="9600" w:type="dxa"/>
            <w:vAlign w:val="bottom"/>
          </w:tcPr>
          <w:p>
            <w:pPr>
              <w:ind w:left="380"/>
              <w:spacing w:after="0"/>
              <w:rPr>
                <w:sz w:val="20"/>
                <w:szCs w:val="20"/>
                <w:color w:val="auto"/>
              </w:rPr>
            </w:pPr>
            <w:r>
              <w:rPr>
                <w:rFonts w:ascii="Arial" w:cs="Arial" w:eastAsia="Arial" w:hAnsi="Arial"/>
                <w:sz w:val="18"/>
                <w:szCs w:val="18"/>
                <w:color w:val="auto"/>
              </w:rPr>
              <w:t>to the Registrant’s Form 10-Q for the quarter ended September 30, 2004).</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1240" w:hanging="602"/>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hereby undertakes:</w:t>
      </w:r>
    </w:p>
    <w:p>
      <w:pPr>
        <w:spacing w:after="0" w:line="225" w:lineRule="exact"/>
        <w:rPr>
          <w:rFonts w:ascii="Arial" w:cs="Arial" w:eastAsia="Arial" w:hAnsi="Arial"/>
          <w:sz w:val="18"/>
          <w:szCs w:val="18"/>
          <w:color w:val="auto"/>
        </w:rPr>
      </w:pPr>
    </w:p>
    <w:p>
      <w:pPr>
        <w:ind w:left="1900" w:hanging="595"/>
        <w:spacing w:after="0"/>
        <w:tabs>
          <w:tab w:leader="none" w:pos="190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3200" w:hanging="599"/>
        <w:spacing w:after="0"/>
        <w:tabs>
          <w:tab w:leader="none" w:pos="32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300" w:right="20" w:firstLine="1301"/>
        <w:spacing w:after="0" w:line="272" w:lineRule="auto"/>
        <w:tabs>
          <w:tab w:leader="none" w:pos="3207" w:val="left"/>
        </w:tabs>
        <w:numPr>
          <w:ilvl w:val="2"/>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300" w:right="760" w:firstLine="1301"/>
        <w:spacing w:after="0" w:line="277" w:lineRule="auto"/>
        <w:tabs>
          <w:tab w:leader="none" w:pos="322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do not apply if the Registration Statement is on Form S-3, Form S-8 or Form F-3,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187" w:lineRule="exact"/>
        <w:rPr>
          <w:sz w:val="20"/>
          <w:szCs w:val="20"/>
          <w:color w:val="auto"/>
        </w:rPr>
      </w:pPr>
    </w:p>
    <w:p>
      <w:pPr>
        <w:ind w:left="660" w:right="140" w:firstLine="645"/>
        <w:spacing w:after="0" w:line="264" w:lineRule="auto"/>
        <w:tabs>
          <w:tab w:leader="none" w:pos="1911"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660" w:right="60" w:firstLine="645"/>
        <w:spacing w:after="0" w:line="277" w:lineRule="auto"/>
        <w:tabs>
          <w:tab w:leader="none" w:pos="1911"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40" w:firstLine="656"/>
        <w:spacing w:after="0" w:line="257" w:lineRule="auto"/>
        <w:tabs>
          <w:tab w:leader="none" w:pos="1243"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ind w:firstLine="656"/>
        <w:spacing w:after="0" w:line="293" w:lineRule="auto"/>
        <w:tabs>
          <w:tab w:leader="none" w:pos="1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 by it is against public policy as expressed in the Act and will be governed by the final adjudication of such issue.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420"/>
          </w:cols>
          <w:pgMar w:left="240" w:top="341" w:right="239" w:bottom="117" w:gutter="0" w:footer="0" w:header="0"/>
        </w:sectPr>
      </w:pPr>
    </w:p>
    <w:bookmarkStart w:id="3" w:name="page4"/>
    <w:bookmarkEnd w:id="3"/>
    <w:p>
      <w:pPr>
        <w:ind w:right="220" w:firstLine="648"/>
        <w:spacing w:after="0" w:line="26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Minneapolis, State of Minnesota on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day of March, 2005.</w:t>
      </w:r>
    </w:p>
    <w:p>
      <w:pPr>
        <w:spacing w:after="0" w:line="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ind w:left="57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Marvin E. Dee</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864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Vice President, Chief Financial Officer, Secretary</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and Treasurer</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firstLine="648"/>
        <w:spacing w:after="0" w:line="267" w:lineRule="auto"/>
        <w:rPr>
          <w:sz w:val="20"/>
          <w:szCs w:val="20"/>
          <w:color w:val="auto"/>
        </w:rPr>
      </w:pPr>
      <w:r>
        <w:rPr>
          <w:rFonts w:ascii="Arial" w:cs="Arial" w:eastAsia="Arial" w:hAnsi="Arial"/>
          <w:sz w:val="18"/>
          <w:szCs w:val="18"/>
          <w:color w:val="auto"/>
        </w:rPr>
        <w:t xml:space="preserve">We, the undersigned officers and directors of Hawkins, Inc., hereby severally constitute John R. Hawkins </w:t>
      </w:r>
      <w:r>
        <w:rPr>
          <w:rFonts w:ascii="Arial" w:cs="Arial" w:eastAsia="Arial" w:hAnsi="Arial"/>
          <w:sz w:val="17"/>
          <w:szCs w:val="17"/>
          <w:color w:val="auto"/>
        </w:rPr>
        <w:t>and Marvin E. Dee, and each of them singly, as</w:t>
      </w:r>
      <w:r>
        <w:rPr>
          <w:rFonts w:ascii="Arial" w:cs="Arial" w:eastAsia="Arial" w:hAnsi="Arial"/>
          <w:sz w:val="18"/>
          <w:szCs w:val="18"/>
          <w:color w:val="auto"/>
        </w:rPr>
        <w:t xml:space="preserve"> </w:t>
      </w:r>
      <w:r>
        <w:rPr>
          <w:rFonts w:ascii="Arial" w:cs="Arial" w:eastAsia="Arial" w:hAnsi="Arial"/>
          <w:sz w:val="17"/>
          <w:szCs w:val="17"/>
          <w:color w:val="auto"/>
        </w:rPr>
        <w:t>true and lawful attorneys with full power to them, and each of them singly, to sign for us and in our names, in the capacities indicated below the registration statement filed herewith and any amendments to said registration statement, and generally to do all such things in our name and behalf in our capacities as officers and directors to enable Hawkins,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8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on March 2, 2005 by the following persons in the capacities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436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Title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5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Chairman of the Board, Chief Executive Officer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R. Hawkins</w:t>
            </w: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Director</w:t>
            </w:r>
          </w:p>
        </w:tc>
        <w:tc>
          <w:tcPr>
            <w:tcW w:w="4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100" w:type="dxa"/>
            <w:vAlign w:val="bottom"/>
          </w:tcPr>
          <w:p>
            <w:pPr>
              <w:spacing w:after="0" w:line="195" w:lineRule="exact"/>
              <w:rPr>
                <w:sz w:val="20"/>
                <w:szCs w:val="20"/>
                <w:color w:val="auto"/>
              </w:rPr>
            </w:pPr>
            <w:r>
              <w:rPr>
                <w:rFonts w:ascii="Arial" w:cs="Arial" w:eastAsia="Arial" w:hAnsi="Arial"/>
                <w:sz w:val="18"/>
                <w:szCs w:val="18"/>
                <w:color w:val="auto"/>
              </w:rPr>
              <w:t>John R. Hawkins</w:t>
            </w: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260" w:type="dxa"/>
            <w:vAlign w:val="bottom"/>
          </w:tcPr>
          <w:p>
            <w:pPr>
              <w:spacing w:after="0"/>
              <w:rPr>
                <w:sz w:val="20"/>
                <w:szCs w:val="20"/>
                <w:color w:val="auto"/>
              </w:rPr>
            </w:pPr>
          </w:p>
        </w:tc>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Vice President, Chief Financial Officer, Secretary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Marvin E. Dee</w:t>
            </w: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and Treasurer</w:t>
            </w:r>
          </w:p>
        </w:tc>
        <w:tc>
          <w:tcPr>
            <w:tcW w:w="4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100" w:type="dxa"/>
            <w:vAlign w:val="bottom"/>
          </w:tcPr>
          <w:p>
            <w:pPr>
              <w:spacing w:after="0" w:line="195" w:lineRule="exact"/>
              <w:rPr>
                <w:sz w:val="20"/>
                <w:szCs w:val="20"/>
                <w:color w:val="auto"/>
              </w:rPr>
            </w:pPr>
            <w:r>
              <w:rPr>
                <w:rFonts w:ascii="Arial" w:cs="Arial" w:eastAsia="Arial" w:hAnsi="Arial"/>
                <w:sz w:val="18"/>
                <w:szCs w:val="18"/>
                <w:color w:val="auto"/>
              </w:rPr>
              <w:t>Marvin E. Dee</w:t>
            </w: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Dean L. Hahn</w:t>
            </w:r>
          </w:p>
        </w:tc>
        <w:tc>
          <w:tcPr>
            <w:tcW w:w="26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Director</w:t>
            </w: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100" w:type="dxa"/>
            <w:vAlign w:val="bottom"/>
          </w:tcPr>
          <w:p>
            <w:pPr>
              <w:spacing w:after="0"/>
              <w:rPr>
                <w:sz w:val="20"/>
                <w:szCs w:val="20"/>
                <w:color w:val="auto"/>
              </w:rPr>
            </w:pPr>
            <w:r>
              <w:rPr>
                <w:rFonts w:ascii="Arial" w:cs="Arial" w:eastAsia="Arial" w:hAnsi="Arial"/>
                <w:sz w:val="18"/>
                <w:szCs w:val="18"/>
                <w:color w:val="auto"/>
              </w:rPr>
              <w:t>Dean L. Hahn</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 McKeon</w:t>
            </w:r>
          </w:p>
        </w:tc>
        <w:tc>
          <w:tcPr>
            <w:tcW w:w="26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Director</w:t>
            </w: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100" w:type="dxa"/>
            <w:vAlign w:val="bottom"/>
          </w:tcPr>
          <w:p>
            <w:pPr>
              <w:spacing w:after="0"/>
              <w:rPr>
                <w:sz w:val="20"/>
                <w:szCs w:val="20"/>
                <w:color w:val="auto"/>
              </w:rPr>
            </w:pPr>
            <w:r>
              <w:rPr>
                <w:rFonts w:ascii="Arial" w:cs="Arial" w:eastAsia="Arial" w:hAnsi="Arial"/>
                <w:sz w:val="18"/>
                <w:szCs w:val="18"/>
                <w:color w:val="auto"/>
              </w:rPr>
              <w:t>John S. McKeon</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Duane M. Jergenson</w:t>
            </w:r>
          </w:p>
        </w:tc>
        <w:tc>
          <w:tcPr>
            <w:tcW w:w="26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Director</w:t>
            </w:r>
          </w:p>
        </w:tc>
        <w:tc>
          <w:tcPr>
            <w:tcW w:w="4360" w:type="dxa"/>
            <w:vAlign w:val="bottom"/>
          </w:tcPr>
          <w:p>
            <w:pPr>
              <w:ind w:left="700"/>
              <w:spacing w:after="0"/>
              <w:rPr>
                <w:sz w:val="20"/>
                <w:szCs w:val="20"/>
                <w:color w:val="auto"/>
              </w:rPr>
            </w:pPr>
            <w:r>
              <w:rPr>
                <w:rFonts w:ascii="Arial" w:cs="Arial" w:eastAsia="Arial" w:hAnsi="Arial"/>
                <w:sz w:val="18"/>
                <w:szCs w:val="18"/>
                <w:color w:val="auto"/>
              </w:rPr>
              <w:t>A majority of directors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100" w:type="dxa"/>
            <w:vAlign w:val="bottom"/>
          </w:tcPr>
          <w:p>
            <w:pPr>
              <w:spacing w:after="0"/>
              <w:rPr>
                <w:sz w:val="20"/>
                <w:szCs w:val="20"/>
                <w:color w:val="auto"/>
              </w:rPr>
            </w:pPr>
            <w:r>
              <w:rPr>
                <w:rFonts w:ascii="Arial" w:cs="Arial" w:eastAsia="Arial" w:hAnsi="Arial"/>
                <w:sz w:val="18"/>
                <w:szCs w:val="18"/>
                <w:color w:val="auto"/>
              </w:rPr>
              <w:t>Duane M. Jergenson</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 Robert Gey</w:t>
            </w:r>
          </w:p>
        </w:tc>
        <w:tc>
          <w:tcPr>
            <w:tcW w:w="26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Director</w:t>
            </w: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100" w:type="dxa"/>
            <w:vAlign w:val="bottom"/>
          </w:tcPr>
          <w:p>
            <w:pPr>
              <w:spacing w:after="0"/>
              <w:rPr>
                <w:sz w:val="20"/>
                <w:szCs w:val="20"/>
                <w:color w:val="auto"/>
              </w:rPr>
            </w:pPr>
            <w:r>
              <w:rPr>
                <w:rFonts w:ascii="Arial" w:cs="Arial" w:eastAsia="Arial" w:hAnsi="Arial"/>
                <w:sz w:val="18"/>
                <w:szCs w:val="18"/>
                <w:color w:val="auto"/>
              </w:rPr>
              <w:t>G. Robert Gey</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Daryl I. Skaar</w:t>
            </w:r>
          </w:p>
        </w:tc>
        <w:tc>
          <w:tcPr>
            <w:tcW w:w="26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Director</w:t>
            </w: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100" w:type="dxa"/>
            <w:vAlign w:val="bottom"/>
          </w:tcPr>
          <w:p>
            <w:pPr>
              <w:spacing w:after="0"/>
              <w:rPr>
                <w:sz w:val="20"/>
                <w:szCs w:val="20"/>
                <w:color w:val="auto"/>
              </w:rPr>
            </w:pPr>
            <w:r>
              <w:rPr>
                <w:rFonts w:ascii="Arial" w:cs="Arial" w:eastAsia="Arial" w:hAnsi="Arial"/>
                <w:sz w:val="18"/>
                <w:szCs w:val="18"/>
                <w:color w:val="auto"/>
              </w:rPr>
              <w:t>Daryl I. Skaar</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51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43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500" w:type="dxa"/>
            <w:vAlign w:val="bottom"/>
          </w:tcPr>
          <w:p>
            <w:pPr>
              <w:ind w:left="3240"/>
              <w:spacing w:after="0"/>
              <w:rPr>
                <w:sz w:val="20"/>
                <w:szCs w:val="20"/>
                <w:color w:val="auto"/>
              </w:rPr>
            </w:pPr>
            <w:r>
              <w:rPr>
                <w:rFonts w:ascii="Arial" w:cs="Arial" w:eastAsia="Arial" w:hAnsi="Arial"/>
                <w:sz w:val="18"/>
                <w:szCs w:val="18"/>
                <w:b w:val="1"/>
                <w:bCs w:val="1"/>
                <w:color w:val="auto"/>
              </w:rPr>
              <w:t>INDEX TO EXHIBITS</w:t>
            </w:r>
          </w:p>
        </w:tc>
      </w:tr>
      <w:tr>
        <w:trPr>
          <w:trHeight w:val="36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6500" w:type="dxa"/>
            <w:vAlign w:val="bottom"/>
          </w:tcPr>
          <w:p>
            <w:pPr>
              <w:spacing w:after="0"/>
              <w:rPr>
                <w:sz w:val="24"/>
                <w:szCs w:val="24"/>
                <w:color w:val="auto"/>
              </w:rPr>
            </w:pPr>
          </w:p>
        </w:tc>
      </w:tr>
      <w:tr>
        <w:trPr>
          <w:trHeight w:val="39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6500" w:type="dxa"/>
            <w:vAlign w:val="bottom"/>
          </w:tcPr>
          <w:p>
            <w:pPr>
              <w:ind w:left="220"/>
              <w:spacing w:after="0"/>
              <w:rPr>
                <w:sz w:val="20"/>
                <w:szCs w:val="20"/>
                <w:color w:val="auto"/>
              </w:rPr>
            </w:pPr>
            <w:r>
              <w:rPr>
                <w:rFonts w:ascii="Arial" w:cs="Arial" w:eastAsia="Arial" w:hAnsi="Arial"/>
                <w:sz w:val="18"/>
                <w:szCs w:val="18"/>
                <w:color w:val="auto"/>
                <w:w w:val="89"/>
              </w:rPr>
              <w:t>Amended and Second Restated Articles of Incorporation as amended through February</w:t>
            </w:r>
          </w:p>
        </w:tc>
      </w:tr>
      <w:tr>
        <w:trPr>
          <w:trHeight w:val="216"/>
        </w:trPr>
        <w:tc>
          <w:tcPr>
            <w:tcW w:w="920" w:type="dxa"/>
            <w:vAlign w:val="bottom"/>
          </w:tcPr>
          <w:p>
            <w:pPr>
              <w:spacing w:after="0"/>
              <w:rPr>
                <w:sz w:val="18"/>
                <w:szCs w:val="18"/>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w w:val="94"/>
              </w:rPr>
              <w:t>27, 2001 (incorporated herein by reference to Exhibit 3.1 to the Registrant’s Annual</w:t>
            </w:r>
          </w:p>
        </w:tc>
      </w:tr>
      <w:tr>
        <w:trPr>
          <w:trHeight w:val="230"/>
        </w:trPr>
        <w:tc>
          <w:tcPr>
            <w:tcW w:w="920" w:type="dxa"/>
            <w:vAlign w:val="bottom"/>
          </w:tcPr>
          <w:p>
            <w:pPr>
              <w:spacing w:after="0"/>
              <w:rPr>
                <w:sz w:val="20"/>
                <w:szCs w:val="20"/>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Report on Form 10-K for the year ended September 30, 2001).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6500" w:type="dxa"/>
            <w:vAlign w:val="bottom"/>
          </w:tcPr>
          <w:p>
            <w:pPr>
              <w:ind w:left="220"/>
              <w:spacing w:after="0"/>
              <w:rPr>
                <w:sz w:val="20"/>
                <w:szCs w:val="20"/>
                <w:color w:val="auto"/>
              </w:rPr>
            </w:pPr>
            <w:r>
              <w:rPr>
                <w:rFonts w:ascii="Arial" w:cs="Arial" w:eastAsia="Arial" w:hAnsi="Arial"/>
                <w:sz w:val="18"/>
                <w:szCs w:val="18"/>
                <w:color w:val="auto"/>
                <w:w w:val="92"/>
              </w:rPr>
              <w:t>Second Amended and Superseding By-Laws as amended through February 15, 1995</w:t>
            </w:r>
          </w:p>
        </w:tc>
      </w:tr>
      <w:tr>
        <w:trPr>
          <w:trHeight w:val="216"/>
        </w:trPr>
        <w:tc>
          <w:tcPr>
            <w:tcW w:w="920" w:type="dxa"/>
            <w:vAlign w:val="bottom"/>
          </w:tcPr>
          <w:p>
            <w:pPr>
              <w:spacing w:after="0"/>
              <w:rPr>
                <w:sz w:val="18"/>
                <w:szCs w:val="18"/>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w w:val="94"/>
              </w:rPr>
              <w:t>(incorporated herein by reference to Exhibit 3.2 to the Company’s Annual Report on</w:t>
            </w:r>
          </w:p>
        </w:tc>
      </w:tr>
      <w:tr>
        <w:trPr>
          <w:trHeight w:val="230"/>
        </w:trPr>
        <w:tc>
          <w:tcPr>
            <w:tcW w:w="920" w:type="dxa"/>
            <w:vAlign w:val="bottom"/>
          </w:tcPr>
          <w:p>
            <w:pPr>
              <w:spacing w:after="0"/>
              <w:rPr>
                <w:sz w:val="20"/>
                <w:szCs w:val="20"/>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Form 10-K for the year ended October 1, 1995).</w:t>
            </w:r>
          </w:p>
        </w:tc>
      </w:tr>
    </w:tbl>
    <w:p>
      <w:pPr>
        <w:spacing w:after="0" w:line="202" w:lineRule="exact"/>
        <w:rPr>
          <w:sz w:val="20"/>
          <w:szCs w:val="20"/>
          <w:color w:val="auto"/>
        </w:rPr>
      </w:pPr>
    </w:p>
    <w:p>
      <w:pPr>
        <w:ind w:left="1800" w:hanging="1144"/>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Opinion of Faegre &amp; Benson LLP, counsel for the</w:t>
      </w:r>
    </w:p>
    <w:p>
      <w:pPr>
        <w:spacing w:after="0" w:line="2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Registrant.</w:t>
            </w:r>
          </w:p>
        </w:tc>
        <w:tc>
          <w:tcPr>
            <w:tcW w:w="1580" w:type="dxa"/>
            <w:vAlign w:val="bottom"/>
          </w:tcPr>
          <w:p>
            <w:pPr>
              <w:ind w:left="160"/>
              <w:spacing w:after="0"/>
              <w:rPr>
                <w:sz w:val="20"/>
                <w:szCs w:val="20"/>
                <w:color w:val="auto"/>
              </w:rPr>
            </w:pPr>
            <w:r>
              <w:rPr>
                <w:rFonts w:ascii="Arial" w:cs="Arial" w:eastAsia="Arial" w:hAnsi="Arial"/>
                <w:sz w:val="18"/>
                <w:szCs w:val="18"/>
                <w:color w:val="auto"/>
                <w:w w:val="93"/>
              </w:rPr>
              <w:t>Electronically Filed</w:t>
            </w:r>
          </w:p>
        </w:tc>
      </w:tr>
      <w:tr>
        <w:trPr>
          <w:trHeight w:val="40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6820" w:type="dxa"/>
            <w:vAlign w:val="bottom"/>
          </w:tcPr>
          <w:p>
            <w:pPr>
              <w:ind w:left="420"/>
              <w:spacing w:after="0"/>
              <w:rPr>
                <w:sz w:val="20"/>
                <w:szCs w:val="20"/>
                <w:color w:val="auto"/>
              </w:rPr>
            </w:pPr>
            <w:r>
              <w:rPr>
                <w:rFonts w:ascii="Arial" w:cs="Arial" w:eastAsia="Arial" w:hAnsi="Arial"/>
                <w:sz w:val="18"/>
                <w:szCs w:val="18"/>
                <w:color w:val="auto"/>
              </w:rPr>
              <w:t>Consent of Faegre &amp; Benson LLP (included in Exhibit 5 to this Registration</w:t>
            </w:r>
          </w:p>
        </w:tc>
        <w:tc>
          <w:tcPr>
            <w:tcW w:w="158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Statement)</w:t>
            </w:r>
          </w:p>
        </w:tc>
        <w:tc>
          <w:tcPr>
            <w:tcW w:w="158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6820" w:type="dxa"/>
            <w:vAlign w:val="bottom"/>
          </w:tcPr>
          <w:p>
            <w:pPr>
              <w:ind w:left="420"/>
              <w:spacing w:after="0"/>
              <w:rPr>
                <w:sz w:val="20"/>
                <w:szCs w:val="20"/>
                <w:color w:val="auto"/>
              </w:rPr>
            </w:pPr>
            <w:r>
              <w:rPr>
                <w:rFonts w:ascii="Arial" w:cs="Arial" w:eastAsia="Arial" w:hAnsi="Arial"/>
                <w:sz w:val="18"/>
                <w:szCs w:val="18"/>
                <w:color w:val="auto"/>
              </w:rPr>
              <w:t>Consent of Deloitte &amp; Touche LLP</w:t>
            </w:r>
          </w:p>
        </w:tc>
        <w:tc>
          <w:tcPr>
            <w:tcW w:w="1580" w:type="dxa"/>
            <w:vAlign w:val="bottom"/>
          </w:tcPr>
          <w:p>
            <w:pPr>
              <w:ind w:left="160"/>
              <w:spacing w:after="0"/>
              <w:rPr>
                <w:sz w:val="20"/>
                <w:szCs w:val="20"/>
                <w:color w:val="auto"/>
              </w:rPr>
            </w:pPr>
            <w:r>
              <w:rPr>
                <w:rFonts w:ascii="Arial" w:cs="Arial" w:eastAsia="Arial" w:hAnsi="Arial"/>
                <w:sz w:val="18"/>
                <w:szCs w:val="18"/>
                <w:color w:val="auto"/>
                <w:w w:val="93"/>
              </w:rPr>
              <w:t>Electronically Filed</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24</w:t>
            </w:r>
          </w:p>
        </w:tc>
        <w:tc>
          <w:tcPr>
            <w:tcW w:w="6820" w:type="dxa"/>
            <w:vAlign w:val="bottom"/>
          </w:tcPr>
          <w:p>
            <w:pPr>
              <w:ind w:left="420"/>
              <w:spacing w:after="0"/>
              <w:rPr>
                <w:sz w:val="20"/>
                <w:szCs w:val="20"/>
                <w:color w:val="auto"/>
              </w:rPr>
            </w:pPr>
            <w:r>
              <w:rPr>
                <w:rFonts w:ascii="Arial" w:cs="Arial" w:eastAsia="Arial" w:hAnsi="Arial"/>
                <w:sz w:val="18"/>
                <w:szCs w:val="18"/>
                <w:color w:val="auto"/>
              </w:rPr>
              <w:t>Powers of Attorney (included with signatures to this Registration Statement).</w:t>
            </w:r>
          </w:p>
        </w:tc>
        <w:tc>
          <w:tcPr>
            <w:tcW w:w="1580" w:type="dxa"/>
            <w:vAlign w:val="bottom"/>
          </w:tcPr>
          <w:p>
            <w:pPr>
              <w:spacing w:after="0"/>
              <w:rPr>
                <w:sz w:val="24"/>
                <w:szCs w:val="24"/>
                <w:color w:val="auto"/>
              </w:rPr>
            </w:pP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6820" w:type="dxa"/>
            <w:vAlign w:val="bottom"/>
          </w:tcPr>
          <w:p>
            <w:pPr>
              <w:ind w:left="420"/>
              <w:spacing w:after="0"/>
              <w:rPr>
                <w:sz w:val="20"/>
                <w:szCs w:val="20"/>
                <w:color w:val="auto"/>
              </w:rPr>
            </w:pPr>
            <w:r>
              <w:rPr>
                <w:rFonts w:ascii="Arial" w:cs="Arial" w:eastAsia="Arial" w:hAnsi="Arial"/>
                <w:sz w:val="18"/>
                <w:szCs w:val="18"/>
                <w:color w:val="auto"/>
              </w:rPr>
              <w:t>Hawkins, Inc. 2004 Omnibus Stock Plan (incorporated herein by reference to</w:t>
            </w:r>
          </w:p>
        </w:tc>
        <w:tc>
          <w:tcPr>
            <w:tcW w:w="158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w w:val="94"/>
              </w:rPr>
              <w:t>Appendix B to the Company’s Proxy Statement filed with the Commission on July 23,</w:t>
            </w:r>
          </w:p>
        </w:tc>
        <w:tc>
          <w:tcPr>
            <w:tcW w:w="1580" w:type="dxa"/>
            <w:vAlign w:val="bottom"/>
          </w:tcPr>
          <w:p>
            <w:pPr>
              <w:spacing w:after="0"/>
              <w:rPr>
                <w:sz w:val="20"/>
                <w:szCs w:val="20"/>
                <w:color w:val="auto"/>
              </w:rPr>
            </w:pPr>
          </w:p>
        </w:tc>
      </w:tr>
    </w:tbl>
    <w:p>
      <w:pPr>
        <w:sectPr>
          <w:pgSz w:w="11900" w:h="16838" w:orient="portrait"/>
          <w:cols w:equalWidth="0" w:num="1">
            <w:col w:w="11440"/>
          </w:cols>
          <w:pgMar w:left="240" w:top="125" w:right="21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10060" w:type="dxa"/>
            <w:vAlign w:val="bottom"/>
          </w:tcPr>
          <w:p>
            <w:pPr>
              <w:ind w:left="420"/>
              <w:spacing w:after="0"/>
              <w:rPr>
                <w:sz w:val="20"/>
                <w:szCs w:val="20"/>
                <w:color w:val="auto"/>
              </w:rPr>
            </w:pPr>
            <w:r>
              <w:rPr>
                <w:rFonts w:ascii="Arial" w:cs="Arial" w:eastAsia="Arial" w:hAnsi="Arial"/>
                <w:sz w:val="18"/>
                <w:szCs w:val="18"/>
                <w:color w:val="auto"/>
              </w:rPr>
              <w:t>2004).</w:t>
            </w:r>
          </w:p>
        </w:tc>
      </w:tr>
      <w:tr>
        <w:trPr>
          <w:trHeight w:val="418"/>
        </w:trPr>
        <w:tc>
          <w:tcPr>
            <w:tcW w:w="1380" w:type="dxa"/>
            <w:vAlign w:val="bottom"/>
          </w:tcPr>
          <w:p>
            <w:pPr>
              <w:jc w:val="right"/>
              <w:ind w:right="310"/>
              <w:spacing w:after="0"/>
              <w:rPr>
                <w:sz w:val="20"/>
                <w:szCs w:val="20"/>
                <w:color w:val="auto"/>
              </w:rPr>
            </w:pPr>
            <w:r>
              <w:rPr>
                <w:rFonts w:ascii="Arial" w:cs="Arial" w:eastAsia="Arial" w:hAnsi="Arial"/>
                <w:sz w:val="18"/>
                <w:szCs w:val="18"/>
                <w:color w:val="auto"/>
              </w:rPr>
              <w:t>99.2</w:t>
            </w:r>
          </w:p>
        </w:tc>
        <w:tc>
          <w:tcPr>
            <w:tcW w:w="10060" w:type="dxa"/>
            <w:vAlign w:val="bottom"/>
          </w:tcPr>
          <w:p>
            <w:pPr>
              <w:ind w:left="420"/>
              <w:spacing w:after="0"/>
              <w:rPr>
                <w:sz w:val="20"/>
                <w:szCs w:val="20"/>
                <w:color w:val="auto"/>
              </w:rPr>
            </w:pPr>
            <w:r>
              <w:rPr>
                <w:rFonts w:ascii="Arial" w:cs="Arial" w:eastAsia="Arial" w:hAnsi="Arial"/>
                <w:sz w:val="18"/>
                <w:szCs w:val="18"/>
                <w:color w:val="auto"/>
              </w:rPr>
              <w:t>Form of Hawkins, Inc. 2004 Omnibus Stock Plan Restricted Stock Agreement</w:t>
            </w:r>
          </w:p>
        </w:tc>
      </w:tr>
      <w:tr>
        <w:trPr>
          <w:trHeight w:val="216"/>
        </w:trPr>
        <w:tc>
          <w:tcPr>
            <w:tcW w:w="1380" w:type="dxa"/>
            <w:vAlign w:val="bottom"/>
          </w:tcPr>
          <w:p>
            <w:pPr>
              <w:spacing w:after="0"/>
              <w:rPr>
                <w:sz w:val="18"/>
                <w:szCs w:val="18"/>
                <w:color w:val="auto"/>
              </w:rPr>
            </w:pPr>
          </w:p>
        </w:tc>
        <w:tc>
          <w:tcPr>
            <w:tcW w:w="10060" w:type="dxa"/>
            <w:vAlign w:val="bottom"/>
          </w:tcPr>
          <w:p>
            <w:pPr>
              <w:ind w:left="420"/>
              <w:spacing w:after="0"/>
              <w:rPr>
                <w:sz w:val="20"/>
                <w:szCs w:val="20"/>
                <w:color w:val="auto"/>
              </w:rPr>
            </w:pPr>
            <w:r>
              <w:rPr>
                <w:rFonts w:ascii="Arial" w:cs="Arial" w:eastAsia="Arial" w:hAnsi="Arial"/>
                <w:sz w:val="18"/>
                <w:szCs w:val="18"/>
                <w:color w:val="auto"/>
              </w:rPr>
              <w:t>(incorporated herein by reference to Exhibit 10.2 to the Registrant’s Form 10-Q for the</w:t>
            </w:r>
          </w:p>
        </w:tc>
      </w:tr>
      <w:tr>
        <w:trPr>
          <w:trHeight w:val="230"/>
        </w:trPr>
        <w:tc>
          <w:tcPr>
            <w:tcW w:w="1380" w:type="dxa"/>
            <w:vAlign w:val="bottom"/>
          </w:tcPr>
          <w:p>
            <w:pPr>
              <w:spacing w:after="0"/>
              <w:rPr>
                <w:sz w:val="20"/>
                <w:szCs w:val="20"/>
                <w:color w:val="auto"/>
              </w:rPr>
            </w:pPr>
          </w:p>
        </w:tc>
        <w:tc>
          <w:tcPr>
            <w:tcW w:w="10060" w:type="dxa"/>
            <w:vAlign w:val="bottom"/>
          </w:tcPr>
          <w:p>
            <w:pPr>
              <w:ind w:left="420"/>
              <w:spacing w:after="0"/>
              <w:rPr>
                <w:sz w:val="20"/>
                <w:szCs w:val="20"/>
                <w:color w:val="auto"/>
              </w:rPr>
            </w:pPr>
            <w:r>
              <w:rPr>
                <w:rFonts w:ascii="Arial" w:cs="Arial" w:eastAsia="Arial" w:hAnsi="Arial"/>
                <w:sz w:val="18"/>
                <w:szCs w:val="18"/>
                <w:color w:val="auto"/>
              </w:rPr>
              <w:t>quarter ended September 30, 2004).</w:t>
            </w:r>
          </w:p>
        </w:tc>
      </w:tr>
      <w:tr>
        <w:trPr>
          <w:trHeight w:val="321"/>
        </w:trPr>
        <w:tc>
          <w:tcPr>
            <w:tcW w:w="1380" w:type="dxa"/>
            <w:vAlign w:val="bottom"/>
            <w:tcBorders>
              <w:bottom w:val="single" w:sz="8" w:color="808080"/>
            </w:tcBorders>
          </w:tcPr>
          <w:p>
            <w:pPr>
              <w:spacing w:after="0"/>
              <w:rPr>
                <w:sz w:val="24"/>
                <w:szCs w:val="24"/>
                <w:color w:val="auto"/>
              </w:rPr>
            </w:pPr>
          </w:p>
        </w:tc>
        <w:tc>
          <w:tcPr>
            <w:tcW w:w="10060" w:type="dxa"/>
            <w:vAlign w:val="bottom"/>
            <w:tcBorders>
              <w:bottom w:val="single" w:sz="8" w:color="808080"/>
            </w:tcBorders>
          </w:tcPr>
          <w:p>
            <w:pPr>
              <w:spacing w:after="0"/>
              <w:rPr>
                <w:sz w:val="24"/>
                <w:szCs w:val="24"/>
                <w:color w:val="auto"/>
              </w:rPr>
            </w:pPr>
          </w:p>
        </w:tc>
      </w:tr>
      <w:tr>
        <w:trPr>
          <w:trHeight w:val="307"/>
        </w:trPr>
        <w:tc>
          <w:tcPr>
            <w:tcW w:w="1380" w:type="dxa"/>
            <w:vAlign w:val="bottom"/>
          </w:tcPr>
          <w:p>
            <w:pPr>
              <w:spacing w:after="0"/>
              <w:rPr>
                <w:sz w:val="24"/>
                <w:szCs w:val="24"/>
                <w:color w:val="auto"/>
              </w:rPr>
            </w:pPr>
          </w:p>
        </w:tc>
        <w:tc>
          <w:tcPr>
            <w:tcW w:w="10060" w:type="dxa"/>
            <w:vAlign w:val="bottom"/>
          </w:tcPr>
          <w:p>
            <w:pPr>
              <w:ind w:left="4280"/>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-209550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7"/>
          <w:szCs w:val="17"/>
          <w:b w:val="1"/>
          <w:bCs w:val="1"/>
          <w:color w:val="auto"/>
        </w:rPr>
        <w:t>AEGRE &amp; BENSON LLP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2200 WELLS FARGO CENTER, 90 SOUTH SEVENTH STREET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MINNEAPOLIS, MINNESOTA 55402-3901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612.766.7000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FACSIMILE 612.766.1600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www.faegre.com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3100 East Hennepin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 connection with the Registration Statement on Form S-8 (the “Registration Statement”) under the Securities Act of 1933, as amended, relating to the offering of up to 350,000 shares of Common Stock, par value $.05 per share (the “Shares”), of Hawkins, Inc., a Minnesota corporation (the “Company”), pursuant to the Hawkins, Inc. 2004 Omnibus Stock Plan (the “Plan”), we have examined such corporate records and other documents, including the Registration Statement and the Plan and have reviewed such matters of law as we have deemed relevant hereto, and, based upon such examination and review, it is our opinion that all necessary corporate action on the part of the Company has been taken to authorize the issuance and sale of the Shares pursuant to the Plan, and that, when issued and sold as contemplated in the Registration Statement, the Shares will be legally and validly issued, fully paid and nonassessable under the current laws of the State of Minnesota.</w:t>
      </w:r>
    </w:p>
    <w:p>
      <w:pPr>
        <w:spacing w:after="0" w:line="17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are admitted to the practice of law in the State of Minnesota and the foregoing opinions are limited to the laws of that state and the federal laws of the United States of America.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consent to the filing of this opinion as an exhibit to the Registration Statement.</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FAEGRE &amp; BENSON LLP</w:t>
      </w:r>
    </w:p>
    <w:p>
      <w:pPr>
        <w:spacing w:after="0" w:line="200" w:lineRule="exact"/>
        <w:rPr>
          <w:sz w:val="20"/>
          <w:szCs w:val="20"/>
          <w:color w:val="auto"/>
        </w:rPr>
      </w:pPr>
    </w:p>
    <w:p>
      <w:pPr>
        <w:spacing w:after="0" w:line="241" w:lineRule="exact"/>
        <w:rPr>
          <w:sz w:val="20"/>
          <w:szCs w:val="20"/>
          <w:color w:val="auto"/>
        </w:rPr>
      </w:pPr>
    </w:p>
    <w:tbl>
      <w:tblPr>
        <w:tblLayout w:type="fixed"/>
        <w:tblInd w:w="530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W. Morgan Burns</w:t>
            </w:r>
          </w:p>
        </w:tc>
      </w:tr>
      <w:tr>
        <w:trPr>
          <w:trHeight w:val="224"/>
        </w:trPr>
        <w:tc>
          <w:tcPr>
            <w:tcW w:w="420" w:type="dxa"/>
            <w:vAlign w:val="bottom"/>
          </w:tcPr>
          <w:p>
            <w:pPr>
              <w:spacing w:after="0"/>
              <w:rPr>
                <w:sz w:val="19"/>
                <w:szCs w:val="19"/>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W. Morgan Burns</w:t>
            </w:r>
          </w:p>
        </w:tc>
      </w:tr>
    </w:tbl>
    <w:p>
      <w:pPr>
        <w:spacing w:after="0" w:line="187" w:lineRule="exact"/>
        <w:rPr>
          <w:sz w:val="20"/>
          <w:szCs w:val="20"/>
          <w:color w:val="auto"/>
        </w:rPr>
      </w:pPr>
    </w:p>
    <w:p>
      <w:pPr>
        <w:jc w:val="center"/>
        <w:ind w:right="-19"/>
        <w:spacing w:after="0"/>
        <w:tabs>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b w:val="1"/>
          <w:bCs w:val="1"/>
          <w:i w:val="1"/>
          <w:iCs w:val="1"/>
          <w:color w:val="auto"/>
        </w:rPr>
        <w:t>Minnesota</w:t>
        <w:tab/>
        <w:t>Colorado</w:t>
        <w:tab/>
        <w:t>Iowa</w:t>
        <w:tab/>
        <w:t>London</w:t>
        <w:tab/>
        <w:t>Frankfurt</w:t>
      </w:r>
      <w:r>
        <w:rPr>
          <w:sz w:val="20"/>
          <w:szCs w:val="20"/>
          <w:color w:val="auto"/>
        </w:rPr>
        <w:tab/>
      </w:r>
      <w:r>
        <w:rPr>
          <w:rFonts w:ascii="Arial" w:cs="Arial" w:eastAsia="Arial" w:hAnsi="Arial"/>
          <w:sz w:val="15"/>
          <w:szCs w:val="15"/>
          <w:b w:val="1"/>
          <w:bCs w:val="1"/>
          <w:i w:val="1"/>
          <w:iCs w:val="1"/>
          <w:color w:val="auto"/>
        </w:rPr>
        <w:t>Shanghai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consent to the incorporation by reference in this Registration Statement of Hawkins, Inc. on Form S-8 of our report dated June 4, 2004, appearing in the Annual Report on Form 10-K of Hawkins, Inc. for the year ended March 28, 2004.</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4">
    <w:nsid w:val="507ED7AB"/>
    <w:multiLevelType w:val="hybridMultilevel"/>
    <w:lvl w:ilvl="0">
      <w:lvlJc w:val="left"/>
      <w:lvlText w:val="%1"/>
      <w:numFmt w:val="upperLetter"/>
      <w:start w:val="1"/>
    </w:lvl>
    <w:lvl w:ilvl="1">
      <w:lvlJc w:val="left"/>
      <w:lvlText w:val="(%2)"/>
      <w:numFmt w:val="decimal"/>
      <w:start w:val="2"/>
    </w:lvl>
  </w:abstractNum>
  <w:abstractNum w:abstractNumId="5">
    <w:nsid w:val="2EB141F2"/>
    <w:multiLevelType w:val="hybridMultilevel"/>
    <w:lvl w:ilvl="0">
      <w:lvlJc w:val="left"/>
      <w:lvlText w:val="%1."/>
      <w:numFmt w:val="upperLetter"/>
      <w:start w:val="2"/>
    </w:lvl>
    <w:lvl w:ilvl="1">
      <w:lvlJc w:val="left"/>
      <w:lvlText w:val="%2"/>
      <w:numFmt w:val="decimal"/>
      <w:start w:val="1"/>
    </w:lvl>
  </w:abstractNum>
  <w:abstractNum w:abstractNumId="6">
    <w:nsid w:val="41B71EFB"/>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2019-12-13T01:50:11Z</dcterms:created>
  <dcterms:modified xsi:type="dcterms:W3CDTF">2019-12-13T01:50:11Z</dcterms:modified>
</cp:coreProperties>
</file>