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6739" w:hanging="105"/>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52-0556948</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170,250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713,681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713,681</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6.7%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55" w:orient="portrait"/>
          <w:cols w:equalWidth="0" w:num="1">
            <w:col w:w="10219"/>
          </w:cols>
          <w:pgMar w:left="240" w:top="6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52-1575325</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420"/>
        <w:spacing w:after="0" w:line="238" w:lineRule="auto"/>
        <w:rPr>
          <w:sz w:val="20"/>
          <w:szCs w:val="20"/>
          <w:color w:val="auto"/>
        </w:rPr>
      </w:pPr>
      <w:r>
        <w:rPr>
          <w:rFonts w:ascii="Courier New" w:cs="Courier New" w:eastAsia="Courier New" w:hAnsi="Courier New"/>
          <w:sz w:val="18"/>
          <w:szCs w:val="18"/>
          <w:color w:val="auto"/>
        </w:rPr>
        <w:t>Maryland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w w:val="95"/>
              </w:rPr>
              <w:t>540,600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88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540,600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5.0%</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aggregate amount reported on this page is also included in the aggregate amount reported by T. Rowe Price Associates, Inc.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HAWKINS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3100 E HENNEPIN AVE,MINNEAPOLIS, MINNESOTA 55413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10" w:lineRule="exact"/>
        <w:rPr>
          <w:sz w:val="20"/>
          <w:szCs w:val="20"/>
          <w:color w:val="auto"/>
        </w:rPr>
      </w:pPr>
    </w:p>
    <w:p>
      <w:pPr>
        <w:ind w:left="1160" w:right="2099" w:hanging="1152"/>
        <w:spacing w:after="0" w:line="236" w:lineRule="auto"/>
        <w:tabs>
          <w:tab w:leader="none" w:pos="105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Attached as Exhibit A is a copy of an agreement between the Persons Filing (as specified hereinabove) that this Schedule 13G is being filed on behalf of each of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2(c) Citizenship or Place of Organization:</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540" w:right="2939" w:hanging="532"/>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540" w:right="3159" w:hanging="532"/>
        <w:spacing w:after="0" w:line="235" w:lineRule="auto"/>
        <w:tabs>
          <w:tab w:leader="none" w:pos="4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60" w:right="2839" w:hanging="947"/>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11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3359" w:hanging="947"/>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ectPr>
          <w:pgSz w:w="11900" w:h="16838" w:orient="portrait"/>
          <w:cols w:equalWidth="0" w:num="1">
            <w:col w:w="10219"/>
          </w:cols>
          <w:pgMar w:left="240" w:top="339" w:right="1440" w:bottom="0" w:gutter="0" w:footer="0" w:header="0"/>
        </w:sectPr>
      </w:pPr>
    </w:p>
    <w:bookmarkStart w:id="3" w:name="page4"/>
    <w:bookmarkEnd w:id="3"/>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OF SCHEDULE 13G</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Price Associates, Inc. (an investment adviser registered under the Investment Advisers Act of 1940) 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00" w:lineRule="exact"/>
        <w:rPr>
          <w:sz w:val="20"/>
          <w:szCs w:val="20"/>
          <w:color w:val="auto"/>
        </w:rPr>
      </w:pPr>
    </w:p>
    <w:p>
      <w:pPr>
        <w:spacing w:after="0" w:line="209"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Date: February 7, 2017</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ectPr>
          <w:pgSz w:w="11900" w:h="16838" w:orient="portrait"/>
          <w:cols w:equalWidth="0" w:num="1">
            <w:col w:w="10219"/>
          </w:cols>
          <w:pgMar w:left="240" w:top="339" w:right="1440" w:bottom="132"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0"/>
    </w:lvl>
  </w:abstractNum>
  <w:abstractNum w:abstractNumId="1">
    <w:nsid w:val="2EB141F2"/>
    <w:multiLevelType w:val="hybridMultilevel"/>
    <w:lvl w:ilvl="0">
      <w:lvlJc w:val="left"/>
      <w:lvlText w:val="%1."/>
      <w:numFmt w:val="decimal"/>
      <w:start w:val="1"/>
    </w:lvl>
    <w:lvl w:ilvl="1">
      <w:lvlJc w:val="left"/>
      <w:lvlText w:val="%2"/>
      <w:numFmt w:val="upp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X"/>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X"/>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2019-12-05T04:07:24Z</dcterms:created>
  <dcterms:modified xsi:type="dcterms:W3CDTF">2019-12-05T04:07:24Z</dcterms:modified>
</cp:coreProperties>
</file>